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rFonts w:ascii="Permanent Marker" w:cs="Permanent Marker" w:eastAsia="Permanent Marker" w:hAnsi="Permanent Marker"/>
          <w:sz w:val="28"/>
          <w:szCs w:val="28"/>
          <w:vertAlign w:val="superscrip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114300</wp:posOffset>
            </wp:positionV>
            <wp:extent cx="4052888" cy="15085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052888" cy="1508575"/>
                    </a:xfrm>
                    <a:prstGeom prst="rect"/>
                    <a:ln/>
                  </pic:spPr>
                </pic:pic>
              </a:graphicData>
            </a:graphic>
          </wp:anchor>
        </w:drawing>
      </w:r>
    </w:p>
    <w:p w:rsidR="00000000" w:rsidDel="00000000" w:rsidP="00000000" w:rsidRDefault="00000000" w:rsidRPr="00000000" w14:paraId="00000002">
      <w:pPr>
        <w:pageBreakBefore w:val="0"/>
        <w:rPr>
          <w:rFonts w:ascii="Permanent Marker" w:cs="Permanent Marker" w:eastAsia="Permanent Marker" w:hAnsi="Permanent Marker"/>
          <w:strike w:val="1"/>
          <w:sz w:val="28"/>
          <w:szCs w:val="28"/>
        </w:rPr>
      </w:pPr>
      <w:r w:rsidDel="00000000" w:rsidR="00000000" w:rsidRPr="00000000">
        <w:rPr>
          <w:rFonts w:ascii="Permanent Marker" w:cs="Permanent Marker" w:eastAsia="Permanent Marker" w:hAnsi="Permanent Marker"/>
          <w:sz w:val="28"/>
          <w:szCs w:val="28"/>
          <w:vertAlign w:val="superscript"/>
          <w:rtl w:val="0"/>
        </w:rPr>
        <w:t xml:space="preserve">  </w:t>
      </w:r>
      <w:r w:rsidDel="00000000" w:rsidR="00000000" w:rsidRPr="00000000">
        <w:rPr>
          <w:rFonts w:ascii="Permanent Marker" w:cs="Permanent Marker" w:eastAsia="Permanent Marker" w:hAnsi="Permanent Marker"/>
          <w:strike w:val="1"/>
          <w:sz w:val="28"/>
          <w:szCs w:val="28"/>
          <w:rtl w:val="0"/>
        </w:rPr>
        <w:t xml:space="preserve">The Interactive Notebook</w:t>
      </w:r>
    </w:p>
    <w:p w:rsidR="00000000" w:rsidDel="00000000" w:rsidP="00000000" w:rsidRDefault="00000000" w:rsidRPr="00000000" w14:paraId="00000003">
      <w:pPr>
        <w:pageBreakBefore w:val="0"/>
        <w:rPr>
          <w:rFonts w:ascii="Permanent Marker" w:cs="Permanent Marker" w:eastAsia="Permanent Marker" w:hAnsi="Permanent Marker"/>
          <w:sz w:val="28"/>
          <w:szCs w:val="28"/>
        </w:rPr>
      </w:pPr>
      <w:r w:rsidDel="00000000" w:rsidR="00000000" w:rsidRPr="00000000">
        <w:rPr>
          <w:rFonts w:ascii="Permanent Marker" w:cs="Permanent Marker" w:eastAsia="Permanent Marker" w:hAnsi="Permanent Marker"/>
          <w:sz w:val="28"/>
          <w:szCs w:val="28"/>
          <w:rtl w:val="0"/>
        </w:rPr>
        <w:t xml:space="preserve">The Virtual Interactive Notebook</w:t>
      </w:r>
    </w:p>
    <w:p w:rsidR="00000000" w:rsidDel="00000000" w:rsidP="00000000" w:rsidRDefault="00000000" w:rsidRPr="00000000" w14:paraId="00000004">
      <w:pPr>
        <w:pageBreakBefore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5">
      <w:pPr>
        <w:pageBreakBefore w:val="0"/>
        <w:numPr>
          <w:ilvl w:val="0"/>
          <w:numId w:val="2"/>
        </w:numPr>
        <w:ind w:left="720" w:hanging="360"/>
        <w:rPr>
          <w:rFonts w:ascii="Cambria" w:cs="Cambria" w:eastAsia="Cambria" w:hAnsi="Cambria"/>
          <w:strike w:val="1"/>
          <w:sz w:val="28"/>
          <w:szCs w:val="28"/>
          <w:highlight w:val="yellow"/>
        </w:rPr>
      </w:pPr>
      <w:r w:rsidDel="00000000" w:rsidR="00000000" w:rsidRPr="00000000">
        <w:rPr>
          <w:rFonts w:ascii="Cambria" w:cs="Cambria" w:eastAsia="Cambria" w:hAnsi="Cambria"/>
          <w:strike w:val="1"/>
          <w:sz w:val="28"/>
          <w:szCs w:val="28"/>
          <w:highlight w:val="yellow"/>
          <w:rtl w:val="0"/>
        </w:rPr>
        <w:t xml:space="preserve">Get a spiral or permanently bound notebook with regularly sized paper in it</w:t>
      </w:r>
    </w:p>
    <w:p w:rsidR="00000000" w:rsidDel="00000000" w:rsidP="00000000" w:rsidRDefault="00000000" w:rsidRPr="00000000" w14:paraId="00000006">
      <w:pPr>
        <w:pageBreakBefore w:val="0"/>
        <w:numPr>
          <w:ilvl w:val="0"/>
          <w:numId w:val="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Ust the template below to start setting up your Virtual Interactive Notebook.  When we go face-to-face, we can convert what we do to a physical notebook.</w:t>
      </w:r>
    </w:p>
    <w:p w:rsidR="00000000" w:rsidDel="00000000" w:rsidP="00000000" w:rsidRDefault="00000000" w:rsidRPr="00000000" w14:paraId="00000007">
      <w:pPr>
        <w:pageBreakBefore w:val="0"/>
        <w:numPr>
          <w:ilvl w:val="0"/>
          <w:numId w:val="2"/>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w:t>
      </w:r>
      <w:r w:rsidDel="00000000" w:rsidR="00000000" w:rsidRPr="00000000">
        <w:rPr>
          <w:rFonts w:ascii="Cambria" w:cs="Cambria" w:eastAsia="Cambria" w:hAnsi="Cambria"/>
          <w:strike w:val="1"/>
          <w:sz w:val="28"/>
          <w:szCs w:val="28"/>
          <w:rtl w:val="0"/>
        </w:rPr>
        <w:t xml:space="preserve">tarting with the first page, begin numbering the pages 1,2,3,4,5, etc. Odd # pages should be on the right side, even # pages should be on the left side</w:t>
      </w:r>
    </w:p>
    <w:p w:rsidR="00000000" w:rsidDel="00000000" w:rsidP="00000000" w:rsidRDefault="00000000" w:rsidRPr="00000000" w14:paraId="00000008">
      <w:pPr>
        <w:pageBreakBefore w:val="0"/>
        <w:numPr>
          <w:ilvl w:val="0"/>
          <w:numId w:val="2"/>
        </w:numPr>
        <w:ind w:left="720" w:hanging="360"/>
        <w:rPr>
          <w:rFonts w:ascii="Cambria" w:cs="Cambria" w:eastAsia="Cambria" w:hAnsi="Cambria"/>
          <w:strike w:val="1"/>
          <w:sz w:val="28"/>
          <w:szCs w:val="28"/>
        </w:rPr>
      </w:pPr>
      <w:r w:rsidDel="00000000" w:rsidR="00000000" w:rsidRPr="00000000">
        <w:rPr>
          <w:rFonts w:ascii="Cambria" w:cs="Cambria" w:eastAsia="Cambria" w:hAnsi="Cambria"/>
          <w:strike w:val="1"/>
          <w:sz w:val="28"/>
          <w:szCs w:val="28"/>
          <w:rtl w:val="0"/>
        </w:rPr>
        <w:t xml:space="preserve">Now take the informational handouts and cut/glue them into the appropriate pages:</w:t>
      </w:r>
    </w:p>
    <w:p w:rsidR="00000000" w:rsidDel="00000000" w:rsidP="00000000" w:rsidRDefault="00000000" w:rsidRPr="00000000" w14:paraId="00000009">
      <w:pPr>
        <w:pageBreakBefore w:val="0"/>
        <w:ind w:left="720" w:firstLine="0"/>
        <w:rPr>
          <w:rFonts w:ascii="Cambria" w:cs="Cambria" w:eastAsia="Cambria" w:hAnsi="Cambria"/>
          <w:strike w:val="1"/>
          <w:sz w:val="28"/>
          <w:szCs w:val="28"/>
        </w:rPr>
      </w:pPr>
      <w:r w:rsidDel="00000000" w:rsidR="00000000" w:rsidRPr="00000000">
        <w:rPr>
          <w:rFonts w:ascii="Cambria" w:cs="Cambria" w:eastAsia="Cambria" w:hAnsi="Cambria"/>
          <w:strike w:val="1"/>
          <w:sz w:val="28"/>
          <w:szCs w:val="28"/>
          <w:rtl w:val="0"/>
        </w:rPr>
        <w:t xml:space="preserve">**If you do not have a printer, that’s OK (I don’t even have one at home)! I will leave copies for pick up outside of room 317 . Alternatively you can also summarize the pages in your own writing.</w:t>
      </w:r>
    </w:p>
    <w:p w:rsidR="00000000" w:rsidDel="00000000" w:rsidP="00000000" w:rsidRDefault="00000000" w:rsidRPr="00000000" w14:paraId="0000000A">
      <w:pPr>
        <w:pageBreakBefore w:val="0"/>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B">
      <w:pPr>
        <w:pageBreakBefore w:val="0"/>
        <w:ind w:left="0" w:firstLine="0"/>
        <w:rPr>
          <w:rFonts w:ascii="Cambria" w:cs="Cambria" w:eastAsia="Cambria" w:hAnsi="Cambria"/>
          <w:sz w:val="28"/>
          <w:szCs w:val="28"/>
        </w:rPr>
      </w:pPr>
      <w:hyperlink r:id="rId7">
        <w:r w:rsidDel="00000000" w:rsidR="00000000" w:rsidRPr="00000000">
          <w:rPr>
            <w:rFonts w:ascii="Cambria" w:cs="Cambria" w:eastAsia="Cambria" w:hAnsi="Cambria"/>
            <w:color w:val="1155cc"/>
            <w:sz w:val="28"/>
            <w:szCs w:val="28"/>
            <w:u w:val="single"/>
            <w:rtl w:val="0"/>
          </w:rPr>
          <w:t xml:space="preserve">VIANB Template</w:t>
          <w:tab/>
        </w:r>
      </w:hyperlink>
      <w:r w:rsidDel="00000000" w:rsidR="00000000" w:rsidRPr="00000000">
        <w:rPr>
          <w:rFonts w:ascii="Cambria" w:cs="Cambria" w:eastAsia="Cambria" w:hAnsi="Cambria"/>
          <w:sz w:val="28"/>
          <w:szCs w:val="28"/>
          <w:rtl w:val="0"/>
        </w:rPr>
        <w:tab/>
        <w:tab/>
        <w:tab/>
        <w:tab/>
        <w:tab/>
      </w:r>
      <w:hyperlink r:id="rId8">
        <w:r w:rsidDel="00000000" w:rsidR="00000000" w:rsidRPr="00000000">
          <w:rPr>
            <w:rFonts w:ascii="Cambria" w:cs="Cambria" w:eastAsia="Cambria" w:hAnsi="Cambria"/>
            <w:color w:val="1155cc"/>
            <w:sz w:val="28"/>
            <w:szCs w:val="28"/>
            <w:u w:val="single"/>
            <w:rtl w:val="0"/>
          </w:rPr>
          <w:t xml:space="preserve">How to Take a Screenshot</w:t>
        </w:r>
      </w:hyperlink>
      <w:r w:rsidDel="00000000" w:rsidR="00000000" w:rsidRPr="00000000">
        <w:rPr>
          <w:rtl w:val="0"/>
        </w:rPr>
      </w:r>
    </w:p>
    <w:p w:rsidR="00000000" w:rsidDel="00000000" w:rsidP="00000000" w:rsidRDefault="00000000" w:rsidRPr="00000000" w14:paraId="0000000C">
      <w:pPr>
        <w:pageBreakBefore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D">
      <w:pPr>
        <w:pageBreakBefore w:val="0"/>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Page(s)</w:t>
      </w:r>
    </w:p>
    <w:p w:rsidR="00000000" w:rsidDel="00000000" w:rsidP="00000000" w:rsidRDefault="00000000" w:rsidRPr="00000000" w14:paraId="0000000E">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tab/>
        <w:tab/>
        <w:t xml:space="preserve">6 word memoir + the backstory</w:t>
      </w:r>
    </w:p>
    <w:p w:rsidR="00000000" w:rsidDel="00000000" w:rsidP="00000000" w:rsidRDefault="00000000" w:rsidRPr="00000000" w14:paraId="0000000F">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2-3</w:t>
        <w:tab/>
        <w:tab/>
        <w:t xml:space="preserve">Table of Contents (TOC)</w:t>
      </w:r>
    </w:p>
    <w:p w:rsidR="00000000" w:rsidDel="00000000" w:rsidP="00000000" w:rsidRDefault="00000000" w:rsidRPr="00000000" w14:paraId="00000010">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w:t>
      </w:r>
      <w:r w:rsidDel="00000000" w:rsidR="00000000" w:rsidRPr="00000000">
        <w:rPr>
          <w:rFonts w:ascii="Cambria" w:cs="Cambria" w:eastAsia="Cambria" w:hAnsi="Cambria"/>
          <w:sz w:val="28"/>
          <w:szCs w:val="28"/>
          <w:rtl w:val="0"/>
        </w:rPr>
        <w:tab/>
        <w:tab/>
      </w:r>
      <w:hyperlink r:id="rId9">
        <w:r w:rsidDel="00000000" w:rsidR="00000000" w:rsidRPr="00000000">
          <w:rPr>
            <w:rFonts w:ascii="Cambria" w:cs="Cambria" w:eastAsia="Cambria" w:hAnsi="Cambria"/>
            <w:color w:val="1155cc"/>
            <w:sz w:val="28"/>
            <w:szCs w:val="28"/>
            <w:u w:val="single"/>
            <w:rtl w:val="0"/>
          </w:rPr>
          <w:t xml:space="preserve">PhUn Syllabus</w:t>
        </w:r>
      </w:hyperlink>
      <w:r w:rsidDel="00000000" w:rsidR="00000000" w:rsidRPr="00000000">
        <w:rPr>
          <w:rtl w:val="0"/>
        </w:rPr>
      </w:r>
    </w:p>
    <w:p w:rsidR="00000000" w:rsidDel="00000000" w:rsidP="00000000" w:rsidRDefault="00000000" w:rsidRPr="00000000" w14:paraId="00000011">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w:t>
        <w:tab/>
        <w:tab/>
        <w:t xml:space="preserve">Cornell </w:t>
      </w:r>
      <w:hyperlink r:id="rId10">
        <w:r w:rsidDel="00000000" w:rsidR="00000000" w:rsidRPr="00000000">
          <w:rPr>
            <w:rFonts w:ascii="Cambria" w:cs="Cambria" w:eastAsia="Cambria" w:hAnsi="Cambria"/>
            <w:color w:val="1155cc"/>
            <w:sz w:val="28"/>
            <w:szCs w:val="28"/>
            <w:u w:val="single"/>
            <w:rtl w:val="0"/>
          </w:rPr>
          <w:t xml:space="preserve">Notes</w:t>
        </w:r>
      </w:hyperlink>
      <w:r w:rsidDel="00000000" w:rsidR="00000000" w:rsidRPr="00000000">
        <w:rPr>
          <w:rtl w:val="0"/>
        </w:rPr>
      </w:r>
    </w:p>
    <w:p w:rsidR="00000000" w:rsidDel="00000000" w:rsidP="00000000" w:rsidRDefault="00000000" w:rsidRPr="00000000" w14:paraId="00000012">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 </w:t>
        <w:tab/>
        <w:tab/>
        <w:t xml:space="preserve">Marking the </w:t>
      </w:r>
      <w:hyperlink r:id="rId11">
        <w:r w:rsidDel="00000000" w:rsidR="00000000" w:rsidRPr="00000000">
          <w:rPr>
            <w:rFonts w:ascii="Cambria" w:cs="Cambria" w:eastAsia="Cambria" w:hAnsi="Cambria"/>
            <w:color w:val="1155cc"/>
            <w:sz w:val="28"/>
            <w:szCs w:val="28"/>
            <w:u w:val="single"/>
            <w:rtl w:val="0"/>
          </w:rPr>
          <w:t xml:space="preserve">Text</w:t>
        </w:r>
      </w:hyperlink>
      <w:r w:rsidDel="00000000" w:rsidR="00000000" w:rsidRPr="00000000">
        <w:rPr>
          <w:rtl w:val="0"/>
        </w:rPr>
      </w:r>
    </w:p>
    <w:p w:rsidR="00000000" w:rsidDel="00000000" w:rsidP="00000000" w:rsidRDefault="00000000" w:rsidRPr="00000000" w14:paraId="00000013">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w:t>
        <w:tab/>
        <w:tab/>
        <w:t xml:space="preserve">GIST </w:t>
      </w:r>
      <w:hyperlink r:id="rId12">
        <w:r w:rsidDel="00000000" w:rsidR="00000000" w:rsidRPr="00000000">
          <w:rPr>
            <w:rFonts w:ascii="Cambria" w:cs="Cambria" w:eastAsia="Cambria" w:hAnsi="Cambria"/>
            <w:color w:val="1155cc"/>
            <w:sz w:val="28"/>
            <w:szCs w:val="28"/>
            <w:u w:val="single"/>
            <w:rtl w:val="0"/>
          </w:rPr>
          <w:t xml:space="preserve">Summary</w:t>
        </w:r>
      </w:hyperlink>
      <w:r w:rsidDel="00000000" w:rsidR="00000000" w:rsidRPr="00000000">
        <w:rPr>
          <w:rFonts w:ascii="Cambria" w:cs="Cambria" w:eastAsia="Cambria" w:hAnsi="Cambria"/>
          <w:sz w:val="28"/>
          <w:szCs w:val="28"/>
          <w:rtl w:val="0"/>
        </w:rPr>
        <w:tab/>
      </w:r>
    </w:p>
    <w:p w:rsidR="00000000" w:rsidDel="00000000" w:rsidP="00000000" w:rsidRDefault="00000000" w:rsidRPr="00000000" w14:paraId="00000014">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                     Left </w:t>
      </w:r>
      <w:hyperlink r:id="rId13">
        <w:r w:rsidDel="00000000" w:rsidR="00000000" w:rsidRPr="00000000">
          <w:rPr>
            <w:rFonts w:ascii="Cambria" w:cs="Cambria" w:eastAsia="Cambria" w:hAnsi="Cambria"/>
            <w:color w:val="1155cc"/>
            <w:sz w:val="28"/>
            <w:szCs w:val="28"/>
            <w:u w:val="single"/>
            <w:rtl w:val="0"/>
          </w:rPr>
          <w:t xml:space="preserve">Side</w:t>
        </w:r>
      </w:hyperlink>
      <w:r w:rsidDel="00000000" w:rsidR="00000000" w:rsidRPr="00000000">
        <w:rPr>
          <w:rtl w:val="0"/>
        </w:rPr>
      </w:r>
    </w:p>
    <w:p w:rsidR="00000000" w:rsidDel="00000000" w:rsidP="00000000" w:rsidRDefault="00000000" w:rsidRPr="00000000" w14:paraId="00000015">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9</w:t>
      </w:r>
      <w:r w:rsidDel="00000000" w:rsidR="00000000" w:rsidRPr="00000000">
        <w:rPr>
          <w:rFonts w:ascii="Cambria" w:cs="Cambria" w:eastAsia="Cambria" w:hAnsi="Cambria"/>
          <w:sz w:val="28"/>
          <w:szCs w:val="28"/>
          <w:rtl w:val="0"/>
        </w:rPr>
        <w:t xml:space="preserve">                    Right </w:t>
      </w:r>
      <w:hyperlink r:id="rId14">
        <w:r w:rsidDel="00000000" w:rsidR="00000000" w:rsidRPr="00000000">
          <w:rPr>
            <w:rFonts w:ascii="Cambria" w:cs="Cambria" w:eastAsia="Cambria" w:hAnsi="Cambria"/>
            <w:color w:val="1155cc"/>
            <w:sz w:val="28"/>
            <w:szCs w:val="28"/>
            <w:u w:val="single"/>
            <w:rtl w:val="0"/>
          </w:rPr>
          <w:t xml:space="preserve">Side</w:t>
        </w:r>
      </w:hyperlink>
      <w:r w:rsidDel="00000000" w:rsidR="00000000" w:rsidRPr="00000000">
        <w:rPr>
          <w:rtl w:val="0"/>
        </w:rPr>
      </w:r>
    </w:p>
    <w:p w:rsidR="00000000" w:rsidDel="00000000" w:rsidP="00000000" w:rsidRDefault="00000000" w:rsidRPr="00000000" w14:paraId="00000016">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tab/>
        <w:tab/>
        <w:t xml:space="preserve">This is where we start filling out the rest of the VIANB</w:t>
      </w:r>
    </w:p>
    <w:p w:rsidR="00000000" w:rsidDel="00000000" w:rsidP="00000000" w:rsidRDefault="00000000" w:rsidRPr="00000000" w14:paraId="00000017">
      <w:pPr>
        <w:pageBreakBefore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8">
      <w:pPr>
        <w:pageBreakBefore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9">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Lastly, go back and skim the informational handouts that you now have in your class notebook. This is </w:t>
      </w:r>
      <w:r w:rsidDel="00000000" w:rsidR="00000000" w:rsidRPr="00000000">
        <w:rPr>
          <w:rFonts w:ascii="Cambria" w:cs="Cambria" w:eastAsia="Cambria" w:hAnsi="Cambria"/>
          <w:i w:val="1"/>
          <w:sz w:val="28"/>
          <w:szCs w:val="28"/>
          <w:u w:val="single"/>
          <w:rtl w:val="0"/>
        </w:rPr>
        <w:t xml:space="preserve">SO</w:t>
      </w:r>
      <w:r w:rsidDel="00000000" w:rsidR="00000000" w:rsidRPr="00000000">
        <w:rPr>
          <w:rFonts w:ascii="Cambria" w:cs="Cambria" w:eastAsia="Cambria" w:hAnsi="Cambria"/>
          <w:sz w:val="28"/>
          <w:szCs w:val="28"/>
          <w:rtl w:val="0"/>
        </w:rPr>
        <w:t xml:space="preserve"> much information, and we will really get to know all of it as we move through the course, so don’t worry about knowing/memorizing everything at this point; just become familiar with it at this point. This will be the notebook that stays with YOU so that you can complete, follow, study, go over what you learned, etc. We will turn in this notebook for credit at the end of each unit.</w:t>
      </w:r>
    </w:p>
    <w:p w:rsidR="00000000" w:rsidDel="00000000" w:rsidP="00000000" w:rsidRDefault="00000000" w:rsidRPr="00000000" w14:paraId="0000001A">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 How each page should be done</w:t>
      </w:r>
      <w:r w:rsidDel="00000000" w:rsidR="00000000" w:rsidRPr="00000000">
        <w:drawing>
          <wp:anchor allowOverlap="1" behindDoc="0" distB="114300" distT="114300" distL="114300" distR="114300" hidden="0" layoutInCell="1" locked="0" relativeHeight="0" simplePos="0">
            <wp:simplePos x="0" y="0"/>
            <wp:positionH relativeFrom="column">
              <wp:posOffset>3251200</wp:posOffset>
            </wp:positionH>
            <wp:positionV relativeFrom="paragraph">
              <wp:posOffset>203200</wp:posOffset>
            </wp:positionV>
            <wp:extent cx="3464491" cy="468725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64491" cy="4687252"/>
                    </a:xfrm>
                    <a:prstGeom prst="rect"/>
                    <a:ln/>
                  </pic:spPr>
                </pic:pic>
              </a:graphicData>
            </a:graphic>
          </wp:anchor>
        </w:drawing>
      </w:r>
    </w:p>
    <w:p w:rsidR="00000000" w:rsidDel="00000000" w:rsidP="00000000" w:rsidRDefault="00000000" w:rsidRPr="00000000" w14:paraId="0000001B">
      <w:pPr>
        <w:pageBreakBefore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 separate screenshot for each page of the document</w:t>
      </w:r>
    </w:p>
    <w:p w:rsidR="00000000" w:rsidDel="00000000" w:rsidP="00000000" w:rsidRDefault="00000000" w:rsidRPr="00000000" w14:paraId="0000001D">
      <w:pPr>
        <w:pageBreakBefore w:val="0"/>
        <w:numPr>
          <w:ilvl w:val="1"/>
          <w:numId w:val="1"/>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2 pages = 2 screenshots, 4 pages = 4 screenshots</w:t>
      </w:r>
    </w:p>
    <w:p w:rsidR="00000000" w:rsidDel="00000000" w:rsidP="00000000" w:rsidRDefault="00000000" w:rsidRPr="00000000" w14:paraId="0000001E">
      <w:pPr>
        <w:pageBreakBefore w:val="0"/>
        <w:numPr>
          <w:ilvl w:val="1"/>
          <w:numId w:val="1"/>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We don’t need to be able to read what is on the page</w:t>
      </w:r>
    </w:p>
    <w:p w:rsidR="00000000" w:rsidDel="00000000" w:rsidP="00000000" w:rsidRDefault="00000000" w:rsidRPr="00000000" w14:paraId="0000001F">
      <w:pPr>
        <w:pageBreakBefore w:val="0"/>
        <w:numPr>
          <w:ilvl w:val="1"/>
          <w:numId w:val="1"/>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We do need to be able to see what the document looks like</w:t>
      </w:r>
    </w:p>
    <w:p w:rsidR="00000000" w:rsidDel="00000000" w:rsidP="00000000" w:rsidRDefault="00000000" w:rsidRPr="00000000" w14:paraId="00000020">
      <w:pPr>
        <w:pageBreakBefore w:val="0"/>
        <w:numPr>
          <w:ilvl w:val="0"/>
          <w:numId w:val="1"/>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 link to the digital document</w:t>
      </w:r>
    </w:p>
    <w:p w:rsidR="00000000" w:rsidDel="00000000" w:rsidP="00000000" w:rsidRDefault="00000000" w:rsidRPr="00000000" w14:paraId="00000021">
      <w:pPr>
        <w:pageBreakBefore w:val="0"/>
        <w:numPr>
          <w:ilvl w:val="1"/>
          <w:numId w:val="1"/>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This gives the viewer the ability to “read” what is on the document and examine it in greater detail</w:t>
      </w:r>
      <w:r w:rsidDel="00000000" w:rsidR="00000000" w:rsidRPr="00000000">
        <w:rPr>
          <w:rtl w:val="0"/>
        </w:rPr>
      </w:r>
    </w:p>
    <w:sectPr>
      <w:pgSz w:h="15840" w:w="12240" w:orient="portrait"/>
      <w:pgMar w:bottom="576" w:top="576"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Permanent Marker">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XxQgYgy-qYUheec2oIgIxymZNnxgPQhyIRlxToM5r7o/view" TargetMode="External"/><Relationship Id="rId10" Type="http://schemas.openxmlformats.org/officeDocument/2006/relationships/hyperlink" Target="https://docs.google.com/document/d/16NndGUgDr2mWJYdkU1DuwPGQ3HK3Ok0970mIfVhwUhA/view" TargetMode="External"/><Relationship Id="rId13" Type="http://schemas.openxmlformats.org/officeDocument/2006/relationships/hyperlink" Target="https://drive.google.com/file/d/0BzAsdpWut9ZeTE5BRHJVdDBVMDQ/view" TargetMode="External"/><Relationship Id="rId12" Type="http://schemas.openxmlformats.org/officeDocument/2006/relationships/hyperlink" Target="https://drive.google.com/file/d/0BzAsdpWut9ZeakhJcEowa08zNnM/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BcM7Ba2rD5dDwtQWr6Oudcc7X40h36v0/view?usp=sharing" TargetMode="External"/><Relationship Id="rId15" Type="http://schemas.openxmlformats.org/officeDocument/2006/relationships/image" Target="media/image1.png"/><Relationship Id="rId14" Type="http://schemas.openxmlformats.org/officeDocument/2006/relationships/hyperlink" Target="https://drive.google.com/file/d/0BzAsdpWut9ZeTGxhX0VwVGR2dG8/view?usp=shar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presentation/d/1bpeFZKfsNXvjsA8TF1YNIP4WMIkJOu71Jg3VB6x0Xg0/edit?usp=sharing" TargetMode="External"/><Relationship Id="rId8" Type="http://schemas.openxmlformats.org/officeDocument/2006/relationships/hyperlink" Target="https://www.take-a-screenshot.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ermanentMark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