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Dessa Shapiro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5/19/20</w:t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My poetry response 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is a poem I wrote in response to “Today i did nothing” written in my own style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Today, Someone did something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Trapped.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Such is the life of a caged bird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Yearning to spread its wings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fly above the line where the the trees release to the sky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Trapped,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Not by medal bars,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Of invisible hands pulling a leash it never knew it had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And shadowing whispers binding it’s wings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As heavy as any stone or brick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It felt like the door was so close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Buy there were eyes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No proof they were there, except the watching presence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Slowly chipping pieces of it’s sole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How long until it's nothing but a shell,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They were flying free, able to sore through the open air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But their eyes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Not of hope and freedom as it thought should be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For, another weight was upon them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Not of chains or stones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Blurry figures followed them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Whispering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It wished to reach out to them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They yelled scratching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As, you would worsen their burden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Alone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 its cage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Watching others sore through smog filled air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Utterly useless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38500" cy="4902200"/>
            <wp:effectExtent b="0" l="0" r="0" t="0"/>
            <wp:docPr descr="Bird Cage Drawing Illustration Digtal Art. | Bird drawings ..." id="1" name="image1.jpg"/>
            <a:graphic>
              <a:graphicData uri="http://schemas.openxmlformats.org/drawingml/2006/picture">
                <pic:pic>
                  <pic:nvPicPr>
                    <pic:cNvPr descr="Bird Cage Drawing Illustration Digtal Art. | Bird drawings ..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