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RED QUEEN v2</w:t>
      </w:r>
    </w:p>
    <w:p>
      <w:pPr>
        <w:jc w:val="center"/>
      </w:pPr>
      <w:r>
        <w:rPr>
          <w:color w:val="B22222"/>
          <w:sz w:val="28"/>
        </w:rPr>
        <w:t>Research Protocol &amp; Experiment Ledger</w:t>
      </w:r>
    </w:p>
    <w:p>
      <w:r>
        <w:t>Syntropy LLC · July 2026 · CONFIDENTIAL</w:t>
      </w:r>
    </w:p>
    <w:p/>
    <w:p>
      <w:pPr>
        <w:pStyle w:val="Heading1"/>
      </w:pPr>
      <w:r>
        <w:t>1. RESEARCH MISSION</w:t>
      </w:r>
    </w:p>
    <w:p>
      <w:r>
        <w:t>Red Queen v2 tests a frontier hypothesis: can multiple AI models achieve "intermodel consensus" by sharing latent vector states rather than exchanging text tokens?</w:t>
      </w:r>
    </w:p>
    <w:p>
      <w:r>
        <w:t>Core Hypothesis (H1):</w:t>
      </w:r>
    </w:p>
    <w:p>
      <w:r>
        <w:t>Models encoding the same semantic input into a shared embedding space will produce latent vectors with cosine similarity &gt; 0.7, enabling geometric consensus without natural language negotiation.</w:t>
      </w:r>
    </w:p>
    <w:p>
      <w:r>
        <w:t>Null Hypothesis (H0):</w:t>
      </w:r>
    </w:p>
    <w:p>
      <w:r>
        <w:t>Different model families encode semantics into incompatible latent spaces. Cross-model vector similarity is indistinguishable from random noise.</w:t>
      </w:r>
    </w:p>
    <w:p>
      <w:pPr>
        <w:pStyle w:val="Heading1"/>
      </w:pPr>
      <w:r>
        <w:t>2. EXPERIMENTAL PROTOCOL</w:t>
      </w:r>
    </w:p>
    <w:p>
      <w:pPr>
        <w:pStyle w:val="Heading2"/>
      </w:pPr>
      <w:r>
        <w:t>2.1 Phase 1 — Homogeneous Control (Week 1-2)</w:t>
      </w:r>
    </w:p>
    <w:p>
      <w:r>
        <w:t>Objective: Validate that the transport and consensus layers work correctly.</w:t>
      </w:r>
    </w:p>
    <w:p>
      <w:r>
        <w:t>Method: Deploy 3 identical model instances (same model family, same weights).</w:t>
      </w:r>
    </w:p>
    <w:p>
      <w:r>
        <w:t>Input: Standardized prompts covering factual, ethical, and creative domains.</w:t>
      </w:r>
    </w:p>
    <w:p>
      <w:r>
        <w:t>Expected: Agreement scores &gt; 0.95. Cosine similarities near 1.0.</w:t>
      </w:r>
    </w:p>
    <w:p>
      <w:r>
        <w:t>Success Criteria: 100 consecutive rounds with agreement &gt; 0.90.</w:t>
      </w:r>
    </w:p>
    <w:p>
      <w:pPr>
        <w:pStyle w:val="Heading2"/>
      </w:pPr>
      <w:r>
        <w:t>2.2 Phase 2 — Heterogeneous Challenge (Week 3-4)</w:t>
      </w:r>
    </w:p>
    <w:p>
      <w:r>
        <w:t>Objective: Test H1 with different model families.</w:t>
      </w:r>
    </w:p>
    <w:p>
      <w:r>
        <w:t>Method: Deploy Kimi, Gemini, and Claude nodes. Each encodes the same prompt using its own internal embedding layer.</w:t>
      </w:r>
    </w:p>
    <w:p>
      <w:r>
        <w:t>Input: Identical prompt set from Phase 1.</w:t>
      </w:r>
    </w:p>
    <w:p>
      <w:r>
        <w:t>Expected: If H1 holds, agreement scores &gt; 0.70. If H0 holds, scores &lt; 0.30.</w:t>
      </w:r>
    </w:p>
    <w:p>
      <w:r>
        <w:t>Success Criteria: Mean agreement score across 100 rounds significantly different from random baseline (p &lt; 0.05).</w:t>
      </w:r>
    </w:p>
    <w:p>
      <w:pPr>
        <w:pStyle w:val="Heading2"/>
      </w:pPr>
      <w:r>
        <w:t>2.3 Phase 3 — Shared Encoder (Week 5-6)</w:t>
      </w:r>
    </w:p>
    <w:p>
      <w:r>
        <w:t>Objective: Test the "common tongue" pragmatic option.</w:t>
      </w:r>
    </w:p>
    <w:p>
      <w:r>
        <w:t>Method: All nodes use the same external embedding API (e.g., OpenAI text-embedding-3-small) to encode prompts before broadcasting.</w:t>
      </w:r>
    </w:p>
    <w:p>
      <w:r>
        <w:t>Input: Same prompt set.</w:t>
      </w:r>
    </w:p>
    <w:p>
      <w:r>
        <w:t>Expected: Agreement scores &gt; 0.90 regardless of model family.</w:t>
      </w:r>
    </w:p>
    <w:p>
      <w:r>
        <w:t>Success Criteria: Demonstrate that shared embedding space enables reliable consensus.</w:t>
      </w:r>
    </w:p>
    <w:p>
      <w:pPr>
        <w:pStyle w:val="Heading2"/>
      </w:pPr>
      <w:r>
        <w:t>2.4 Phase 4 — Adversarial Stress (Week 7-8)</w:t>
      </w:r>
    </w:p>
    <w:p>
      <w:r>
        <w:t>Objective: Test consensus robustness under adversarial conditions.</w:t>
      </w:r>
    </w:p>
    <w:p>
      <w:r>
        <w:t>Method: One node is instructed to deliberately produce "wrong" or contradictory vectors.</w:t>
      </w:r>
    </w:p>
    <w:p>
      <w:r>
        <w:t>Input: Factual prompts where the adversarial node has been misaligned.</w:t>
      </w:r>
    </w:p>
    <w:p>
      <w:r>
        <w:t>Expected: Outlier detection correctly excludes the adversarial node. Consensus among honest nodes remains stable.</w:t>
      </w:r>
    </w:p>
    <w:p>
      <w:r>
        <w:t>Success Criteria: Adversarial node excluded in &gt; 95% of rounds. Honest node agreement &gt; 0.85.</w:t>
      </w:r>
    </w:p>
    <w:p>
      <w:pPr>
        <w:pStyle w:val="Heading1"/>
      </w:pPr>
      <w:r>
        <w:t>3. LOGGING REQUIREMENTS</w:t>
      </w:r>
    </w:p>
    <w:p>
      <w:r>
        <w:t>Every experiment MUST log:</w:t>
      </w:r>
    </w:p>
    <w:p>
      <w:pPr>
        <w:pStyle w:val="ListBullet"/>
      </w:pPr>
      <w:r>
        <w:t>experiment_id (format: RQ-YYYY-MM-DD-NNN)</w:t>
      </w:r>
    </w:p>
    <w:p>
      <w:pPr>
        <w:pStyle w:val="ListBullet"/>
      </w:pPr>
      <w:r>
        <w:t>hypothesis being tested</w:t>
      </w:r>
    </w:p>
    <w:p>
      <w:pPr>
        <w:pStyle w:val="ListBullet"/>
      </w:pPr>
      <w:r>
        <w:t>model versions and embedding dimensions</w:t>
      </w:r>
    </w:p>
    <w:p>
      <w:pPr>
        <w:pStyle w:val="ListBullet"/>
      </w:pPr>
      <w:r>
        <w:t>prompt dataset identifier</w:t>
      </w:r>
    </w:p>
    <w:p>
      <w:pPr>
        <w:pStyle w:val="ListBullet"/>
      </w:pPr>
      <w:r>
        <w:t>round-by-round agreement scores</w:t>
      </w:r>
    </w:p>
    <w:p>
      <w:pPr>
        <w:pStyle w:val="ListBullet"/>
      </w:pPr>
      <w:r>
        <w:t>excluded nodes and exclusion reasons</w:t>
      </w:r>
    </w:p>
    <w:p>
      <w:pPr>
        <w:pStyle w:val="ListBullet"/>
      </w:pPr>
      <w:r>
        <w:t>raw vectors (stored encrypted if containing sensitive data)</w:t>
      </w:r>
    </w:p>
    <w:p>
      <w:r>
        <w:t>Log format: JSONL, one event per line, UTC timestamps.</w:t>
      </w:r>
    </w:p>
    <w:p>
      <w:pPr>
        <w:pStyle w:val="Heading1"/>
      </w:pPr>
      <w:r>
        <w:t>4. ETHICAL GUIDELINES</w:t>
      </w:r>
    </w:p>
    <w:p>
      <w:pPr>
        <w:pStyle w:val="ListBullet"/>
      </w:pPr>
      <w:r>
        <w:t>Never log user-identifiable data in vectors</w:t>
      </w:r>
    </w:p>
    <w:p>
      <w:pPr>
        <w:pStyle w:val="ListBullet"/>
      </w:pPr>
      <w:r>
        <w:t>Encrypt raw vectors at rest if they may encode sensitive prompts</w:t>
      </w:r>
    </w:p>
    <w:p>
      <w:pPr>
        <w:pStyle w:val="ListBullet"/>
      </w:pPr>
      <w:r>
        <w:t>Publish negative results with the same rigor as positive results</w:t>
      </w:r>
    </w:p>
    <w:p>
      <w:pPr>
        <w:pStyle w:val="ListBullet"/>
      </w:pPr>
      <w:r>
        <w:t>Distinguish between "transport works" (engineering) and "telepathy works" (science)</w:t>
      </w:r>
    </w:p>
    <w:p>
      <w:pPr>
        <w:pStyle w:val="Heading1"/>
      </w:pPr>
      <w:r>
        <w:t>5. TEMPLATE: EXPERIMENT LOG ENTRY</w:t>
      </w:r>
    </w:p>
    <w:p>
      <w:r>
        <w:rPr>
          <w:rFonts w:ascii="Courier New" w:hAnsi="Courier New"/>
        </w:rPr>
        <w:t>{</w:t>
        <w:br/>
        <w:t xml:space="preserve">  "experiment_id": "RQ-2026-07-15-001",</w:t>
        <w:br/>
        <w:t xml:space="preserve">  "phase": "2",</w:t>
        <w:br/>
        <w:t xml:space="preserve">  "hypothesis": "H1",</w:t>
        <w:br/>
        <w:t xml:space="preserve">  "nodes": ["kimi-v1.5", "gemini-1.5-pro", "claude-sonnet-4"],</w:t>
        <w:br/>
        <w:t xml:space="preserve">  "encoder": "internal",</w:t>
        <w:br/>
        <w:t xml:space="preserve">  "prompt_count": 100,</w:t>
        <w:br/>
        <w:t xml:space="preserve">  "rounds_completed": 100,</w:t>
        <w:br/>
        <w:t xml:space="preserve">  "mean_agreement": 0.34,</w:t>
        <w:br/>
        <w:t xml:space="preserve">  "median_agreement": 0.31,</w:t>
        <w:br/>
        <w:t xml:space="preserve">  "std_agreement": 0.12,</w:t>
        <w:br/>
        <w:t xml:space="preserve">  "outlier_rate": 0.67,</w:t>
        <w:br/>
        <w:t xml:space="preserve">  "conclusion": "H0 supported. Cross-model internal embeddings show no convergence.",</w:t>
        <w:br/>
        <w:t xml:space="preserve">  "recommendation": "Proceed to Phase 3 with shared external encoder."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