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Lab:</w:t>
      </w:r>
      <w:r>
        <w:t xml:space="preserve"> </w:t>
      </w: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of</w:t>
      </w:r>
      <w:r>
        <w:t xml:space="preserve"> </w:t>
      </w:r>
      <w:r>
        <w:t xml:space="preserve">Proportions</w:t>
      </w:r>
    </w:p>
    <w:p>
      <w:pPr>
        <w:pStyle w:val="Subtitle"/>
      </w:pPr>
      <w:r>
        <w:t xml:space="preserve">75694189</w:t>
      </w:r>
      <w:r>
        <w:t xml:space="preserve"> </w:t>
      </w:r>
      <w:r>
        <w:t xml:space="preserve">16257626</w:t>
      </w:r>
      <w:r>
        <w:t xml:space="preserve"> </w:t>
      </w:r>
      <w:r>
        <w:t xml:space="preserve">13341225</w:t>
      </w:r>
    </w:p>
    <w:p>
      <w:pPr>
        <w:pStyle w:val="Author"/>
      </w:pPr>
      <w:r>
        <w:t xml:space="preserve">Chen</w:t>
      </w:r>
      <w:r>
        <w:t xml:space="preserve"> </w:t>
      </w:r>
      <w:r>
        <w:t xml:space="preserve">Wang,</w:t>
      </w:r>
      <w:r>
        <w:t xml:space="preserve"> </w:t>
      </w:r>
      <w:r>
        <w:t xml:space="preserve">Junke</w:t>
      </w:r>
      <w:r>
        <w:t xml:space="preserve"> </w:t>
      </w:r>
      <w:r>
        <w:t xml:space="preserve">Wang,</w:t>
      </w:r>
      <w:r>
        <w:t xml:space="preserve"> </w:t>
      </w:r>
      <w:r>
        <w:t xml:space="preserve">Zhuozhi</w:t>
      </w:r>
      <w:r>
        <w:t xml:space="preserve"> </w:t>
      </w:r>
      <w:r>
        <w:t xml:space="preserve">Xiong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11/13</w:t>
      </w:r>
      <w:r>
        <w:t xml:space="preserve"> </w:t>
      </w:r>
      <w:r>
        <w:t xml:space="preserve">at</w:t>
      </w:r>
      <w:r>
        <w:t xml:space="preserve"> </w:t>
      </w:r>
      <w:r>
        <w:t xml:space="preserve">end</w:t>
      </w:r>
      <w:r>
        <w:t xml:space="preserve"> </w:t>
      </w:r>
      <w:r>
        <w:t xml:space="preserve">of</w:t>
      </w:r>
      <w:r>
        <w:t xml:space="preserve"> </w:t>
      </w:r>
      <w:r>
        <w:t xml:space="preserve">discussion</w:t>
      </w:r>
    </w:p>
    <w:p>
      <w:pPr>
        <w:pStyle w:val="Heading2"/>
      </w:pPr>
      <w:bookmarkStart w:id="20" w:name="as-a-class"/>
      <w:r>
        <w:t xml:space="preserve">As A Class</w:t>
      </w:r>
      <w:bookmarkEnd w:id="20"/>
    </w:p>
    <w:p>
      <w:pPr>
        <w:numPr>
          <w:numId w:val="1001"/>
          <w:ilvl w:val="0"/>
        </w:numPr>
      </w:pPr>
      <w:r>
        <w:t xml:space="preserve">Go to:</w:t>
      </w:r>
      <w:r>
        <w:t xml:space="preserve"> </w:t>
      </w:r>
      <w:hyperlink r:id="rId21">
        <w:r>
          <w:rPr>
            <w:rStyle w:val="Hyperlink"/>
          </w:rPr>
          <w:t xml:space="preserve">http://www.rossmanchance.com/applets/OneProp/OneProp.htm?candy=1</w:t>
        </w:r>
      </w:hyperlink>
      <w:r>
        <w:t xml:space="preserve">. Set</w:t>
      </w:r>
      <w:r>
        <w:t xml:space="preserve"> </w:t>
      </w:r>
      <w:r>
        <w:t xml:space="preserve">“</w:t>
      </w:r>
      <w:r>
        <w:t xml:space="preserve">proportion of orange</w:t>
      </w:r>
      <w:r>
        <w:t xml:space="preserve">”</w:t>
      </w:r>
      <w:r>
        <w:t xml:space="preserve"> </w:t>
      </w:r>
      <w:r>
        <w:t xml:space="preserve">to 0.4, and</w:t>
      </w:r>
      <w:r>
        <w:t xml:space="preserve"> </w:t>
      </w:r>
      <w:r>
        <w:t xml:space="preserve">“</w:t>
      </w:r>
      <w:r>
        <w:t xml:space="preserve">number of candies</w:t>
      </w:r>
      <w:r>
        <w:t xml:space="preserve">”</w:t>
      </w:r>
      <w:r>
        <w:t xml:space="preserve"> </w:t>
      </w:r>
      <w:r>
        <w:t xml:space="preserve">to 50. Select</w:t>
      </w:r>
      <w:r>
        <w:t xml:space="preserve"> </w:t>
      </w:r>
      <w:r>
        <w:t xml:space="preserve">“</w:t>
      </w:r>
      <w:r>
        <w:t xml:space="preserve">proportion of orange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summary statistics</w:t>
      </w:r>
      <w:r>
        <w:t xml:space="preserve">”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Draw 1 sample. What sample proportion of orange did you get?</w:t>
      </w:r>
    </w:p>
    <w:p>
      <w:pPr>
        <w:pStyle w:val="FirstParagraph"/>
      </w:pPr>
      <w:r>
        <w:t xml:space="preserve">Text:</w:t>
      </w:r>
    </w:p>
    <w:p>
      <w:pPr>
        <w:pStyle w:val="BodyText"/>
      </w:pPr>
      <w:r>
        <w:t xml:space="preserve">I got a sample proportion of 0.34</w:t>
      </w:r>
    </w:p>
    <w:p>
      <w:pPr>
        <w:pStyle w:val="Compact"/>
        <w:numPr>
          <w:numId w:val="1002"/>
          <w:ilvl w:val="0"/>
        </w:numPr>
      </w:pPr>
      <w:r>
        <w:t xml:space="preserve">Uncheck</w:t>
      </w:r>
      <w:r>
        <w:t xml:space="preserve"> </w:t>
      </w:r>
      <w:r>
        <w:t xml:space="preserve">“</w:t>
      </w:r>
      <w:r>
        <w:t xml:space="preserve">Animate</w:t>
      </w:r>
      <w:r>
        <w:t xml:space="preserve">”</w:t>
      </w:r>
      <w:r>
        <w:t xml:space="preserve">. Draw 50 more samples. What is the mean of the sample proportions? What is the standard deviation?</w:t>
      </w:r>
    </w:p>
    <w:p>
      <w:pPr>
        <w:pStyle w:val="FirstParagraph"/>
      </w:pPr>
      <w:r>
        <w:t xml:space="preserve">Text:</w:t>
      </w:r>
    </w:p>
    <w:p>
      <w:pPr>
        <w:pStyle w:val="BodyText"/>
      </w:pPr>
      <w:r>
        <w:t xml:space="preserve">The mean was 0.382, and the standard deviation was 0.071.</w:t>
      </w:r>
    </w:p>
    <w:p>
      <w:pPr>
        <w:pStyle w:val="Compact"/>
        <w:numPr>
          <w:numId w:val="1003"/>
          <w:ilvl w:val="0"/>
        </w:numPr>
      </w:pPr>
      <w:r>
        <w:t xml:space="preserve">By central limit theorem, what should the mean of the sample proportions be? What should the standard error be?</w:t>
      </w:r>
    </w:p>
    <w:p>
      <w:pPr>
        <w:pStyle w:val="FirstParagraph"/>
      </w:pPr>
      <w:r>
        <w:t xml:space="preserve">Code (for use as calculator):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br w:type="textWrapping"/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</w:t>
      </w:r>
    </w:p>
    <w:p>
      <w:pPr>
        <w:pStyle w:val="SourceCode"/>
      </w:pPr>
      <w:r>
        <w:rPr>
          <w:rStyle w:val="VerbatimChar"/>
        </w:rPr>
        <w:t xml:space="preserve">## [1] 0.06928203</w:t>
      </w:r>
    </w:p>
    <w:p>
      <w:pPr>
        <w:pStyle w:val="FirstParagraph"/>
      </w:pPr>
      <w:r>
        <w:t xml:space="preserve">Text:</w:t>
      </w:r>
      <w:r>
        <w:t xml:space="preserve"> </w:t>
      </w:r>
      <w:r>
        <w:t xml:space="preserve">The mean should be 0.4.</w:t>
      </w:r>
      <w:r>
        <w:br w:type="textWrapping"/>
      </w:r>
      <w:r>
        <w:t xml:space="preserve">The standard error should be 0.06928203.</w:t>
      </w:r>
    </w:p>
    <w:p>
      <w:pPr>
        <w:pStyle w:val="Compact"/>
        <w:numPr>
          <w:numId w:val="1004"/>
          <w:ilvl w:val="0"/>
        </w:numPr>
      </w:pPr>
      <w:r>
        <w:t xml:space="preserve">Draw 1 more sample. Conduct a hypothesis test to determine if this sample proportion is greater than 0.4.</w:t>
      </w:r>
    </w:p>
    <w:p>
      <w:pPr>
        <w:pStyle w:val="FirstParagraph"/>
      </w:pPr>
      <w:r>
        <w:t xml:space="preserve">Code:</w:t>
      </w:r>
    </w:p>
    <w:p>
      <w:pPr>
        <w:pStyle w:val="SourceCode"/>
      </w:pPr>
      <w:r>
        <w:rPr>
          <w:rStyle w:val="NormalTok"/>
        </w:rPr>
        <w:t xml:space="preserve">p.hat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0.56</w:t>
      </w:r>
      <w:r>
        <w:br w:type="textWrapping"/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(p.hat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2.309401</w:t>
      </w:r>
    </w:p>
    <w:p>
      <w:pPr>
        <w:pStyle w:val="SourceCode"/>
      </w:pPr>
      <w:r>
        <w:rPr>
          <w:rStyle w:val="NormalTok"/>
        </w:rPr>
        <w:t xml:space="preserve">z.crit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z.crit</w:t>
      </w:r>
    </w:p>
    <w:p>
      <w:pPr>
        <w:pStyle w:val="SourceCode"/>
      </w:pPr>
      <w:r>
        <w:rPr>
          <w:rStyle w:val="VerbatimChar"/>
        </w:rPr>
        <w:t xml:space="preserve">## [1] 1.644854</w:t>
      </w:r>
    </w:p>
    <w:p>
      <w:pPr>
        <w:pStyle w:val="SourceCode"/>
      </w:pPr>
      <w:r>
        <w:rPr>
          <w:rStyle w:val="NormalTok"/>
        </w:rPr>
        <w:t xml:space="preserve">pvalue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pvalue</w:t>
      </w:r>
    </w:p>
    <w:p>
      <w:pPr>
        <w:pStyle w:val="SourceCode"/>
      </w:pPr>
      <w:r>
        <w:rPr>
          <w:rStyle w:val="VerbatimChar"/>
        </w:rPr>
        <w:t xml:space="preserve">## [1] 0.01046067</w:t>
      </w:r>
    </w:p>
    <w:p>
      <w:pPr>
        <w:pStyle w:val="FirstParagraph"/>
      </w:pPr>
      <w:r>
        <w:t xml:space="preserve">Text: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p</m:t>
        </m:r>
        <m:r>
          <m:t>=</m:t>
        </m:r>
        <m:r>
          <m:t>0.4</m:t>
        </m:r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r>
          <m:t>p</m:t>
        </m:r>
        <m:r>
          <m:t>&gt;</m:t>
        </m:r>
        <m:r>
          <m:t>0.4</m:t>
        </m:r>
      </m:oMath>
    </w:p>
    <w:p>
      <w:pPr>
        <w:pStyle w:val="BodyText"/>
      </w:pPr>
      <w:r>
        <w:t xml:space="preserve">Because</w:t>
      </w:r>
      <w:r>
        <w:t xml:space="preserve"> </w:t>
      </w:r>
      <m:oMath>
        <m:r>
          <m:t>Z</m:t>
        </m:r>
        <m:r>
          <m:t>=</m:t>
        </m:r>
        <m:r>
          <m:t>2.31</m:t>
        </m:r>
        <m:r>
          <m:t>&gt;</m:t>
        </m:r>
        <m:sSup>
          <m:e>
            <m:r>
              <m:t>Z</m:t>
            </m:r>
          </m:e>
          <m:sup>
            <m:r>
              <m:t>*</m:t>
            </m:r>
          </m:sup>
        </m:sSup>
        <m:r>
          <m:t>=</m:t>
        </m:r>
        <m:r>
          <m:t>1.64</m:t>
        </m:r>
      </m:oMath>
      <w:r>
        <w:t xml:space="preserve">, we have sufficient evidence to conclude that we can reject the null hypothesis, 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greater than 0.4.</w:t>
      </w:r>
      <w:r>
        <w:t xml:space="preserve"> </w:t>
      </w:r>
    </w:p>
    <w:p>
      <w:pPr>
        <w:pStyle w:val="Heading2"/>
      </w:pPr>
      <w:bookmarkStart w:id="22" w:name="on-your-own-in-groups"/>
      <w:r>
        <w:t xml:space="preserve">On Your Own, In Groups</w:t>
      </w:r>
      <w:bookmarkEnd w:id="22"/>
    </w:p>
    <w:p>
      <w:pPr>
        <w:pStyle w:val="Compact"/>
        <w:numPr>
          <w:numId w:val="1005"/>
          <w:ilvl w:val="0"/>
        </w:numPr>
      </w:pPr>
      <w:r>
        <w:t xml:space="preserve">According to</w:t>
      </w:r>
      <w:r>
        <w:t xml:space="preserve"> </w:t>
      </w:r>
      <w:hyperlink r:id="rId23">
        <w:r>
          <w:rPr>
            <w:rStyle w:val="Hyperlink"/>
          </w:rPr>
          <w:t xml:space="preserve">a survey</w:t>
        </w:r>
      </w:hyperlink>
      <w:r>
        <w:t xml:space="preserve"> </w:t>
      </w:r>
      <w:r>
        <w:t xml:space="preserve">of 1,364 4-year colleges and universities conducted by the Pew Research Center, 53.3% of colleges admitted at least two-thirds of their applicants in 2017.</w:t>
      </w:r>
    </w:p>
    <w:p>
      <w:pPr>
        <w:pStyle w:val="Compact"/>
        <w:numPr>
          <w:numId w:val="1006"/>
          <w:ilvl w:val="0"/>
        </w:numPr>
      </w:pPr>
      <w:r>
        <w:t xml:space="preserve">Calculate an 85% confidence interval for the proportion of colleges/universities that admitted at least two-thirds of their applicants in 2017. Interpret it.</w:t>
      </w:r>
    </w:p>
    <w:p>
      <w:pPr>
        <w:pStyle w:val="FirstParagraph"/>
      </w:pPr>
      <w:r>
        <w:t xml:space="preserve">Code:</w:t>
      </w:r>
    </w:p>
    <w:p>
      <w:pPr>
        <w:pStyle w:val="SourceCode"/>
      </w:pP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0.533</w:t>
      </w:r>
      <w:r>
        <w:br w:type="textWrapping"/>
      </w:r>
      <w:r>
        <w:rPr>
          <w:rStyle w:val="NormalTok"/>
        </w:rPr>
        <w:t xml:space="preserve">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critic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critic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</w:t>
      </w:r>
    </w:p>
    <w:p>
      <w:pPr>
        <w:pStyle w:val="SourceCode"/>
      </w:pPr>
      <w:r>
        <w:rPr>
          <w:rStyle w:val="VerbatimChar"/>
        </w:rPr>
        <w:t xml:space="preserve">## [1] 0.5524463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critic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</w:t>
      </w:r>
    </w:p>
    <w:p>
      <w:pPr>
        <w:pStyle w:val="SourceCode"/>
      </w:pPr>
      <w:r>
        <w:rPr>
          <w:rStyle w:val="VerbatimChar"/>
        </w:rPr>
        <w:t xml:space="preserve">## [1] 0.5135537</w:t>
      </w:r>
    </w:p>
    <w:p>
      <w:pPr>
        <w:pStyle w:val="FirstParagraph"/>
      </w:pPr>
      <w:r>
        <w:t xml:space="preserve">Text:</w:t>
      </w:r>
    </w:p>
    <w:p>
      <w:pPr>
        <w:pStyle w:val="BodyText"/>
      </w:pPr>
      <w:r>
        <w:t xml:space="preserve">The confidence interval is (0.5135537, 0.5524463).</w:t>
      </w:r>
    </w:p>
    <w:p>
      <w:pPr>
        <w:pStyle w:val="BodyText"/>
      </w:pPr>
      <w:r>
        <w:t xml:space="preserve">We have 85% confidence that the proportion of colleges/universities that admitted at least two-thirds of their applicants in 2017 is between 51.3% and 55.2%.</w:t>
      </w:r>
    </w:p>
    <w:p>
      <w:r>
        <w:br w:type="page"/>
      </w:r>
    </w:p>
    <w:p>
      <w:pPr>
        <w:pStyle w:val="Compact"/>
        <w:numPr>
          <w:numId w:val="1007"/>
          <w:ilvl w:val="0"/>
        </w:numPr>
      </w:pPr>
      <w:r>
        <w:t xml:space="preserve">In the fall of 2018, Girls Who Code (GWC) surveyed women affiliated with the organization about their experiences applying for internships in the tech industry (read the full report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). Out of 1,017 women, 29% of survey respondents reported having negative experiences during an internship application process.</w:t>
      </w:r>
    </w:p>
    <w:p>
      <w:pPr>
        <w:pStyle w:val="Compact"/>
        <w:numPr>
          <w:numId w:val="1008"/>
          <w:ilvl w:val="0"/>
        </w:numPr>
      </w:pPr>
      <w:r>
        <w:t xml:space="preserve">Calculate a 95% confidence interval for the proportion of women affiliated with GWC who had negative internship applications experiences. Interpret it.</w:t>
      </w:r>
    </w:p>
    <w:p>
      <w:pPr>
        <w:pStyle w:val="FirstParagraph"/>
      </w:pPr>
      <w:r>
        <w:t xml:space="preserve">Code:</w:t>
      </w:r>
    </w:p>
    <w:p>
      <w:pPr>
        <w:pStyle w:val="SourceCode"/>
      </w:pP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0.29</w:t>
      </w:r>
      <w:r>
        <w:br w:type="textWrapping"/>
      </w:r>
      <w:r>
        <w:rPr>
          <w:rStyle w:val="NormalTok"/>
        </w:rPr>
        <w:t xml:space="preserve">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critic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critic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</w:t>
      </w:r>
    </w:p>
    <w:p>
      <w:pPr>
        <w:pStyle w:val="SourceCode"/>
      </w:pPr>
      <w:r>
        <w:rPr>
          <w:rStyle w:val="VerbatimChar"/>
        </w:rPr>
        <w:t xml:space="preserve">## [1] 0.3178879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critic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</w:t>
      </w:r>
    </w:p>
    <w:p>
      <w:pPr>
        <w:pStyle w:val="SourceCode"/>
      </w:pPr>
      <w:r>
        <w:rPr>
          <w:rStyle w:val="VerbatimChar"/>
        </w:rPr>
        <w:t xml:space="preserve">## [1] 0.2621121</w:t>
      </w:r>
    </w:p>
    <w:p>
      <w:pPr>
        <w:pStyle w:val="FirstParagraph"/>
      </w:pPr>
      <w:r>
        <w:t xml:space="preserve">Text:</w:t>
      </w:r>
    </w:p>
    <w:p>
      <w:pPr>
        <w:pStyle w:val="BodyText"/>
      </w:pPr>
      <w:r>
        <w:t xml:space="preserve">The confidence interval is (0.2621121, 0.3178879).</w:t>
      </w:r>
    </w:p>
    <w:p>
      <w:pPr>
        <w:pStyle w:val="BodyText"/>
      </w:pPr>
      <w:r>
        <w:t xml:space="preserve">We have 95% confidence that the proportion of women affiliated with GWC who had negative internship applications experiences is between 26.2% and 31.7%.</w:t>
      </w:r>
    </w:p>
    <w:p>
      <w:pPr>
        <w:pStyle w:val="Compact"/>
        <w:numPr>
          <w:numId w:val="1009"/>
          <w:ilvl w:val="0"/>
        </w:numPr>
      </w:pPr>
      <w:r>
        <w:t xml:space="preserve">Conduct a hypothesis test to evaluate whether the proportion is larger than 20%.</w:t>
      </w:r>
    </w:p>
    <w:p>
      <w:pPr>
        <w:pStyle w:val="FirstParagraph"/>
      </w:pPr>
      <w:r>
        <w:t xml:space="preserve">Code:</w:t>
      </w:r>
    </w:p>
    <w:p>
      <w:pPr>
        <w:pStyle w:val="SourceCode"/>
      </w:pPr>
      <w:r>
        <w:rPr>
          <w:rStyle w:val="NormalTok"/>
        </w:rPr>
        <w:t xml:space="preserve">p.hat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0.29</w:t>
      </w:r>
      <w:r>
        <w:br w:type="textWrapping"/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(p.hat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7.175348</w:t>
      </w:r>
    </w:p>
    <w:p>
      <w:pPr>
        <w:pStyle w:val="SourceCode"/>
      </w:pPr>
      <w:r>
        <w:rPr>
          <w:rStyle w:val="NormalTok"/>
        </w:rPr>
        <w:t xml:space="preserve">z.crit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z.crit</w:t>
      </w:r>
    </w:p>
    <w:p>
      <w:pPr>
        <w:pStyle w:val="SourceCode"/>
      </w:pPr>
      <w:r>
        <w:rPr>
          <w:rStyle w:val="VerbatimChar"/>
        </w:rPr>
        <w:t xml:space="preserve">## [1] 1.644854</w:t>
      </w:r>
    </w:p>
    <w:p>
      <w:pPr>
        <w:pStyle w:val="SourceCode"/>
      </w:pPr>
      <w:r>
        <w:rPr>
          <w:rStyle w:val="NormalTok"/>
        </w:rPr>
        <w:t xml:space="preserve">pvalue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pvalue</w:t>
      </w:r>
    </w:p>
    <w:p>
      <w:pPr>
        <w:pStyle w:val="SourceCode"/>
      </w:pPr>
      <w:r>
        <w:rPr>
          <w:rStyle w:val="VerbatimChar"/>
        </w:rPr>
        <w:t xml:space="preserve">## [1] 3.606004e-13</w:t>
      </w:r>
    </w:p>
    <w:p>
      <w:pPr>
        <w:pStyle w:val="FirstParagraph"/>
      </w:pPr>
      <w:r>
        <w:t xml:space="preserve">Text: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p</m:t>
        </m:r>
        <m:r>
          <m:t>≤</m:t>
        </m:r>
        <m:r>
          <m:t>0.2</m:t>
        </m:r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r>
          <m:t>p</m:t>
        </m:r>
        <m:r>
          <m:t>&gt;</m:t>
        </m:r>
        <m:r>
          <m:t>0.2</m:t>
        </m:r>
      </m:oMath>
    </w:p>
    <w:p>
      <w:pPr>
        <w:pStyle w:val="BodyText"/>
      </w:pPr>
      <w:r>
        <w:t xml:space="preserve">Because</w:t>
      </w:r>
      <w:r>
        <w:t xml:space="preserve"> </w:t>
      </w:r>
      <m:oMath>
        <m:r>
          <m:t>Z</m:t>
        </m:r>
        <m:r>
          <m:t>=</m:t>
        </m:r>
        <m:r>
          <m:t>7.17</m:t>
        </m:r>
        <m:r>
          <m:t>&gt;</m:t>
        </m:r>
        <m:sSup>
          <m:e>
            <m:r>
              <m:t>Z</m:t>
            </m:r>
          </m:e>
          <m:sup>
            <m:r>
              <m:t>*</m:t>
            </m:r>
          </m:sup>
        </m:sSup>
        <m:r>
          <m:t>=</m:t>
        </m:r>
        <m:r>
          <m:t>1.64</m:t>
        </m:r>
      </m:oMath>
      <w:r>
        <w:t xml:space="preserve">, we have sufficient evidence to conclude that we can reject the null hypothesis, 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greater than 0.2.</w:t>
      </w:r>
    </w:p>
    <w:p>
      <w:pPr>
        <w:pStyle w:val="Compact"/>
        <w:numPr>
          <w:numId w:val="1010"/>
          <w:ilvl w:val="0"/>
        </w:numPr>
      </w:pPr>
      <w:r>
        <w:t xml:space="preserve">Do your answers for (a) and (b) agree with each other?</w:t>
      </w:r>
    </w:p>
    <w:p>
      <w:pPr>
        <w:pStyle w:val="FirstParagraph"/>
      </w:pPr>
      <w:r>
        <w:t xml:space="preserve">Text:</w:t>
      </w:r>
    </w:p>
    <w:p>
      <w:pPr>
        <w:pStyle w:val="BodyText"/>
      </w:pPr>
      <w:r>
        <w:t xml:space="preserve">Yes. In part (a), we have 95% confidence that the proportion is between 26.2% and 31.7% and this is true that the number is greater than 20%, which is indicated in part (b).</w:t>
      </w:r>
    </w:p>
    <w:p>
      <w:r>
        <w:br w:type="page"/>
      </w:r>
    </w:p>
    <w:p>
      <w:pPr>
        <w:pStyle w:val="Heading2"/>
      </w:pPr>
      <w:bookmarkStart w:id="25" w:name="section"/>
      <w:bookmarkEnd w:id="25"/>
    </w:p>
    <w:p>
      <w:pPr>
        <w:pStyle w:val="Compact"/>
        <w:numPr>
          <w:numId w:val="1011"/>
          <w:ilvl w:val="0"/>
        </w:numPr>
      </w:pPr>
      <w:r>
        <w:t xml:space="preserve">Below is a table illustrating the prevalence of two different biomarkers of Alzheimer’s Disease, drawn from a</w:t>
      </w:r>
      <w:r>
        <w:t xml:space="preserve"> </w:t>
      </w:r>
      <w:hyperlink r:id="rId26">
        <w:r>
          <w:rPr>
            <w:rStyle w:val="Hyperlink"/>
          </w:rPr>
          <w:t xml:space="preserve">recent paper</w:t>
        </w:r>
      </w:hyperlink>
      <w:r>
        <w:t xml:space="preserve">. Having at least 1 APOE e4 allele is thought it increase your risk for Alzheimer’s; having elevated levels of AB protein in the brain is also seen an increased risk.</w:t>
      </w:r>
    </w:p>
    <w:p>
      <w:pPr>
        <w:pStyle w:val="SourceCode"/>
      </w:pPr>
      <w:r>
        <w:rPr>
          <w:rStyle w:val="VerbatimChar"/>
        </w:rPr>
        <w:t xml:space="preserve">##                  AB Elevated AB Non-Elevated</w:t>
      </w:r>
      <w:r>
        <w:br w:type="textWrapping"/>
      </w:r>
      <w:r>
        <w:rPr>
          <w:rStyle w:val="VerbatimChar"/>
        </w:rPr>
        <w:t xml:space="preserve">## 0 APOE Alleles            53             182</w:t>
      </w:r>
      <w:r>
        <w:br w:type="textWrapping"/>
      </w:r>
      <w:r>
        <w:rPr>
          <w:rStyle w:val="VerbatimChar"/>
        </w:rPr>
        <w:t xml:space="preserve">## 1-2 APOE Alleles          47              53</w:t>
      </w:r>
    </w:p>
    <w:p>
      <w:pPr>
        <w:pStyle w:val="Compact"/>
        <w:numPr>
          <w:numId w:val="1012"/>
          <w:ilvl w:val="0"/>
        </w:numPr>
      </w:pPr>
      <w:r>
        <w:t xml:space="preserve">What is the estimated difference in proportions of elevated AB levels between those who have no APOE e4 alleles, and those who have at least 1 APOE e4 allele? What is the standard error?</w:t>
      </w:r>
    </w:p>
    <w:p>
      <w:pPr>
        <w:pStyle w:val="FirstParagraph"/>
      </w:pPr>
      <w:r>
        <w:t xml:space="preserve">Code:</w:t>
      </w:r>
    </w:p>
    <w:p>
      <w:pPr>
        <w:pStyle w:val="SourceCode"/>
      </w:pPr>
      <w:r>
        <w:rPr>
          <w:rStyle w:val="NormalTok"/>
        </w:rPr>
        <w:t xml:space="preserve">n1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182</w:t>
      </w:r>
      <w:r>
        <w:br w:type="textWrapping"/>
      </w:r>
      <w:r>
        <w:rPr>
          <w:rStyle w:val="NormalTok"/>
        </w:rPr>
        <w:t xml:space="preserve">n2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53</w:t>
      </w:r>
      <w:r>
        <w:br w:type="textWrapping"/>
      </w: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</w:t>
      </w:r>
      <w:r>
        <w:br w:type="textWrapping"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n2</w:t>
      </w:r>
      <w:r>
        <w:br w:type="textWrapping"/>
      </w:r>
      <w:r>
        <w:rPr>
          <w:rStyle w:val="NormalTok"/>
        </w:rPr>
        <w:t xml:space="preserve">p1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[1] -0.2444681</w:t>
      </w:r>
    </w:p>
    <w:p>
      <w:pPr>
        <w:pStyle w:val="SourceCode"/>
      </w:pPr>
      <w:r>
        <w:rPr>
          <w:rStyle w:val="NormalTok"/>
        </w:rPr>
        <w:t xml:space="preserve">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n2)</w:t>
      </w:r>
      <w:r>
        <w:br w:type="textWrapping"/>
      </w:r>
      <w:r>
        <w:rPr>
          <w:rStyle w:val="NormalTok"/>
        </w:rPr>
        <w:t xml:space="preserve">sd</w:t>
      </w:r>
    </w:p>
    <w:p>
      <w:pPr>
        <w:pStyle w:val="SourceCode"/>
      </w:pPr>
      <w:r>
        <w:rPr>
          <w:rStyle w:val="VerbatimChar"/>
        </w:rPr>
        <w:t xml:space="preserve">## [1] 0.0568706</w:t>
      </w:r>
    </w:p>
    <w:p>
      <w:pPr>
        <w:pStyle w:val="FirstParagraph"/>
      </w:pPr>
      <w:r>
        <w:t xml:space="preserve">Text:</w:t>
      </w:r>
    </w:p>
    <w:p>
      <w:pPr>
        <w:pStyle w:val="BodyText"/>
      </w:pPr>
      <w:r>
        <w:t xml:space="preserve">The estimated difference is -0.24.</w:t>
      </w:r>
    </w:p>
    <w:p>
      <w:pPr>
        <w:pStyle w:val="BodyText"/>
      </w:pPr>
      <w:r>
        <w:t xml:space="preserve">The standard error is 0.05</w:t>
      </w:r>
    </w:p>
    <w:p>
      <w:pPr>
        <w:pStyle w:val="Compact"/>
        <w:numPr>
          <w:numId w:val="1013"/>
          <w:ilvl w:val="0"/>
        </w:numPr>
      </w:pPr>
      <w:r>
        <w:t xml:space="preserve">Conduct a hypothesis test for whether this difference in proportions is equal to 0.</w:t>
      </w:r>
    </w:p>
    <w:p>
      <w:pPr>
        <w:pStyle w:val="FirstParagraph"/>
      </w:pPr>
      <w:r>
        <w:t xml:space="preserve">Code:</w:t>
      </w:r>
    </w:p>
    <w:p>
      <w:pPr>
        <w:pStyle w:val="SourceCode"/>
      </w:pPr>
      <w:r>
        <w:rPr>
          <w:rStyle w:val="NormalTok"/>
        </w:rPr>
        <w:t xml:space="preserve">p.hat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-0.24</w:t>
      </w:r>
      <w:r>
        <w:br w:type="textWrapping"/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(p.hat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-4.220107</w:t>
      </w:r>
    </w:p>
    <w:p>
      <w:pPr>
        <w:pStyle w:val="SourceCode"/>
      </w:pPr>
      <w:r>
        <w:rPr>
          <w:rStyle w:val="NormalTok"/>
        </w:rPr>
        <w:t xml:space="preserve">z.crit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z.crit</w:t>
      </w:r>
    </w:p>
    <w:p>
      <w:pPr>
        <w:pStyle w:val="SourceCode"/>
      </w:pPr>
      <w:r>
        <w:rPr>
          <w:rStyle w:val="VerbatimChar"/>
        </w:rPr>
        <w:t xml:space="preserve">## [1] -1.644854</w:t>
      </w:r>
    </w:p>
    <w:p>
      <w:pPr>
        <w:pStyle w:val="FirstParagraph"/>
      </w:pPr>
      <w:r>
        <w:t xml:space="preserve">Text: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≠</m:t>
        </m:r>
        <m:r>
          <m:t>0</m:t>
        </m:r>
      </m:oMath>
    </w:p>
    <w:p>
      <w:pPr>
        <w:pStyle w:val="BodyText"/>
      </w:pPr>
      <w:r>
        <w:t xml:space="preserve">Because</w:t>
      </w:r>
      <w:r>
        <w:t xml:space="preserve"> </w:t>
      </w:r>
      <m:oMath>
        <m:r>
          <m:t>Z</m:t>
        </m:r>
        <m:r>
          <m:t>=</m:t>
        </m:r>
        <m:r>
          <m:t>−</m:t>
        </m:r>
        <m:r>
          <m:t>4.2</m:t>
        </m:r>
        <m:r>
          <m:t>&lt;</m:t>
        </m:r>
        <m:sSup>
          <m:e>
            <m:r>
              <m:t>Z</m:t>
            </m:r>
          </m:e>
          <m:sup>
            <m:r>
              <m:t>*</m:t>
            </m:r>
          </m:sup>
        </m:sSup>
        <m:r>
          <m:t>=</m:t>
        </m:r>
        <m:r>
          <m:t>−</m:t>
        </m:r>
        <m:r>
          <m:t>1.6</m:t>
        </m:r>
      </m:oMath>
      <w:r>
        <w:t xml:space="preserve">, we have sufficient evidence to conclude that we can reject the null hypothesis, and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≠</m:t>
        </m:r>
        <m:r>
          <m:t>0</m:t>
        </m:r>
      </m:oMath>
      <w:r>
        <w:t xml:space="preserve">.</w:t>
      </w:r>
    </w:p>
    <w:p>
      <w:r>
        <w:br w:type="page"/>
      </w:r>
    </w:p>
    <w:p>
      <w:pPr>
        <w:pStyle w:val="Compact"/>
        <w:numPr>
          <w:numId w:val="1014"/>
          <w:ilvl w:val="0"/>
        </w:numPr>
      </w:pPr>
      <w:r>
        <w:t xml:space="preserve">Below are results from a FiveThirtyEight survey about people’s opinions of the Oxford (or serial) comma. Answers on the left correspond to the question</w:t>
      </w:r>
      <w:r>
        <w:t xml:space="preserve"> </w:t>
      </w:r>
      <w:r>
        <w:t xml:space="preserve">“</w:t>
      </w:r>
      <w:r>
        <w:t xml:space="preserve">How much, if at all, do you care about the debate over the use of the word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 </w:t>
      </w:r>
      <w:r>
        <w:t xml:space="preserve">as a singular or plural noun?</w:t>
      </w:r>
      <w:r>
        <w:t xml:space="preserve">”</w:t>
      </w:r>
      <w:r>
        <w:t xml:space="preserve">. Answers on the top correspond to the question</w:t>
      </w:r>
      <w:r>
        <w:t xml:space="preserve"> </w:t>
      </w:r>
      <w:r>
        <w:t xml:space="preserve">“</w:t>
      </w:r>
      <w:r>
        <w:t xml:space="preserve">How much, if at all, do you care about the use (or lack thereof) of the serial (or Oxford) comma in grammar?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Not at all Not much Some A lot</w:t>
      </w:r>
      <w:r>
        <w:br w:type="textWrapping"/>
      </w:r>
      <w:r>
        <w:rPr>
          <w:rStyle w:val="VerbatimChar"/>
        </w:rPr>
        <w:t xml:space="preserve">##   Not at all         77       53   46    27</w:t>
      </w:r>
      <w:r>
        <w:br w:type="textWrapping"/>
      </w:r>
      <w:r>
        <w:rPr>
          <w:rStyle w:val="VerbatimChar"/>
        </w:rPr>
        <w:t xml:space="preserve">##   Not much           32      143  152    76</w:t>
      </w:r>
      <w:r>
        <w:br w:type="textWrapping"/>
      </w:r>
      <w:r>
        <w:rPr>
          <w:rStyle w:val="VerbatimChar"/>
        </w:rPr>
        <w:t xml:space="preserve">##   Some                8       57  178   109</w:t>
      </w:r>
      <w:r>
        <w:br w:type="textWrapping"/>
      </w:r>
      <w:r>
        <w:rPr>
          <w:rStyle w:val="VerbatimChar"/>
        </w:rPr>
        <w:t xml:space="preserve">##   A lot               7       11   38    77</w:t>
      </w:r>
    </w:p>
    <w:p>
      <w:pPr>
        <w:pStyle w:val="Compact"/>
        <w:numPr>
          <w:numId w:val="1015"/>
          <w:ilvl w:val="0"/>
        </w:numPr>
      </w:pPr>
      <w:r>
        <w:t xml:space="preserve">Calculate a 70% confidence interval for the difference in proportions of those who only care</w:t>
      </w:r>
      <w:r>
        <w:t xml:space="preserve"> </w:t>
      </w:r>
      <w:r>
        <w:t xml:space="preserve">“</w:t>
      </w:r>
      <w:r>
        <w:t xml:space="preserve">Some</w:t>
      </w:r>
      <w:r>
        <w:t xml:space="preserve">”</w:t>
      </w:r>
      <w:r>
        <w:t xml:space="preserve"> </w:t>
      </w:r>
      <w:r>
        <w:t xml:space="preserve">about the Oxford comma debate and</w:t>
      </w:r>
      <w:r>
        <w:t xml:space="preserve"> </w:t>
      </w:r>
      <w:r>
        <w:t xml:space="preserve">“</w:t>
      </w:r>
      <w:r>
        <w:t xml:space="preserve">A lot</w:t>
      </w:r>
      <w:r>
        <w:t xml:space="preserve">”</w:t>
      </w:r>
      <w:r>
        <w:t xml:space="preserve"> </w:t>
      </w:r>
      <w:r>
        <w:t xml:space="preserve">about the data debate, and those who only care</w:t>
      </w:r>
      <w:r>
        <w:t xml:space="preserve"> </w:t>
      </w:r>
      <w:r>
        <w:t xml:space="preserve">“</w:t>
      </w:r>
      <w:r>
        <w:t xml:space="preserve">Some</w:t>
      </w:r>
      <w:r>
        <w:t xml:space="preserve">”</w:t>
      </w:r>
      <w:r>
        <w:t xml:space="preserve"> </w:t>
      </w:r>
      <w:r>
        <w:t xml:space="preserve">about the Oxford comma debate and</w:t>
      </w:r>
      <w:r>
        <w:t xml:space="preserve"> </w:t>
      </w:r>
      <w:r>
        <w:t xml:space="preserve">“</w:t>
      </w:r>
      <w:r>
        <w:t xml:space="preserve">Not Much</w:t>
      </w:r>
      <w:r>
        <w:t xml:space="preserve">”</w:t>
      </w:r>
      <w:r>
        <w:t xml:space="preserve"> </w:t>
      </w:r>
      <w:r>
        <w:t xml:space="preserve">about the data debate. What does this interval tell you?</w:t>
      </w:r>
    </w:p>
    <w:p>
      <w:pPr>
        <w:pStyle w:val="FirstParagraph"/>
      </w:pPr>
      <w:r>
        <w:t xml:space="preserve">Code:</w:t>
      </w:r>
    </w:p>
    <w:p>
      <w:pPr>
        <w:pStyle w:val="BodyText"/>
      </w:pPr>
      <w:r>
        <w:t xml:space="preserve">Text:</w:t>
      </w:r>
    </w:p>
    <w:p>
      <w:pPr>
        <w:pStyle w:val="Compact"/>
        <w:numPr>
          <w:numId w:val="1016"/>
          <w:ilvl w:val="0"/>
        </w:numPr>
      </w:pPr>
      <w:r>
        <w:t xml:space="preserve">Now conduct a hypothesis test for whether the difference in these two proportions is equal to 0. What can we conclude?</w:t>
      </w:r>
    </w:p>
    <w:p>
      <w:pPr>
        <w:pStyle w:val="FirstParagraph"/>
      </w:pPr>
      <w:r>
        <w:t xml:space="preserve">Code:</w:t>
      </w:r>
    </w:p>
    <w:p>
      <w:pPr>
        <w:pStyle w:val="BodyText"/>
      </w:pPr>
      <w:r>
        <w:t xml:space="preserve">Text: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71315dca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47261bad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5">
    <w:nsid w:val="b3cbbdee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91a27d85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2">
    <w:nsid w:val="615f1ed2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3">
    <w:nsid w:val="238d8174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girlswhocode.com/wp-content/uploads/2019/08/GWC_Advocacy_InternshipApplicationExperiences_PDF_z6.pdf" TargetMode="External" /><Relationship Type="http://schemas.openxmlformats.org/officeDocument/2006/relationships/hyperlink" Id="rId21" Target="http://www.rossmanchance.com/applets/OneProp/OneProp.htm?candy=1" TargetMode="External" /><Relationship Type="http://schemas.openxmlformats.org/officeDocument/2006/relationships/hyperlink" Id="rId26" Target="https://alzres.biomedcentral.com/articles/10.1186/s13195-019-0539-3" TargetMode="External" /><Relationship Type="http://schemas.openxmlformats.org/officeDocument/2006/relationships/hyperlink" Id="rId23" Target="https://www.pewresearch.org/fact-tank/2019/04/09/a-majority-of-u-s-colleges-admit-most-students-who-appl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girlswhocode.com/wp-content/uploads/2019/08/GWC_Advocacy_InternshipApplicationExperiences_PDF_z6.pdf" TargetMode="External" /><Relationship Type="http://schemas.openxmlformats.org/officeDocument/2006/relationships/hyperlink" Id="rId21" Target="http://www.rossmanchance.com/applets/OneProp/OneProp.htm?candy=1" TargetMode="External" /><Relationship Type="http://schemas.openxmlformats.org/officeDocument/2006/relationships/hyperlink" Id="rId26" Target="https://alzres.biomedcentral.com/articles/10.1186/s13195-019-0539-3" TargetMode="External" /><Relationship Type="http://schemas.openxmlformats.org/officeDocument/2006/relationships/hyperlink" Id="rId23" Target="https://www.pewresearch.org/fact-tank/2019/04/09/a-majority-of-u-s-colleges-admit-most-students-who-appl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Statistical Inference of Proportions</dc:title>
  <dc:creator>Chen Wang, Junke Wang, Zhuozhi Xiong</dc:creator>
  <cp:keywords/>
  <dcterms:created xsi:type="dcterms:W3CDTF">2019-11-14T02:50:51Z</dcterms:created>
  <dcterms:modified xsi:type="dcterms:W3CDTF">2019-11-14T02:50:51Z</dcterms:modified>
</cp:coreProperties>
</file>