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800"/>
        <w:ind/>
        <w:rPr>
          <w:lang w:val="pt-BR"/>
        </w:rPr>
      </w:pPr>
      <w:r>
        <w:rPr>
          <w:lang w:val="pt-BR" w:bidi="pt-BR"/>
        </w:rPr>
      </w:r>
      <w:r>
        <w:rPr>
          <w:lang w:val="pt-BR"/>
        </w:rPr>
      </w:r>
      <w:r>
        <w:rPr>
          <w:lang w:val="pt-BR"/>
        </w:rPr>
      </w:r>
    </w:p>
    <w:p>
      <w:pPr>
        <w:pBdr/>
        <w:spacing w:after="100"/>
        <w:ind/>
        <w:jc w:val="center"/>
        <w:rPr>
          <w:b/>
          <w:bCs/>
          <w:color w:val="4f81bd" w:themeColor="accent1"/>
          <w:sz w:val="64"/>
          <w:szCs w:val="64"/>
          <w:highlight w:val="none"/>
          <w14:ligatures w14:val="none"/>
        </w:rPr>
      </w:pPr>
      <w:r>
        <w:rPr>
          <w:b/>
          <w:bCs/>
          <w:color w:val="4f81bd" w:themeColor="accent1"/>
          <w:sz w:val="64"/>
          <w:szCs w:val="64"/>
          <w:lang w:val="undefined"/>
        </w:rPr>
        <w:t xml:space="preserve">StreamGuard</w:t>
      </w:r>
      <w:r>
        <w:rPr>
          <w:b/>
          <w:bCs/>
          <w:color w:val="4f81bd" w:themeColor="accent1"/>
          <w:sz w:val="64"/>
          <w:szCs w:val="64"/>
        </w:rPr>
      </w:r>
    </w:p>
    <w:p w14:paraId="15FF0009">
      <w:pPr>
        <w:pBdr/>
        <w:spacing w:after="100"/>
        <w:ind/>
        <w:jc w:val="center"/>
        <w:rPr>
          <w:b/>
          <w:bCs/>
          <w:color w:val="4f81bd" w:themeColor="accent1"/>
          <w:sz w:val="64"/>
          <w:szCs w:val="64"/>
          <w14:ligatures w14:val="none"/>
        </w:rPr>
      </w:pPr>
      <w:r>
        <w:rPr>
          <w:b/>
          <w:bCs/>
          <w:color w:val="4f81bd" w:themeColor="accent1"/>
          <w:sz w:val="64"/>
          <w:szCs w:val="64"/>
        </w:rPr>
      </w:r>
      <w:r>
        <w:rPr>
          <w:b/>
          <w:bCs/>
          <w:color w:val="4f81bd" w:themeColor="accent1"/>
          <w:sz w:val="64"/>
          <w:szCs w:val="64"/>
        </w:rPr>
      </w:r>
      <w:r>
        <w:rPr>
          <w:b/>
          <w:bCs/>
          <w:color w:val="4f81bd" w:themeColor="accent1"/>
          <w:sz w:val="64"/>
          <w:szCs w:val="64"/>
        </w:rPr>
      </w:r>
    </w:p>
    <w:p w14:paraId="06CC2DCA">
      <w:pPr>
        <w:pBdr/>
        <w:spacing w:after="100"/>
        <w:ind/>
        <w:jc w:val="center"/>
        <w:rPr>
          <w:b/>
          <w:bCs/>
          <w:color w:val="4f81bd" w:themeColor="accent1"/>
          <w:sz w:val="64"/>
          <w:szCs w:val="64"/>
          <w14:ligatures w14:val="none"/>
        </w:rPr>
      </w:pPr>
      <w:r>
        <w:rPr>
          <w:b/>
          <w:bCs/>
          <w:color w:val="4f81bd" w:themeColor="accent1"/>
          <w:sz w:val="64"/>
          <w:szCs w:val="64"/>
          <w:highlight w:val="none"/>
        </w:rPr>
      </w:r>
      <w:r>
        <w:rPr>
          <w:b/>
          <w:bCs/>
          <w:color w:val="4f81bd" w:themeColor="accent1"/>
          <w:sz w:val="64"/>
          <w:szCs w:val="64"/>
          <w:highlight w:val="none"/>
        </w:rPr>
      </w:r>
      <w:r>
        <w:rPr>
          <w:b/>
          <w:bCs/>
          <w:color w:val="4f81bd" w:themeColor="accent1"/>
          <w:sz w:val="64"/>
          <w:szCs w:val="64"/>
          <w:highlight w:val="none"/>
        </w:rPr>
      </w:r>
    </w:p>
    <w:p>
      <w:pPr>
        <w:pBdr/>
        <w:spacing w:after="600"/>
        <w:ind/>
        <w:jc w:val="center"/>
        <w:rPr/>
      </w:pPr>
      <w:r>
        <w:rPr>
          <w:color w:val="1f2937"/>
          <w:sz w:val="30"/>
          <w:szCs w:val="30"/>
        </w:rPr>
        <w:t xml:space="preserve">Integração com o Slack: </w:t>
      </w:r>
      <w:r>
        <w:rPr>
          <w:color w:val="1f2937"/>
          <w:sz w:val="30"/>
          <w:szCs w:val="30"/>
          <w:lang w:val="pt-BR"/>
        </w:rPr>
        <w:t xml:space="preserve">Fundamentos </w:t>
      </w:r>
      <w:r>
        <w:rPr>
          <w:color w:val="1f2937"/>
          <w:sz w:val="30"/>
          <w:szCs w:val="30"/>
        </w:rPr>
        <w:t xml:space="preserve">e Aplicação no Sistema</w:t>
      </w:r>
      <w:r/>
    </w:p>
    <w:p>
      <w:pPr>
        <w:pBdr/>
        <w:spacing/>
        <w:ind/>
        <w:jc w:val="center"/>
        <w:rPr/>
      </w:pPr>
      <w:r>
        <w:rPr>
          <w:i/>
          <w:iCs/>
          <w:color w:val="6b7280"/>
          <w:sz w:val="22"/>
          <w:szCs w:val="22"/>
        </w:rPr>
        <w:t xml:space="preserve">Documento técnico — Monitoramento de Infraestrutura de Streaming ao Vivo</w:t>
      </w:r>
      <w:r/>
      <w:r/>
      <w:r>
        <w:br w:type="page" w:clear="all"/>
      </w:r>
      <w:r/>
      <w:r/>
      <w:r/>
    </w:p>
    <w:p>
      <w:pPr>
        <w:pStyle w:val="882"/>
        <w:pBdr/>
        <w:spacing w:after="200" w:before="400"/>
        <w:ind/>
        <w:rPr/>
      </w:pPr>
      <w:r>
        <w:t xml:space="preserve">1. Introdução</w:t>
      </w:r>
      <w:r/>
    </w:p>
    <w:p>
      <w:pPr>
        <w:pBdr/>
        <w:spacing w:after="200"/>
        <w:ind/>
        <w:jc w:val="both"/>
        <w:rPr/>
      </w:pPr>
      <w:r>
        <w:t xml:space="preserve">Este documento tem como objetivo explicar, de forma progressiva — do conceito básico ao funcionamento técnico aprofundado —, o que é o Slack, como ele opera como plataforma de comunicação e</w:t>
      </w:r>
      <w:r>
        <w:t xml:space="preserve"> integração, e de que forma ele é utilizado dentro da arquitetura do sistema StreamGuard. O foco principal está na integração de notificações automáticas, disparadas quando um componente monitorado ultrapassa os limites operacionais definidos pelo cliente.</w:t>
      </w:r>
      <w:r/>
    </w:p>
    <w:p>
      <w:pPr>
        <w:pBdr/>
        <w:spacing w:after="200"/>
        <w:ind/>
        <w:jc w:val="both"/>
        <w:rPr/>
      </w:pPr>
      <w:r>
        <w:t xml:space="preserve">A escolha do Slack como canal de notificação não é arbitrária: ele é hoje uma das ferramentas mais utilizadas por equipe</w:t>
      </w:r>
      <w:r>
        <w:t xml:space="preserve">s de operações e infraestrutura (NOC) justamente por permitir que alertas de sistemas externos cheguem de forma instantânea ao mesmo lugar onde a equipe já está monitorando o dia a dia — reduzindo o tempo entre a detecção de um problema e a tomada de ação.</w:t>
      </w:r>
      <w:r/>
    </w:p>
    <w:p>
      <w:pPr>
        <w:pStyle w:val="882"/>
        <w:pBdr/>
        <w:spacing w:after="200" w:before="400"/>
        <w:ind/>
        <w:rPr/>
      </w:pPr>
      <w:r>
        <w:t xml:space="preserve">2. O que é o Slack</w:t>
      </w:r>
      <w:r/>
    </w:p>
    <w:p>
      <w:pPr>
        <w:pBdr/>
        <w:spacing w:after="200"/>
        <w:ind/>
        <w:jc w:val="both"/>
        <w:rPr/>
      </w:pPr>
      <w:r>
        <w:t xml:space="preserve">Slack é uma plataforma de comunicação corporativa organizada em torno de três conceitos centrais: workspaces, canais e mensagens diretas.</w:t>
      </w:r>
      <w:r/>
    </w:p>
    <w:p>
      <w:pPr>
        <w:pStyle w:val="883"/>
        <w:pBdr/>
        <w:spacing w:after="150" w:before="300"/>
        <w:ind/>
        <w:rPr/>
      </w:pPr>
      <w:r>
        <w:t xml:space="preserve">2.1 Workspace</w:t>
      </w:r>
      <w:r/>
    </w:p>
    <w:p>
      <w:pPr>
        <w:pBdr/>
        <w:spacing w:after="200"/>
        <w:ind/>
        <w:jc w:val="both"/>
        <w:rPr/>
      </w:pPr>
      <w:r>
        <w:t xml:space="preserve">Um workspace representa o espaço de uma organização dentro do Slack — é o "am</w:t>
      </w:r>
      <w:r>
        <w:t xml:space="preserve">biente" onde todos os membros de uma empresa (ou, no caso do StreamGuard, de uma equipe de operações) interagem. Cada empresa cliente do StreamGuard poderia, por exemplo, ter seu próprio workspace, ou um canal dedicado dentro de um workspace compartilhado.</w:t>
      </w:r>
      <w:r/>
    </w:p>
    <w:p>
      <w:pPr>
        <w:pStyle w:val="883"/>
        <w:pBdr/>
        <w:spacing w:after="150" w:before="300"/>
        <w:ind/>
        <w:rPr/>
      </w:pPr>
      <w:r>
        <w:t xml:space="preserve">2.2 Canais (channels)</w:t>
      </w:r>
      <w:r/>
    </w:p>
    <w:p>
      <w:pPr>
        <w:pBdr/>
        <w:spacing w:after="200"/>
        <w:ind/>
        <w:jc w:val="both"/>
        <w:rPr/>
      </w:pPr>
      <w:r>
        <w:t xml:space="preserve">Canais são espaços de conversa temáticos dentro de um workspace, podendo ser públicos (visíveis a todos os membros) ou privados (restritos a um</w:t>
      </w:r>
      <w:r>
        <w:t xml:space="preserve"> grupo específico). No contexto do StreamGuard, o mais adequado é isolar canais por finalidade — por exemplo, um canal específico para alertas críticos e outro para alertas de atenç</w:t>
      </w:r>
      <w:r>
        <w:t xml:space="preserve">ão</w:t>
      </w:r>
      <w:r>
        <w:t xml:space="preserve">, permitindo que a equipe priorize visualmente o que exige ação imediata.</w:t>
      </w:r>
      <w:r/>
    </w:p>
    <w:p>
      <w:pPr>
        <w:pStyle w:val="883"/>
        <w:pBdr/>
        <w:spacing w:after="150" w:before="300"/>
        <w:ind/>
        <w:rPr/>
      </w:pPr>
      <w:r>
        <w:t xml:space="preserve">2.3 Slack como plataforma de integração</w:t>
      </w:r>
      <w:r/>
    </w:p>
    <w:p>
      <w:pPr>
        <w:pBdr/>
        <w:spacing w:after="200"/>
        <w:ind/>
        <w:jc w:val="both"/>
        <w:rPr/>
      </w:pPr>
      <w:r>
        <w:t xml:space="preserve">Além do uso como chat, o Slack foi desenhado desde sua concepção para funcionar como um hub de integrações — ou seja, para receber dados de sistemas externos e transformá-los em mensagens organizadas dentro de</w:t>
      </w:r>
      <w:r>
        <w:t xml:space="preserve"> um canal. É essa característica, e não o chat em si, que interessa diretamente ao projeto: o Slack funciona como o "mensageiro" que leva o alerta gerado pelo StreamGuard até a pessoa responsável, sem que ela precise estar olhando o dashboard o tempo todo.</w:t>
      </w:r>
      <w:r/>
    </w:p>
    <w:p>
      <w:pPr>
        <w:pStyle w:val="882"/>
        <w:pBdr/>
        <w:spacing w:after="200" w:before="400"/>
        <w:ind/>
        <w:rPr/>
      </w:pPr>
      <w:r>
        <w:t xml:space="preserve">3. Mecanismos de Integração com Sistemas Externos</w:t>
      </w:r>
      <w:r/>
    </w:p>
    <w:p>
      <w:pPr>
        <w:pBdr/>
        <w:spacing w:after="200"/>
        <w:ind/>
        <w:jc w:val="both"/>
        <w:rPr/>
      </w:pPr>
      <w:r>
        <w:t xml:space="preserve">Existem duas formas principais de um sistema externo enviar mensagens para dentro do Slack.</w:t>
      </w:r>
      <w:r/>
    </w:p>
    <w:p>
      <w:pPr>
        <w:pStyle w:val="883"/>
        <w:pBdr/>
        <w:spacing w:after="150" w:before="300"/>
        <w:ind/>
        <w:rPr/>
      </w:pPr>
      <w:r>
        <w:t xml:space="preserve">3.1 Incoming Webhooks</w:t>
      </w:r>
      <w:r/>
    </w:p>
    <w:p>
      <w:pPr>
        <w:pBdr/>
        <w:spacing w:after="200"/>
        <w:ind/>
        <w:jc w:val="both"/>
        <w:rPr/>
      </w:pPr>
      <w:r>
        <w:t xml:space="preserve">É o modelo mais simples de integração. Ao configurá-lo, o Slack gera uma URL única, associada a um canal específico (por exemplo: https://hooks.slack.com/services/T000/B000/XXXX). Qualquer sistema</w:t>
      </w:r>
      <w:r>
        <w:t xml:space="preserve"> capaz de realizar uma requisição HTTP do tipo POST, enviando um payload em formato JSON para essa URL, consegue publicar uma mensagem naquele canal — não é necessário nenhum tipo de biblioteca especial, apenas a capacidade de fazer uma chamada HTTP comum.</w:t>
      </w:r>
      <w:r/>
    </w:p>
    <w:p>
      <w:pPr>
        <w:pBdr/>
        <w:spacing w:after="200"/>
        <w:ind/>
        <w:jc w:val="both"/>
        <w:rPr/>
      </w:pPr>
      <w:r>
        <w:t xml:space="preserve">Esse modelo é considerado de "mão única": o sistema externo envia a mensagem, mas não há qualquer tipo de resposta estruturada vinda do Slack, nem a possibilidade de ler mensagens ou reagir a elas a partir dessa mesma via.</w:t>
      </w:r>
      <w:r/>
    </w:p>
    <w:p>
      <w:pPr>
        <w:pStyle w:val="883"/>
        <w:pBdr/>
        <w:spacing w:after="150" w:before="300"/>
        <w:ind/>
        <w:rPr/>
      </w:pPr>
      <w:r>
        <w:t xml:space="preserve">3.2 Slack API completa (Bot Token / OAuth)</w:t>
      </w:r>
      <w:r/>
    </w:p>
    <w:p>
      <w:pPr>
        <w:pBdr/>
        <w:spacing w:after="200"/>
        <w:ind/>
        <w:jc w:val="both"/>
        <w:rPr/>
      </w:pPr>
      <w:r>
        <w:t xml:space="preserve">É o modelo mais robusto de integração, utilizado quando é necessário mais do que apenas enviar mensagens. Nesse modelo, é criado um "Slack App", que recebe um token de autenticação (Bot Token) após ser instalado em um workspace. A p</w:t>
      </w:r>
      <w:r>
        <w:t xml:space="preserve">artir desse token, é possível utilizar métodos da API do Slack, como chat.postMessage, para enviar mensagens a qualquer canal escolhido dinamicamente, ler o histórico de mensagens, reagir a elas, entre outras ações. É um modelo de comunicação bidirecional.</w:t>
      </w:r>
      <w:r/>
    </w:p>
    <w:p>
      <w:pPr>
        <w:pStyle w:val="883"/>
        <w:pBdr/>
        <w:spacing w:after="150" w:before="300"/>
        <w:ind/>
        <w:rPr/>
      </w:pPr>
      <w:r>
        <w:t xml:space="preserve">3.3 Comparação entre os dois modelos</w:t>
      </w: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3400"/>
        <w:gridCol w:w="3400"/>
      </w:tblGrid>
      <w:tr>
        <w:trPr/>
        <w:tc>
          <w:tcPr>
            <w:shd w:val="clear" w:color="auto" w:fill="1f2937"/>
            <w:tcBorders/>
            <w:tcMar>
              <w:left w:w="150" w:type="dxa"/>
              <w:top w:w="100" w:type="dxa"/>
              <w:right w:w="150" w:type="dxa"/>
              <w:bottom w:w="100" w:type="dxa"/>
            </w:tcMar>
          </w:tcPr>
          <w:p>
            <w:pPr>
              <w:pBdr/>
              <w:spacing/>
              <w:ind/>
              <w:rPr/>
            </w:pPr>
            <w:r>
              <w:rPr>
                <w:b/>
                <w:bCs/>
                <w:color w:val="ffffff"/>
                <w:sz w:val="20"/>
                <w:szCs w:val="20"/>
              </w:rPr>
              <w:t xml:space="preserve">Critério</w:t>
            </w:r>
            <w:r/>
          </w:p>
        </w:tc>
        <w:tc>
          <w:tcPr>
            <w:shd w:val="clear" w:color="auto" w:fill="1f2937"/>
            <w:tcBorders/>
            <w:tcMar>
              <w:left w:w="150" w:type="dxa"/>
              <w:top w:w="100" w:type="dxa"/>
              <w:right w:w="150" w:type="dxa"/>
              <w:bottom w:w="100" w:type="dxa"/>
            </w:tcMar>
          </w:tcPr>
          <w:p>
            <w:pPr>
              <w:pBdr/>
              <w:spacing/>
              <w:ind/>
              <w:rPr/>
            </w:pPr>
            <w:r>
              <w:rPr>
                <w:b/>
                <w:bCs/>
                <w:color w:val="ffffff"/>
                <w:sz w:val="20"/>
                <w:szCs w:val="20"/>
              </w:rPr>
              <w:t xml:space="preserve">Incoming Webhook</w:t>
            </w:r>
            <w:r/>
          </w:p>
        </w:tc>
        <w:tc>
          <w:tcPr>
            <w:shd w:val="clear" w:color="auto" w:fill="1f2937"/>
            <w:tcBorders/>
            <w:tcMar>
              <w:left w:w="150" w:type="dxa"/>
              <w:top w:w="100" w:type="dxa"/>
              <w:right w:w="150" w:type="dxa"/>
              <w:bottom w:w="100" w:type="dxa"/>
            </w:tcMar>
          </w:tcPr>
          <w:p>
            <w:pPr>
              <w:pBdr/>
              <w:spacing/>
              <w:ind/>
              <w:rPr/>
            </w:pPr>
            <w:r>
              <w:rPr>
                <w:b/>
                <w:bCs/>
                <w:color w:val="ffffff"/>
                <w:sz w:val="20"/>
                <w:szCs w:val="20"/>
              </w:rPr>
              <w:t xml:space="preserve">Slack API completa (Bot Token)</w:t>
            </w:r>
            <w:r/>
          </w:p>
        </w:tc>
      </w:tr>
      <w:tr>
        <w:trPr/>
        <w:tc>
          <w:tcPr>
            <w:tcBorders/>
            <w:tcMar>
              <w:left w:w="150" w:type="dxa"/>
              <w:top w:w="100" w:type="dxa"/>
              <w:right w:w="150" w:type="dxa"/>
              <w:bottom w:w="100" w:type="dxa"/>
            </w:tcMar>
          </w:tcPr>
          <w:p>
            <w:pPr>
              <w:pBdr/>
              <w:spacing/>
              <w:ind/>
              <w:rPr/>
            </w:pPr>
            <w:r>
              <w:rPr>
                <w:b/>
                <w:bCs/>
                <w:sz w:val="20"/>
                <w:szCs w:val="20"/>
              </w:rPr>
              <w:t xml:space="preserve">Complexidade de implementação</w:t>
            </w:r>
            <w:r/>
          </w:p>
        </w:tc>
        <w:tc>
          <w:tcPr>
            <w:tcBorders/>
            <w:tcMar>
              <w:left w:w="150" w:type="dxa"/>
              <w:top w:w="100" w:type="dxa"/>
              <w:right w:w="150" w:type="dxa"/>
              <w:bottom w:w="100" w:type="dxa"/>
            </w:tcMar>
          </w:tcPr>
          <w:p>
            <w:pPr>
              <w:pBdr/>
              <w:spacing/>
              <w:ind/>
              <w:rPr/>
            </w:pPr>
            <w:r>
              <w:rPr>
                <w:b w:val="0"/>
                <w:bCs w:val="0"/>
                <w:sz w:val="20"/>
                <w:szCs w:val="20"/>
              </w:rPr>
              <w:t xml:space="preserve">Baixa — uma requisição HTTP POST simples</w:t>
            </w:r>
            <w:r/>
          </w:p>
        </w:tc>
        <w:tc>
          <w:tcPr>
            <w:tcBorders/>
            <w:tcMar>
              <w:left w:w="150" w:type="dxa"/>
              <w:top w:w="100" w:type="dxa"/>
              <w:right w:w="150" w:type="dxa"/>
              <w:bottom w:w="100" w:type="dxa"/>
            </w:tcMar>
          </w:tcPr>
          <w:p>
            <w:pPr>
              <w:pBdr/>
              <w:spacing/>
              <w:ind/>
              <w:rPr/>
            </w:pPr>
            <w:r>
              <w:rPr>
                <w:b w:val="0"/>
                <w:bCs w:val="0"/>
                <w:sz w:val="20"/>
                <w:szCs w:val="20"/>
              </w:rPr>
              <w:t xml:space="preserve">Média/alta — exige criação de app, escopos OAuth e gestão de token</w:t>
            </w:r>
            <w:r/>
          </w:p>
        </w:tc>
      </w:tr>
      <w:tr>
        <w:trPr/>
        <w:tc>
          <w:tcPr>
            <w:tcBorders/>
            <w:tcMar>
              <w:left w:w="150" w:type="dxa"/>
              <w:top w:w="100" w:type="dxa"/>
              <w:right w:w="150" w:type="dxa"/>
              <w:bottom w:w="100" w:type="dxa"/>
            </w:tcMar>
          </w:tcPr>
          <w:p>
            <w:pPr>
              <w:pBdr/>
              <w:spacing/>
              <w:ind/>
              <w:rPr/>
            </w:pPr>
            <w:r>
              <w:rPr>
                <w:b/>
                <w:bCs/>
                <w:sz w:val="20"/>
                <w:szCs w:val="20"/>
              </w:rPr>
              <w:t xml:space="preserve">Direção da comunicação</w:t>
            </w:r>
            <w:r/>
          </w:p>
        </w:tc>
        <w:tc>
          <w:tcPr>
            <w:tcBorders/>
            <w:tcMar>
              <w:left w:w="150" w:type="dxa"/>
              <w:top w:w="100" w:type="dxa"/>
              <w:right w:w="150" w:type="dxa"/>
              <w:bottom w:w="100" w:type="dxa"/>
            </w:tcMar>
          </w:tcPr>
          <w:p>
            <w:pPr>
              <w:pBdr/>
              <w:spacing/>
              <w:ind/>
              <w:rPr/>
            </w:pPr>
            <w:r>
              <w:rPr>
                <w:b w:val="0"/>
                <w:bCs w:val="0"/>
                <w:sz w:val="20"/>
                <w:szCs w:val="20"/>
              </w:rPr>
              <w:t xml:space="preserve">Somente envio (sistema → Slack)</w:t>
            </w:r>
            <w:r/>
          </w:p>
        </w:tc>
        <w:tc>
          <w:tcPr>
            <w:tcBorders/>
            <w:tcMar>
              <w:left w:w="150" w:type="dxa"/>
              <w:top w:w="100" w:type="dxa"/>
              <w:right w:w="150" w:type="dxa"/>
              <w:bottom w:w="100" w:type="dxa"/>
            </w:tcMar>
          </w:tcPr>
          <w:p>
            <w:pPr>
              <w:pBdr/>
              <w:spacing/>
              <w:ind/>
              <w:rPr/>
            </w:pPr>
            <w:r>
              <w:rPr>
                <w:b w:val="0"/>
                <w:bCs w:val="0"/>
                <w:sz w:val="20"/>
                <w:szCs w:val="20"/>
              </w:rPr>
              <w:t xml:space="preserve">Bidirecional (envio, leitura, reações, comandos)</w:t>
            </w:r>
            <w:r/>
          </w:p>
        </w:tc>
      </w:tr>
      <w:tr>
        <w:trPr/>
        <w:tc>
          <w:tcPr>
            <w:tcBorders/>
            <w:tcMar>
              <w:left w:w="150" w:type="dxa"/>
              <w:top w:w="100" w:type="dxa"/>
              <w:right w:w="150" w:type="dxa"/>
              <w:bottom w:w="100" w:type="dxa"/>
            </w:tcMar>
          </w:tcPr>
          <w:p>
            <w:pPr>
              <w:pBdr/>
              <w:spacing/>
              <w:ind/>
              <w:rPr/>
            </w:pPr>
            <w:r>
              <w:rPr>
                <w:b/>
                <w:bCs/>
                <w:sz w:val="20"/>
                <w:szCs w:val="20"/>
              </w:rPr>
              <w:t xml:space="preserve">Canal de destino</w:t>
            </w:r>
            <w:r/>
          </w:p>
        </w:tc>
        <w:tc>
          <w:tcPr>
            <w:tcBorders/>
            <w:tcMar>
              <w:left w:w="150" w:type="dxa"/>
              <w:top w:w="100" w:type="dxa"/>
              <w:right w:w="150" w:type="dxa"/>
              <w:bottom w:w="100" w:type="dxa"/>
            </w:tcMar>
          </w:tcPr>
          <w:p>
            <w:pPr>
              <w:pBdr/>
              <w:spacing/>
              <w:ind/>
              <w:rPr/>
            </w:pPr>
            <w:r>
              <w:rPr>
                <w:b w:val="0"/>
                <w:bCs w:val="0"/>
                <w:sz w:val="20"/>
                <w:szCs w:val="20"/>
              </w:rPr>
              <w:t xml:space="preserve">Fixo, definido na criação do webhook</w:t>
            </w:r>
            <w:r/>
          </w:p>
        </w:tc>
        <w:tc>
          <w:tcPr>
            <w:tcBorders/>
            <w:tcMar>
              <w:left w:w="150" w:type="dxa"/>
              <w:top w:w="100" w:type="dxa"/>
              <w:right w:w="150" w:type="dxa"/>
              <w:bottom w:w="100" w:type="dxa"/>
            </w:tcMar>
          </w:tcPr>
          <w:p>
            <w:pPr>
              <w:pBdr/>
              <w:spacing/>
              <w:ind/>
              <w:rPr/>
            </w:pPr>
            <w:r>
              <w:rPr>
                <w:b w:val="0"/>
                <w:bCs w:val="0"/>
                <w:sz w:val="20"/>
                <w:szCs w:val="20"/>
              </w:rPr>
              <w:t xml:space="preserve">Dinâmico, escolhido a cada chamada</w:t>
            </w:r>
            <w:r/>
          </w:p>
        </w:tc>
      </w:tr>
      <w:tr>
        <w:trPr/>
        <w:tc>
          <w:tcPr>
            <w:tcBorders/>
            <w:tcMar>
              <w:left w:w="150" w:type="dxa"/>
              <w:top w:w="100" w:type="dxa"/>
              <w:right w:w="150" w:type="dxa"/>
              <w:bottom w:w="100" w:type="dxa"/>
            </w:tcMar>
          </w:tcPr>
          <w:p>
            <w:pPr>
              <w:pBdr/>
              <w:spacing/>
              <w:ind/>
              <w:rPr/>
            </w:pPr>
            <w:r>
              <w:rPr>
                <w:b/>
                <w:bCs/>
                <w:sz w:val="20"/>
                <w:szCs w:val="20"/>
              </w:rPr>
              <w:t xml:space="preserve">Autenticação</w:t>
            </w:r>
            <w:r/>
          </w:p>
        </w:tc>
        <w:tc>
          <w:tcPr>
            <w:tcBorders/>
            <w:tcMar>
              <w:left w:w="150" w:type="dxa"/>
              <w:top w:w="100" w:type="dxa"/>
              <w:right w:w="150" w:type="dxa"/>
              <w:bottom w:w="100" w:type="dxa"/>
            </w:tcMar>
          </w:tcPr>
          <w:p>
            <w:pPr>
              <w:pBdr/>
              <w:spacing/>
              <w:ind/>
              <w:rPr/>
            </w:pPr>
            <w:r>
              <w:rPr>
                <w:b w:val="0"/>
                <w:bCs w:val="0"/>
                <w:sz w:val="20"/>
                <w:szCs w:val="20"/>
              </w:rPr>
              <w:t xml:space="preserve">Segredo embutido na própria URL</w:t>
            </w:r>
            <w:r/>
          </w:p>
        </w:tc>
        <w:tc>
          <w:tcPr>
            <w:tcBorders/>
            <w:tcMar>
              <w:left w:w="150" w:type="dxa"/>
              <w:top w:w="100" w:type="dxa"/>
              <w:right w:w="150" w:type="dxa"/>
              <w:bottom w:w="100" w:type="dxa"/>
            </w:tcMar>
          </w:tcPr>
          <w:p>
            <w:pPr>
              <w:pBdr/>
              <w:spacing/>
              <w:ind/>
              <w:rPr/>
            </w:pPr>
            <w:r>
              <w:rPr>
                <w:b w:val="0"/>
                <w:bCs w:val="0"/>
                <w:sz w:val="20"/>
                <w:szCs w:val="20"/>
              </w:rPr>
              <w:t xml:space="preserve">Bot Token (OAuth), gerenciado separadamente</w:t>
            </w:r>
            <w:r/>
          </w:p>
        </w:tc>
      </w:tr>
      <w:tr>
        <w:trPr/>
        <w:tc>
          <w:tcPr>
            <w:tcBorders/>
            <w:tcMar>
              <w:left w:w="150" w:type="dxa"/>
              <w:top w:w="100" w:type="dxa"/>
              <w:right w:w="150" w:type="dxa"/>
              <w:bottom w:w="100" w:type="dxa"/>
            </w:tcMar>
          </w:tcPr>
          <w:p>
            <w:pPr>
              <w:pBdr/>
              <w:spacing/>
              <w:ind/>
              <w:rPr/>
            </w:pPr>
            <w:r>
              <w:rPr>
                <w:b/>
                <w:bCs/>
                <w:sz w:val="20"/>
                <w:szCs w:val="20"/>
              </w:rPr>
              <w:t xml:space="preserve">Adequação ao projeto</w:t>
            </w:r>
            <w:r/>
          </w:p>
        </w:tc>
        <w:tc>
          <w:tcPr>
            <w:tcBorders/>
            <w:tcMar>
              <w:left w:w="150" w:type="dxa"/>
              <w:top w:w="100" w:type="dxa"/>
              <w:right w:w="150" w:type="dxa"/>
              <w:bottom w:w="100" w:type="dxa"/>
            </w:tcMar>
          </w:tcPr>
          <w:p>
            <w:pPr>
              <w:pBdr/>
              <w:spacing/>
              <w:ind/>
              <w:rPr/>
            </w:pPr>
            <w:r>
              <w:rPr>
                <w:b/>
                <w:bCs/>
                <w:sz w:val="20"/>
                <w:szCs w:val="20"/>
              </w:rPr>
              <w:t xml:space="preserve">Ideal — caso de uso é notificação de mão única</w:t>
            </w:r>
            <w:r/>
          </w:p>
        </w:tc>
        <w:tc>
          <w:tcPr>
            <w:tcBorders/>
            <w:tcMar>
              <w:left w:w="150" w:type="dxa"/>
              <w:top w:w="100" w:type="dxa"/>
              <w:right w:w="150" w:type="dxa"/>
              <w:bottom w:w="100" w:type="dxa"/>
            </w:tcMar>
          </w:tcPr>
          <w:p>
            <w:pPr>
              <w:pBdr/>
              <w:spacing/>
              <w:ind/>
              <w:rPr/>
            </w:pPr>
            <w:r>
              <w:rPr>
                <w:b w:val="0"/>
                <w:bCs w:val="0"/>
                <w:sz w:val="20"/>
                <w:szCs w:val="20"/>
              </w:rPr>
              <w:t xml:space="preserve">Superdimensionado para o escopo atual</w:t>
            </w:r>
            <w:r/>
          </w:p>
        </w:tc>
      </w:tr>
    </w:tbl>
    <w:p>
      <w:pPr>
        <w:pBdr/>
        <w:spacing w:after="200"/>
        <w:ind/>
        <w:rPr/>
      </w:pPr>
      <w:r/>
      <w:r/>
    </w:p>
    <w:p>
      <w:pPr>
        <w:pStyle w:val="882"/>
        <w:pBdr/>
        <w:spacing w:after="200" w:before="400"/>
        <w:ind/>
        <w:rPr/>
      </w:pPr>
      <w:r>
        <w:t xml:space="preserve">4. Por que o StreamGuard Utiliza Incoming Webhooks</w:t>
      </w:r>
      <w:r/>
    </w:p>
    <w:p>
      <w:pPr>
        <w:pBdr/>
        <w:spacing w:after="200"/>
        <w:ind/>
        <w:jc w:val="both"/>
        <w:rPr/>
      </w:pPr>
      <w:r>
        <w:t xml:space="preserve">Para o escopo atual do projeto, o modelo de Incoming Webhooks é a escolha mais adequada, por três motivos principais:</w:t>
      </w:r>
      <w:r/>
    </w:p>
    <w:p>
      <w:pPr>
        <w:pStyle w:val="889"/>
        <w:numPr>
          <w:ilvl w:val="0"/>
          <w:numId w:val="2"/>
        </w:numPr>
        <w:pBdr/>
        <w:spacing w:after="100"/>
        <w:ind/>
        <w:rPr/>
      </w:pPr>
      <w:r>
        <w:t xml:space="preserve">O caso de uso é estritamente de notificação de mão única — o sistema precisa avisar a equipe responsável, e ninguém precisa responder por dentro do Slack;</w:t>
      </w:r>
      <w:r/>
    </w:p>
    <w:p>
      <w:pPr>
        <w:pStyle w:val="889"/>
        <w:numPr>
          <w:ilvl w:val="0"/>
          <w:numId w:val="2"/>
        </w:numPr>
        <w:pBdr/>
        <w:spacing w:after="100"/>
        <w:ind/>
        <w:rPr/>
      </w:pPr>
      <w:r>
        <w:t xml:space="preserve">A implementação é significativamente mais simples, dispensando a criação de um Slack App e o gerenciamento de tokens OAuth;</w:t>
      </w:r>
      <w:r/>
    </w:p>
    <w:p>
      <w:pPr>
        <w:pStyle w:val="889"/>
        <w:numPr>
          <w:ilvl w:val="0"/>
          <w:numId w:val="2"/>
        </w:numPr>
        <w:pBdr/>
        <w:spacing w:after="100"/>
        <w:ind/>
        <w:rPr/>
      </w:pPr>
      <w:r>
        <w:t xml:space="preserve">O canal de destino pode ser definido previamente por severidade (por exemplo, um webhook para o canal de alertas críticos e outro para o canal de atenç</w:t>
      </w:r>
      <w:r>
        <w:t xml:space="preserve">ão</w:t>
      </w:r>
      <w:r>
        <w:t xml:space="preserve">), o que já atende à necessidade de segmentação do projeto.</w:t>
      </w:r>
      <w:r/>
    </w:p>
    <w:p>
      <w:pPr>
        <w:pBdr/>
        <w:spacing w:after="200"/>
        <w:ind/>
        <w:jc w:val="both"/>
        <w:rPr/>
      </w:pPr>
      <w:r>
        <w:t xml:space="preserve">Ainda assim, a Slack API completa permanece como um caminho de evolução natural, caso o projeto avance para funcionalidades mais avançadas — como permitir que a própria equipe reconheça um alerta diretamente pelo Slack.</w:t>
      </w:r>
      <w:r/>
    </w:p>
    <w:p>
      <w:pPr>
        <w:pStyle w:val="882"/>
        <w:pBdr/>
        <w:spacing w:after="200" w:before="400"/>
        <w:ind/>
        <w:rPr/>
      </w:pPr>
      <w:r>
        <w:t xml:space="preserve">5. Estrutura da Mensagem (Payload JSON)</w:t>
      </w:r>
      <w:r/>
    </w:p>
    <w:p>
      <w:pPr>
        <w:pBdr/>
        <w:spacing w:after="200"/>
        <w:ind/>
        <w:jc w:val="both"/>
        <w:rPr/>
      </w:pPr>
      <w:r>
        <w:t xml:space="preserve">Tecnicamente, o corpo de uma notificação enviada via Incoming Webhook é um objeto JSON simples. Um exemplo de payload correspondente a um alerta crítico de CPU no sistema StreamGuard seria:</w:t>
      </w:r>
      <w:r/>
    </w:p>
    <w:tbl>
      <w:tblPr>
        <w:tblW w:w="5000" w:type="pct"/>
        <w:tblBorders>
          <w:top w:val="single" w:color="1e293b" w:sz="1" w:space="0"/>
          <w:left w:val="single" w:color="1e293b" w:sz="1" w:space="0"/>
          <w:bottom w:val="single" w:color="1e293b" w:sz="1" w:space="0"/>
          <w:right w:val="single" w:color="1e293b" w:sz="1" w:space="0"/>
          <w:insideH w:val="single" w:color="auto" w:sz="4" w:space="0"/>
          <w:insideV w:val="single" w:color="auto" w:sz="4" w:space="0"/>
        </w:tblBorders>
        <w:tblLook w:val="04A0" w:firstRow="1" w:lastRow="0" w:firstColumn="1" w:lastColumn="0" w:noHBand="0" w:noVBand="1"/>
      </w:tblPr>
      <w:tblGrid>
        <w:gridCol w:w="100"/>
      </w:tblGrid>
      <w:tr>
        <w:trPr/>
        <w:tc>
          <w:tcPr>
            <w:shd w:val="clear" w:color="auto" w:fill="1e293b"/>
            <w:tcBorders/>
            <w:tcMar>
              <w:left w:w="200" w:type="dxa"/>
              <w:top w:w="150" w:type="dxa"/>
              <w:right w:w="200" w:type="dxa"/>
              <w:bottom w:w="150" w:type="dxa"/>
            </w:tcMar>
          </w:tcPr>
          <w:p>
            <w:pPr>
              <w:pBdr/>
              <w:spacing w:after="0"/>
              <w:ind/>
              <w:rPr/>
            </w:pPr>
            <w:r>
              <w:rPr>
                <w:rFonts w:ascii="Consolas" w:hAnsi="Consolas" w:eastAsia="Consolas" w:cs="Consolas"/>
                <w:color w:val="e2e8f0"/>
                <w:sz w:val="19"/>
                <w:szCs w:val="19"/>
              </w:rPr>
              <w:t xml:space="preserve">{</w:t>
            </w:r>
            <w:r/>
          </w:p>
          <w:p>
            <w:pPr>
              <w:pBdr/>
              <w:spacing w:after="0"/>
              <w:ind/>
              <w:rPr/>
            </w:pPr>
            <w:r>
              <w:rPr>
                <w:rFonts w:ascii="Consolas" w:hAnsi="Consolas" w:eastAsia="Consolas" w:cs="Consolas"/>
                <w:color w:val="e2e8f0"/>
                <w:sz w:val="19"/>
                <w:szCs w:val="19"/>
              </w:rPr>
              <w:t xml:space="preserve">  "text": "🔴 [CRÍTICO] Componente: Transcoding Server 01",</w:t>
            </w:r>
            <w:r/>
          </w:p>
          <w:p>
            <w:pPr>
              <w:pBdr/>
              <w:spacing w:after="0"/>
              <w:ind/>
              <w:rPr/>
            </w:pPr>
            <w:r>
              <w:rPr>
                <w:rFonts w:ascii="Consolas" w:hAnsi="Consolas" w:eastAsia="Consolas" w:cs="Consolas"/>
                <w:color w:val="e2e8f0"/>
                <w:sz w:val="19"/>
                <w:szCs w:val="19"/>
              </w:rPr>
              <w:t xml:space="preserve">  "channel": "#alertas-criticos",</w:t>
            </w:r>
            <w:r/>
          </w:p>
          <w:p>
            <w:pPr>
              <w:pBdr/>
              <w:spacing w:after="0"/>
              <w:ind/>
              <w:rPr/>
            </w:pPr>
            <w:r>
              <w:rPr>
                <w:rFonts w:ascii="Consolas" w:hAnsi="Consolas" w:eastAsia="Consolas" w:cs="Consolas"/>
                <w:color w:val="e2e8f0"/>
                <w:sz w:val="19"/>
                <w:szCs w:val="19"/>
              </w:rPr>
              <w:t xml:space="preserve">  "username": "StreamGuard Monitor"</w:t>
            </w:r>
            <w:r/>
          </w:p>
          <w:p>
            <w:pPr>
              <w:pBdr/>
              <w:spacing w:after="0"/>
              <w:ind/>
              <w:rPr/>
            </w:pPr>
            <w:r>
              <w:rPr>
                <w:rFonts w:ascii="Consolas" w:hAnsi="Consolas" w:eastAsia="Consolas" w:cs="Consolas"/>
                <w:color w:val="e2e8f0"/>
                <w:sz w:val="19"/>
                <w:szCs w:val="19"/>
              </w:rPr>
              <w:t xml:space="preserve">}</w:t>
            </w:r>
            <w:r/>
          </w:p>
        </w:tc>
      </w:tr>
    </w:tbl>
    <w:p>
      <w:pPr>
        <w:pBdr/>
        <w:spacing w:after="200"/>
        <w:ind/>
        <w:jc w:val="both"/>
        <w:rPr/>
      </w:pPr>
      <w:r>
        <w:t xml:space="preserve">O Slack também aceita um formato de formatação avançada chamado Block Kit, que permite est</w:t>
      </w:r>
      <w:r>
        <w:t xml:space="preserve">ruturar a mensagem em blocos visuais — com campos organizados, cores de destaque e até botões de ação (por exemplo, "Ver no Dashboard" ou "Abrir chamado no Jira"). O uso de Block Kit é apontado como uma possibilidade de evolução na seção 9 deste documento.</w:t>
      </w:r>
      <w:r/>
    </w:p>
    <w:p>
      <w:pPr>
        <w:pStyle w:val="882"/>
        <w:pBdr/>
        <w:spacing w:after="200" w:before="400"/>
        <w:ind/>
        <w:rPr/>
      </w:pPr>
      <w:r>
        <w:t xml:space="preserve">6. Fluxo de Integração no Sistema StreamGuard</w:t>
      </w:r>
      <w:r/>
    </w:p>
    <w:p>
      <w:pPr>
        <w:pBdr/>
        <w:spacing w:after="200"/>
        <w:ind/>
        <w:jc w:val="both"/>
        <w:rPr/>
      </w:pPr>
      <w:r>
        <w:t xml:space="preserve">A notificação via Slack não é um evento isolado — ela é a etapa final de uma cadeia que começa na coleta de métricas do servidor do cliente. O fluxo completo funciona da seguinte forma:</w:t>
      </w:r>
      <w:r/>
    </w:p>
    <w:p>
      <w:pPr>
        <w:pStyle w:val="889"/>
        <w:numPr>
          <w:ilvl w:val="0"/>
          <w:numId w:val="3"/>
        </w:numPr>
        <w:pBdr/>
        <w:spacing w:after="120"/>
        <w:ind/>
        <w:rPr/>
      </w:pPr>
      <w:r>
        <w:t xml:space="preserve">O script Python, instalado no servidor do cliente, coleta periodicamente métricas de hardware (CPU, memória, disco, rede) dos componentes cadastrados (ex.: Transcoding, CDN).</w:t>
      </w:r>
      <w:r/>
    </w:p>
    <w:p>
      <w:pPr>
        <w:pStyle w:val="889"/>
        <w:numPr>
          <w:ilvl w:val="0"/>
          <w:numId w:val="3"/>
        </w:numPr>
        <w:pBdr/>
        <w:spacing w:after="120"/>
        <w:ind/>
        <w:rPr/>
      </w:pPr>
      <w:r>
        <w:t xml:space="preserve">Cada métrica coletada é comparada com os limites (mínimo e máximo) configurados pelo cliente para aquele componente.</w:t>
      </w:r>
      <w:r/>
    </w:p>
    <w:p>
      <w:pPr>
        <w:pStyle w:val="889"/>
        <w:numPr>
          <w:ilvl w:val="0"/>
          <w:numId w:val="3"/>
        </w:numPr>
        <w:pBdr/>
        <w:spacing w:after="120"/>
        <w:ind/>
        <w:rPr/>
      </w:pPr>
      <w:r>
        <w:t xml:space="preserve">Quando um limite é ultrapassado, o sistema identifica a empresa, o servidor e o componente correspondentes, e localiza os responsáveis por meio dos relacionamentos entre as tabelas envolvidas.</w:t>
      </w:r>
      <w:r/>
    </w:p>
    <w:p>
      <w:pPr>
        <w:pStyle w:val="889"/>
        <w:numPr>
          <w:ilvl w:val="0"/>
          <w:numId w:val="3"/>
        </w:numPr>
        <w:pBdr/>
        <w:spacing w:after="120"/>
        <w:ind/>
        <w:rPr/>
      </w:pPr>
      <w:r>
        <w:t xml:space="preserve">O backend monta o payload JSON da notificação, com as informações do alerta: nome do componente, métrica, valor atingido e horário.</w:t>
      </w:r>
      <w:r/>
    </w:p>
    <w:p>
      <w:pPr>
        <w:pStyle w:val="889"/>
        <w:numPr>
          <w:ilvl w:val="0"/>
          <w:numId w:val="3"/>
        </w:numPr>
        <w:pBdr/>
        <w:spacing w:after="120"/>
        <w:ind/>
        <w:rPr/>
      </w:pPr>
      <w:r>
        <w:t xml:space="preserve">O backend realiza a requisição HTTP POST para a URL do Incoming Webhook do canal correspondente à severidade do alerta.</w:t>
      </w:r>
      <w:r/>
    </w:p>
    <w:p>
      <w:pPr>
        <w:pStyle w:val="889"/>
        <w:numPr>
          <w:ilvl w:val="0"/>
          <w:numId w:val="3"/>
        </w:numPr>
        <w:pBdr/>
        <w:spacing w:after="120"/>
        <w:ind/>
        <w:rPr/>
      </w:pPr>
      <w:r>
        <w:t xml:space="preserve">Em paralelo, é aberto um chamado no Jira e gerado um log da aplicação (via componente .jar rodando na EC2), que é enviado a um bucket S3 para armazenamento — permitindo que a equipe consulte o histórico do incidente a partir da notificação recebida.</w:t>
      </w:r>
      <w:r/>
    </w:p>
    <w:p>
      <w:pPr>
        <w:pStyle w:val="882"/>
        <w:pBdr/>
        <w:spacing w:after="200" w:before="400"/>
        <w:ind/>
        <w:rPr/>
      </w:pPr>
      <w:r>
        <w:t xml:space="preserve">7. Considerações de Segurança</w:t>
      </w:r>
      <w:r/>
    </w:p>
    <w:p>
      <w:pPr>
        <w:pBdr/>
        <w:spacing w:after="200"/>
        <w:ind/>
        <w:jc w:val="both"/>
        <w:rPr/>
      </w:pPr>
      <w:r>
        <w:t xml:space="preserve">Alguns cuidados de segurança são relevantes para a integração com o Slack e merecem ser documentados formalmente:</w:t>
      </w:r>
      <w:r/>
    </w:p>
    <w:p>
      <w:pPr>
        <w:pStyle w:val="889"/>
        <w:numPr>
          <w:ilvl w:val="0"/>
          <w:numId w:val="2"/>
        </w:numPr>
        <w:pBdr/>
        <w:spacing w:after="100"/>
        <w:ind/>
        <w:rPr/>
      </w:pPr>
      <w:r>
        <w:t xml:space="preserve">A URL do webhook deve ser tratada como uma credencial — quem a possui pode publicar mensagens no canal configurado;</w:t>
      </w:r>
      <w:r/>
    </w:p>
    <w:p>
      <w:pPr>
        <w:pStyle w:val="889"/>
        <w:numPr>
          <w:ilvl w:val="0"/>
          <w:numId w:val="2"/>
        </w:numPr>
        <w:pBdr/>
        <w:spacing w:after="100"/>
        <w:ind/>
        <w:rPr/>
      </w:pPr>
      <w:r>
        <w:t xml:space="preserve">O armazenamento da URL deve ocorrer em variáveis de ambiente ou serviços de gerenciamento de segredos, nunca em texto plano no código;</w:t>
      </w:r>
      <w:r/>
    </w:p>
    <w:p>
      <w:pPr>
        <w:pStyle w:val="889"/>
        <w:numPr>
          <w:ilvl w:val="0"/>
          <w:numId w:val="2"/>
        </w:numPr>
        <w:pBdr/>
        <w:spacing w:after="100"/>
        <w:ind/>
        <w:rPr/>
      </w:pPr>
      <w:r>
        <w:t xml:space="preserve">Cada canal de destino (ex.: alertas críticos vs. atenç</w:t>
      </w:r>
      <w:r>
        <w:t xml:space="preserve">ão</w:t>
      </w:r>
      <w:r>
        <w:t xml:space="preserve">) deve possuir sua própria URL de webhook, isolando o impacto caso uma delas seja comprometida.</w:t>
      </w:r>
      <w:r/>
    </w:p>
    <w:p>
      <w:pPr>
        <w:pStyle w:val="882"/>
        <w:pBdr/>
        <w:spacing w:after="200" w:before="400"/>
        <w:ind/>
        <w:rPr/>
      </w:pPr>
      <w:r>
        <w:t xml:space="preserve">8. Rastreabilidade e Tratamento de Falhas</w:t>
      </w:r>
      <w:r/>
    </w:p>
    <w:p>
      <w:pPr>
        <w:pBdr/>
        <w:spacing w:after="200"/>
        <w:ind/>
        <w:jc w:val="both"/>
        <w:rPr/>
      </w:pPr>
      <w:r>
        <w:t xml:space="preserve">É importante que o sistema não apenas envie a notificação, mas também registre se ela foi efetivamente entregue. Par</w:t>
      </w:r>
      <w:r>
        <w:t xml:space="preserve">a isso, cada tentativa de notificação deve ser registrada com um status (por exemplo, enviado ou falhou), permitindo à equipe auditar, durante a apresentação ou em produção, se uma falha em uma notificação teria comprometido a resposta a um incidente real.</w:t>
      </w:r>
      <w:r/>
    </w:p>
    <w:p>
      <w:pPr>
        <w:pStyle w:val="882"/>
        <w:pBdr/>
        <w:spacing w:after="200" w:before="400"/>
        <w:ind/>
        <w:rPr/>
      </w:pPr>
      <w:r>
        <w:t xml:space="preserve">9. Limitações Conhecidas</w:t>
      </w:r>
      <w:r/>
    </w:p>
    <w:p>
      <w:pPr>
        <w:pStyle w:val="889"/>
        <w:numPr>
          <w:ilvl w:val="0"/>
          <w:numId w:val="2"/>
        </w:numPr>
        <w:pBdr/>
        <w:spacing w:after="100"/>
        <w:ind/>
        <w:rPr/>
      </w:pPr>
      <w:r>
        <w:t xml:space="preserve">Um Incoming Webhook está sempre vinculado a um único canal fixo, definido no momento de sua criação — não é possível escolher o canal de destino dinamicamente a cada envio;</w:t>
      </w:r>
      <w:r/>
    </w:p>
    <w:p>
      <w:pPr>
        <w:pStyle w:val="889"/>
        <w:numPr>
          <w:ilvl w:val="0"/>
          <w:numId w:val="2"/>
        </w:numPr>
        <w:pBdr/>
        <w:spacing w:after="100"/>
        <w:ind/>
        <w:rPr/>
      </w:pPr>
      <w:r>
        <w:t xml:space="preserve">Não há confirmação de leitura — o sistema sabe se a mensagem foi entregue ao Slack, mas não se um responsável efetivamente a visualizou;</w:t>
      </w:r>
      <w:r/>
    </w:p>
    <w:p>
      <w:pPr>
        <w:pStyle w:val="889"/>
        <w:numPr>
          <w:ilvl w:val="0"/>
          <w:numId w:val="2"/>
        </w:numPr>
        <w:pBdr/>
        <w:spacing w:after="100"/>
        <w:ind/>
        <w:rPr/>
      </w:pPr>
      <w:r>
        <w:t xml:space="preserve">A comunicação é unidirecional: não é possível, por meio do webhook, que a equipe responda ou reconheça o alerta diretamente pelo Slack.</w:t>
      </w:r>
      <w:r/>
    </w:p>
    <w:p>
      <w:pPr>
        <w:pStyle w:val="882"/>
        <w:pBdr/>
        <w:spacing w:after="200" w:before="400"/>
        <w:ind/>
        <w:rPr/>
      </w:pPr>
      <w:r>
        <w:t xml:space="preserve">10. Possibilidades de Evolução</w:t>
      </w:r>
      <w:r/>
    </w:p>
    <w:p>
      <w:pPr>
        <w:pStyle w:val="889"/>
        <w:numPr>
          <w:ilvl w:val="0"/>
          <w:numId w:val="2"/>
        </w:numPr>
        <w:pBdr/>
        <w:spacing w:after="100"/>
        <w:ind/>
        <w:rPr/>
      </w:pPr>
      <w:r>
        <w:t xml:space="preserve">Adoção de Block Kit para mensagens mais ricas, com campos estruturados e botões de ação;</w:t>
      </w:r>
      <w:r/>
    </w:p>
    <w:p>
      <w:pPr>
        <w:pStyle w:val="889"/>
        <w:numPr>
          <w:ilvl w:val="0"/>
          <w:numId w:val="2"/>
        </w:numPr>
        <w:pBdr/>
        <w:spacing w:after="100"/>
        <w:ind/>
        <w:rPr/>
      </w:pPr>
      <w:r>
        <w:t xml:space="preserve">Migração para a Slack API completa (Bot Token), permitindo que a equipe reconheça um alerta diretamente pelo Slack, atualizando o status do incidente no sistema;</w:t>
      </w:r>
      <w:r/>
    </w:p>
    <w:p>
      <w:pPr>
        <w:pStyle w:val="889"/>
        <w:numPr>
          <w:ilvl w:val="0"/>
          <w:numId w:val="2"/>
        </w:numPr>
        <w:pBdr/>
        <w:spacing w:after="100"/>
        <w:ind/>
        <w:rPr/>
      </w:pPr>
      <w:r>
        <w:t xml:space="preserve">Roteamento dinâmico de canais por empresa cliente, à medida que o sistema evoluir para atender múltiplos clientes simultaneamente.</w:t>
      </w:r>
      <w:r/>
    </w:p>
    <w:p>
      <w:pPr>
        <w:pStyle w:val="882"/>
        <w:pBdr/>
        <w:spacing w:after="200" w:before="400"/>
        <w:ind/>
        <w:rPr/>
      </w:pPr>
      <w:r>
        <w:t xml:space="preserve">11. Conclusão</w:t>
      </w:r>
      <w:r/>
    </w:p>
    <w:p>
      <w:pPr>
        <w:pBdr/>
        <w:spacing w:after="200"/>
        <w:ind/>
        <w:jc w:val="both"/>
        <w:rPr/>
      </w:pPr>
      <w:r>
        <w:t xml:space="preserve">A integração com o Slack representa a ponte entre a detecção automática de um problema de infraestrutura e a ação humana necessária para resolvê-lo. Ao optar pelo modelo de Incoming Webhoo</w:t>
      </w:r>
      <w:r>
        <w:t xml:space="preserve">ks, o StreamGuard adota uma solução simples, adequada ao escopo atual do projeto e alinhada às boas práticas de segurança, ao mesmo tempo em que mantém um caminho claro de evolução para funcionalidades mais avançadas nas próximas etapas do desenvolvimento.</w:t>
      </w:r>
      <w:r/>
    </w:p>
    <w:sectPr>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default="1">
    <w:name w:val="Normal"/>
    <w:qFormat/>
    <w:pPr>
      <w:pBdr/>
      <w:spacing/>
      <w:ind/>
    </w:pPr>
  </w:style>
  <w:style w:type="paragraph" w:styleId="835">
    <w:name w:val="Heading 7"/>
    <w:basedOn w:val="834"/>
    <w:next w:val="834"/>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34"/>
    <w:next w:val="834"/>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34"/>
    <w:next w:val="834"/>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82"/>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83"/>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84"/>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85"/>
    <w:uiPriority w:val="9"/>
    <w:pPr>
      <w:pBdr/>
      <w:spacing/>
      <w:ind/>
    </w:pPr>
    <w:rPr>
      <w:rFonts w:ascii="Arial" w:hAnsi="Arial" w:eastAsia="Arial" w:cs="Arial"/>
      <w:i/>
      <w:iCs/>
      <w:color w:val="0f4761" w:themeColor="accent1" w:themeShade="BF"/>
    </w:rPr>
  </w:style>
  <w:style w:type="character" w:styleId="844">
    <w:name w:val="Heading 5 Char"/>
    <w:basedOn w:val="838"/>
    <w:link w:val="886"/>
    <w:uiPriority w:val="9"/>
    <w:pPr>
      <w:pBdr/>
      <w:spacing/>
      <w:ind/>
    </w:pPr>
    <w:rPr>
      <w:rFonts w:ascii="Arial" w:hAnsi="Arial" w:eastAsia="Arial" w:cs="Arial"/>
      <w:color w:val="0f4761" w:themeColor="accent1" w:themeShade="BF"/>
    </w:rPr>
  </w:style>
  <w:style w:type="character" w:styleId="845">
    <w:name w:val="Heading 6 Char"/>
    <w:basedOn w:val="838"/>
    <w:link w:val="887"/>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character" w:styleId="849">
    <w:name w:val="Title Char"/>
    <w:basedOn w:val="838"/>
    <w:link w:val="881"/>
    <w:uiPriority w:val="10"/>
    <w:pPr>
      <w:pBdr/>
      <w:spacing/>
      <w:ind/>
    </w:pPr>
    <w:rPr>
      <w:rFonts w:ascii="Arial" w:hAnsi="Arial" w:eastAsia="Arial" w:cs="Arial"/>
      <w:spacing w:val="-10"/>
      <w:sz w:val="56"/>
      <w:szCs w:val="56"/>
    </w:rPr>
  </w:style>
  <w:style w:type="paragraph" w:styleId="850">
    <w:name w:val="Subtitle"/>
    <w:basedOn w:val="834"/>
    <w:next w:val="834"/>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34"/>
    <w:next w:val="834"/>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34"/>
    <w:next w:val="834"/>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paragraph" w:styleId="858">
    <w:name w:val="No Spacing"/>
    <w:basedOn w:val="834"/>
    <w:uiPriority w:val="1"/>
    <w:qFormat/>
    <w:pPr>
      <w:pBdr/>
      <w:spacing w:after="0" w:line="240" w:lineRule="auto"/>
      <w:ind/>
    </w:pPr>
  </w:style>
  <w:style w:type="character" w:styleId="859">
    <w:name w:val="Subtle Emphasis"/>
    <w:basedOn w:val="838"/>
    <w:uiPriority w:val="19"/>
    <w:qFormat/>
    <w:pPr>
      <w:pBdr/>
      <w:spacing/>
      <w:ind/>
    </w:pPr>
    <w:rPr>
      <w:i/>
      <w:iCs/>
      <w:color w:val="404040" w:themeColor="text1" w:themeTint="BF"/>
    </w:rPr>
  </w:style>
  <w:style w:type="character" w:styleId="860">
    <w:name w:val="Emphasis"/>
    <w:basedOn w:val="838"/>
    <w:uiPriority w:val="20"/>
    <w:qFormat/>
    <w:pPr>
      <w:pBdr/>
      <w:spacing/>
      <w:ind/>
    </w:pPr>
    <w:rPr>
      <w:i/>
      <w:i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34"/>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34"/>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34"/>
    <w:next w:val="834"/>
    <w:uiPriority w:val="35"/>
    <w:unhideWhenUsed/>
    <w:qFormat/>
    <w:pPr>
      <w:pBdr/>
      <w:spacing w:after="200" w:line="240" w:lineRule="auto"/>
      <w:ind/>
    </w:pPr>
    <w:rPr>
      <w:i/>
      <w:iCs/>
      <w:color w:val="0e2841" w:themeColor="text2"/>
      <w:sz w:val="18"/>
      <w:szCs w:val="18"/>
    </w:rPr>
  </w:style>
  <w:style w:type="character" w:styleId="868">
    <w:name w:val="FollowedHyperlink"/>
    <w:basedOn w:val="838"/>
    <w:uiPriority w:val="99"/>
    <w:semiHidden/>
    <w:unhideWhenUsed/>
    <w:pPr>
      <w:pBdr/>
      <w:spacing/>
      <w:ind/>
    </w:pPr>
    <w:rPr>
      <w:color w:val="954f72" w:themeColor="followedHyperlink"/>
      <w:u w:val="single"/>
    </w:rPr>
  </w:style>
  <w:style w:type="paragraph" w:styleId="869">
    <w:name w:val="toc 1"/>
    <w:basedOn w:val="834"/>
    <w:next w:val="834"/>
    <w:uiPriority w:val="39"/>
    <w:unhideWhenUsed/>
    <w:pPr>
      <w:pBdr/>
      <w:spacing w:after="100"/>
      <w:ind/>
    </w:pPr>
  </w:style>
  <w:style w:type="paragraph" w:styleId="870">
    <w:name w:val="toc 2"/>
    <w:basedOn w:val="834"/>
    <w:next w:val="834"/>
    <w:uiPriority w:val="39"/>
    <w:unhideWhenUsed/>
    <w:pPr>
      <w:pBdr/>
      <w:spacing w:after="100"/>
      <w:ind w:left="220"/>
    </w:pPr>
  </w:style>
  <w:style w:type="paragraph" w:styleId="871">
    <w:name w:val="toc 3"/>
    <w:basedOn w:val="834"/>
    <w:next w:val="834"/>
    <w:uiPriority w:val="39"/>
    <w:unhideWhenUsed/>
    <w:pPr>
      <w:pBdr/>
      <w:spacing w:after="100"/>
      <w:ind w:left="440"/>
    </w:pPr>
  </w:style>
  <w:style w:type="paragraph" w:styleId="872">
    <w:name w:val="toc 4"/>
    <w:basedOn w:val="834"/>
    <w:next w:val="834"/>
    <w:uiPriority w:val="39"/>
    <w:unhideWhenUsed/>
    <w:pPr>
      <w:pBdr/>
      <w:spacing w:after="100"/>
      <w:ind w:left="660"/>
    </w:pPr>
  </w:style>
  <w:style w:type="paragraph" w:styleId="873">
    <w:name w:val="toc 5"/>
    <w:basedOn w:val="834"/>
    <w:next w:val="834"/>
    <w:uiPriority w:val="39"/>
    <w:unhideWhenUsed/>
    <w:pPr>
      <w:pBdr/>
      <w:spacing w:after="100"/>
      <w:ind w:left="880"/>
    </w:pPr>
  </w:style>
  <w:style w:type="paragraph" w:styleId="874">
    <w:name w:val="toc 6"/>
    <w:basedOn w:val="834"/>
    <w:next w:val="834"/>
    <w:uiPriority w:val="39"/>
    <w:unhideWhenUsed/>
    <w:pPr>
      <w:pBdr/>
      <w:spacing w:after="100"/>
      <w:ind w:left="1100"/>
    </w:pPr>
  </w:style>
  <w:style w:type="paragraph" w:styleId="875">
    <w:name w:val="toc 7"/>
    <w:basedOn w:val="834"/>
    <w:next w:val="834"/>
    <w:uiPriority w:val="39"/>
    <w:unhideWhenUsed/>
    <w:pPr>
      <w:pBdr/>
      <w:spacing w:after="100"/>
      <w:ind w:left="1320"/>
    </w:pPr>
  </w:style>
  <w:style w:type="paragraph" w:styleId="876">
    <w:name w:val="toc 8"/>
    <w:basedOn w:val="834"/>
    <w:next w:val="834"/>
    <w:uiPriority w:val="39"/>
    <w:unhideWhenUsed/>
    <w:pPr>
      <w:pBdr/>
      <w:spacing w:after="100"/>
      <w:ind w:left="1540"/>
    </w:pPr>
  </w:style>
  <w:style w:type="paragraph" w:styleId="877">
    <w:name w:val="toc 9"/>
    <w:basedOn w:val="834"/>
    <w:next w:val="834"/>
    <w:uiPriority w:val="39"/>
    <w:unhideWhenUsed/>
    <w:pPr>
      <w:pBdr/>
      <w:spacing w:after="100"/>
      <w:ind w:left="1760"/>
    </w:pPr>
  </w:style>
  <w:style w:type="character" w:styleId="878">
    <w:name w:val="Placeholder Text"/>
    <w:basedOn w:val="838"/>
    <w:uiPriority w:val="99"/>
    <w:semiHidden/>
    <w:pPr>
      <w:pBdr/>
      <w:spacing/>
      <w:ind/>
    </w:pPr>
    <w:rPr>
      <w:color w:val="666666"/>
    </w:rPr>
  </w:style>
  <w:style w:type="paragraph" w:styleId="879">
    <w:name w:val="TOC Heading"/>
    <w:uiPriority w:val="39"/>
    <w:unhideWhenUsed/>
    <w:pPr>
      <w:pBdr/>
      <w:spacing/>
      <w:ind/>
    </w:pPr>
  </w:style>
  <w:style w:type="paragraph" w:styleId="880">
    <w:name w:val="table of figures"/>
    <w:basedOn w:val="834"/>
    <w:next w:val="834"/>
    <w:uiPriority w:val="99"/>
    <w:unhideWhenUsed/>
    <w:pPr>
      <w:pBdr/>
      <w:spacing w:after="0" w:afterAutospacing="0"/>
      <w:ind/>
    </w:pPr>
  </w:style>
  <w:style w:type="paragraph" w:styleId="881">
    <w:name w:val="Title"/>
    <w:qFormat/>
    <w:pPr>
      <w:pBdr/>
      <w:spacing/>
      <w:ind/>
    </w:pPr>
    <w:rPr>
      <w:sz w:val="56"/>
      <w:szCs w:val="56"/>
    </w:rPr>
  </w:style>
  <w:style w:type="paragraph" w:styleId="882">
    <w:name w:val="Heading 1"/>
    <w:qFormat/>
    <w:pPr>
      <w:pBdr/>
      <w:spacing/>
      <w:ind/>
    </w:pPr>
    <w:rPr>
      <w:color w:val="2e74b5"/>
      <w:sz w:val="32"/>
      <w:szCs w:val="32"/>
    </w:rPr>
  </w:style>
  <w:style w:type="paragraph" w:styleId="883">
    <w:name w:val="Heading 2"/>
    <w:qFormat/>
    <w:pPr>
      <w:pBdr/>
      <w:spacing/>
      <w:ind/>
    </w:pPr>
    <w:rPr>
      <w:color w:val="2e74b5"/>
      <w:sz w:val="26"/>
      <w:szCs w:val="26"/>
    </w:rPr>
  </w:style>
  <w:style w:type="paragraph" w:styleId="884">
    <w:name w:val="Heading 3"/>
    <w:qFormat/>
    <w:pPr>
      <w:pBdr/>
      <w:spacing/>
      <w:ind/>
    </w:pPr>
    <w:rPr>
      <w:color w:val="1f4d78"/>
      <w:sz w:val="24"/>
      <w:szCs w:val="24"/>
    </w:rPr>
  </w:style>
  <w:style w:type="paragraph" w:styleId="885">
    <w:name w:val="Heading 4"/>
    <w:qFormat/>
    <w:pPr>
      <w:pBdr/>
      <w:spacing/>
      <w:ind/>
    </w:pPr>
    <w:rPr>
      <w:i/>
      <w:iCs/>
      <w:color w:val="2e74b5"/>
    </w:rPr>
  </w:style>
  <w:style w:type="paragraph" w:styleId="886">
    <w:name w:val="Heading 5"/>
    <w:qFormat/>
    <w:pPr>
      <w:pBdr/>
      <w:spacing/>
      <w:ind/>
    </w:pPr>
    <w:rPr>
      <w:color w:val="2e74b5"/>
    </w:rPr>
  </w:style>
  <w:style w:type="paragraph" w:styleId="887">
    <w:name w:val="Heading 6"/>
    <w:qFormat/>
    <w:pPr>
      <w:pBdr/>
      <w:spacing/>
      <w:ind/>
    </w:pPr>
    <w:rPr>
      <w:color w:val="1f4d78"/>
    </w:rPr>
  </w:style>
  <w:style w:type="paragraph" w:styleId="888">
    <w:name w:val="Strong"/>
    <w:qFormat/>
    <w:pPr>
      <w:pBdr/>
      <w:spacing/>
      <w:ind/>
    </w:pPr>
    <w:rPr>
      <w:b/>
      <w:bCs/>
    </w:rPr>
  </w:style>
  <w:style w:type="paragraph" w:styleId="889">
    <w:name w:val="List Paragraph"/>
    <w:qFormat/>
    <w:pPr>
      <w:pBdr/>
      <w:spacing/>
      <w:ind/>
    </w:pPr>
  </w:style>
  <w:style w:type="character" w:styleId="890">
    <w:name w:val="Hyperlink"/>
    <w:uiPriority w:val="99"/>
    <w:unhideWhenUsed/>
    <w:pPr>
      <w:pBdr/>
      <w:spacing/>
      <w:ind/>
    </w:pPr>
    <w:rPr>
      <w:color w:val="0563c1"/>
      <w:u w:val="single"/>
    </w:rPr>
  </w:style>
  <w:style w:type="character" w:styleId="891">
    <w:name w:val="footnote reference"/>
    <w:uiPriority w:val="99"/>
    <w:semiHidden/>
    <w:unhideWhenUsed/>
    <w:pPr>
      <w:pBdr/>
      <w:spacing/>
      <w:ind/>
    </w:pPr>
    <w:rPr>
      <w:vertAlign w:val="superscript"/>
    </w:rPr>
  </w:style>
  <w:style w:type="paragraph" w:styleId="892">
    <w:name w:val="footnote text"/>
    <w:link w:val="893"/>
    <w:uiPriority w:val="99"/>
    <w:semiHidden/>
    <w:unhideWhenUsed/>
    <w:pPr>
      <w:pBdr/>
      <w:spacing w:after="0" w:line="240" w:lineRule="auto"/>
      <w:ind/>
    </w:pPr>
    <w:rPr>
      <w:sz w:val="20"/>
      <w:szCs w:val="20"/>
    </w:rPr>
  </w:style>
  <w:style w:type="character" w:styleId="893">
    <w:name w:val="Footnote Text Char"/>
    <w:link w:val="892"/>
    <w:uiPriority w:val="99"/>
    <w:semiHidden/>
    <w:unhideWhenUsed/>
    <w:pPr>
      <w:pBdr/>
      <w:spacing/>
      <w:ind/>
    </w:pPr>
    <w:rPr>
      <w:sz w:val="20"/>
      <w:szCs w:val="20"/>
    </w:rPr>
  </w:style>
  <w:style w:type="character" w:styleId="894">
    <w:name w:val="endnote reference"/>
    <w:uiPriority w:val="99"/>
    <w:semiHidden/>
    <w:unhideWhenUsed/>
    <w:pPr>
      <w:pBdr/>
      <w:spacing/>
      <w:ind/>
    </w:pPr>
    <w:rPr>
      <w:vertAlign w:val="superscript"/>
    </w:rPr>
  </w:style>
  <w:style w:type="paragraph" w:styleId="895">
    <w:name w:val="endnote text"/>
    <w:link w:val="896"/>
    <w:uiPriority w:val="99"/>
    <w:semiHidden/>
    <w:unhideWhenUsed/>
    <w:pPr>
      <w:pBdr/>
      <w:spacing w:after="0" w:line="240" w:lineRule="auto"/>
      <w:ind/>
    </w:pPr>
    <w:rPr>
      <w:sz w:val="20"/>
      <w:szCs w:val="20"/>
    </w:rPr>
  </w:style>
  <w:style w:type="character" w:styleId="896">
    <w:name w:val="Endnote Text Char"/>
    <w:link w:val="895"/>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2026-09-05T17:44:35Z</dcterms:created>
  <dcterms:modified xsi:type="dcterms:W3CDTF">2026-09-05T22:10:46Z</dcterms:modified>
</cp:coreProperties>
</file>