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Helvetica Neue" w:cs="Helvetica Neue" w:eastAsia="Helvetica Neue" w:hAnsi="Helvetica Neue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6.0" w:type="dxa"/>
        <w:jc w:val="left"/>
        <w:tblInd w:w="0.0" w:type="dxa"/>
        <w:tblLayout w:type="fixed"/>
        <w:tblLook w:val="0000"/>
      </w:tblPr>
      <w:tblGrid>
        <w:gridCol w:w="1548"/>
        <w:gridCol w:w="4947"/>
        <w:gridCol w:w="4221"/>
        <w:tblGridChange w:id="0">
          <w:tblGrid>
            <w:gridCol w:w="1548"/>
            <w:gridCol w:w="4947"/>
            <w:gridCol w:w="4221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1">
            <w:pPr>
              <w:rPr>
                <w:rFonts w:ascii="Frutiger LT 45 Light" w:cs="Frutiger LT 45 Light" w:eastAsia="Frutiger LT 45 Light" w:hAnsi="Frutiger LT 45 Light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The School of Creative 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Assessment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Programme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DL836 BSc (HONS) in Creative Computing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Lecturer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Stefan Paz Berrios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Module/Project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Advanced Web Design &amp; Development / CA1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999999" w:space="0" w:sz="4" w:val="single"/>
              <w:right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99999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James Blair - N00162202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Level 2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pos="2365"/>
                <w:tab w:val="left" w:pos="2810"/>
              </w:tabs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First Assessment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Date:  04.12.18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0.0" w:type="dxa"/>
        <w:tblLayout w:type="fixed"/>
        <w:tblLook w:val="0000"/>
      </w:tblPr>
      <w:tblGrid>
        <w:gridCol w:w="1548"/>
        <w:gridCol w:w="4140"/>
        <w:gridCol w:w="5040"/>
        <w:tblGridChange w:id="0">
          <w:tblGrid>
            <w:gridCol w:w="1548"/>
            <w:gridCol w:w="4140"/>
            <w:gridCol w:w="5040"/>
          </w:tblGrid>
        </w:tblGridChange>
      </w:tblGrid>
      <w:tr>
        <w:trPr>
          <w:trHeight w:val="300" w:hRule="atLeast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Please Circle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Helvetica Neue" w:cs="Helvetica Neue" w:eastAsia="Helvetica Neue" w:hAnsi="Helvetica Neue"/>
                <w:strike w:val="1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trike w:val="1"/>
                <w:color w:val="000000"/>
                <w:sz w:val="16"/>
                <w:szCs w:val="16"/>
                <w:vertAlign w:val="baseline"/>
                <w:rtl w:val="0"/>
              </w:rPr>
              <w:t xml:space="preserve">Formative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Summative Feedback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81"/>
        <w:gridCol w:w="3345"/>
        <w:gridCol w:w="1425"/>
        <w:gridCol w:w="1361"/>
        <w:gridCol w:w="1286"/>
        <w:gridCol w:w="1313"/>
        <w:gridCol w:w="1618"/>
        <w:tblGridChange w:id="0">
          <w:tblGrid>
            <w:gridCol w:w="381"/>
            <w:gridCol w:w="3345"/>
            <w:gridCol w:w="1425"/>
            <w:gridCol w:w="1361"/>
            <w:gridCol w:w="1286"/>
            <w:gridCol w:w="1313"/>
            <w:gridCol w:w="1618"/>
          </w:tblGrid>
        </w:tblGridChange>
      </w:tblGrid>
      <w:tr>
        <w:trPr>
          <w:trHeight w:val="480" w:hRule="atLeast"/>
        </w:trPr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2"/>
                <w:szCs w:val="12"/>
                <w:vertAlign w:val="baseline"/>
                <w:rtl w:val="0"/>
              </w:rPr>
              <w:t xml:space="preserve">Excellent / </w:t>
              <w:br w:type="textWrapping"/>
              <w:t xml:space="preserve">Above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2"/>
                <w:szCs w:val="12"/>
                <w:vertAlign w:val="baseline"/>
                <w:rtl w:val="0"/>
              </w:rPr>
              <w:t xml:space="preserve">Above Average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2"/>
                <w:szCs w:val="12"/>
                <w:vertAlign w:val="baseline"/>
                <w:rtl w:val="0"/>
              </w:rPr>
              <w:t xml:space="preserve">Average +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2"/>
                <w:szCs w:val="12"/>
                <w:vertAlign w:val="baseline"/>
                <w:rtl w:val="0"/>
              </w:rPr>
              <w:t xml:space="preserve">Average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2"/>
                <w:szCs w:val="12"/>
                <w:vertAlign w:val="baseline"/>
                <w:rtl w:val="0"/>
              </w:rPr>
              <w:t xml:space="preserve">Unsatisfactory/Weak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999999" w:space="0" w:sz="4" w:val="single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40" w:line="312" w:lineRule="auto"/>
              <w:rPr>
                <w:rFonts w:ascii="Helvetica Neue" w:cs="Helvetica Neue" w:eastAsia="Helvetica Neue" w:hAnsi="Helvetica Neue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2"/>
                <w:szCs w:val="12"/>
                <w:vertAlign w:val="baseline"/>
                <w:rtl w:val="0"/>
              </w:rPr>
              <w:t xml:space="preserve">Research - Mood boards, visual language, hosting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2"/>
                <w:szCs w:val="1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Paper layouts - Clear layout of content presented on gridded paper demonstrating clear understanding of site structure and information architecture</w:t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2"/>
                <w:szCs w:val="1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60" w:before="60" w:line="312" w:lineRule="auto"/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  <w:rtl w:val="0"/>
              </w:rPr>
              <w:t xml:space="preserve">Design System &amp; element (re)creation &amp; Final theme– (Establishment of design system including font, spacing, colours in Photoshop and how these were applied across your site)</w:t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2"/>
                <w:szCs w:val="1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rPr>
                <w:rFonts w:ascii="Helvetica Neue" w:cs="Helvetica Neue" w:eastAsia="Helvetica Neue" w:hAnsi="Helvetica Neue"/>
                <w:strike w:val="1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trike w:val="1"/>
                <w:color w:val="000000"/>
                <w:sz w:val="12"/>
                <w:szCs w:val="1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pStyle w:val="Heading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Coding &amp; 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60" w:before="60" w:line="312" w:lineRule="auto"/>
              <w:rPr>
                <w:rFonts w:ascii="Helvetica Neue" w:cs="Helvetica Neue" w:eastAsia="Helvetica Neue" w:hAnsi="Helvetica Neue"/>
                <w:color w:val="00000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2"/>
                <w:szCs w:val="12"/>
                <w:vertAlign w:val="baseline"/>
                <w:rtl w:val="0"/>
              </w:rPr>
              <w:t xml:space="preserve">2-4 page Website developed using Bootstrap 4 following a mobile – first methodology, responsive on at least one page, including home page design, dashboard elements, forms &amp; tables.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2"/>
                <w:szCs w:val="1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16.0" w:type="dxa"/>
        <w:jc w:val="left"/>
        <w:tblInd w:w="0.0" w:type="dxa"/>
        <w:tblLayout w:type="fixed"/>
        <w:tblLook w:val="0000"/>
      </w:tblPr>
      <w:tblGrid>
        <w:gridCol w:w="1177"/>
        <w:gridCol w:w="911"/>
        <w:gridCol w:w="267"/>
        <w:gridCol w:w="1177"/>
        <w:gridCol w:w="1178"/>
        <w:gridCol w:w="618"/>
        <w:gridCol w:w="30"/>
        <w:gridCol w:w="529"/>
        <w:gridCol w:w="1178"/>
        <w:gridCol w:w="957"/>
        <w:gridCol w:w="220"/>
        <w:gridCol w:w="1178"/>
        <w:gridCol w:w="1296"/>
        <w:tblGridChange w:id="0">
          <w:tblGrid>
            <w:gridCol w:w="1177"/>
            <w:gridCol w:w="911"/>
            <w:gridCol w:w="267"/>
            <w:gridCol w:w="1177"/>
            <w:gridCol w:w="1178"/>
            <w:gridCol w:w="618"/>
            <w:gridCol w:w="30"/>
            <w:gridCol w:w="529"/>
            <w:gridCol w:w="1178"/>
            <w:gridCol w:w="957"/>
            <w:gridCol w:w="220"/>
            <w:gridCol w:w="1178"/>
            <w:gridCol w:w="1296"/>
          </w:tblGrid>
        </w:tblGridChange>
      </w:tblGrid>
      <w:tr>
        <w:trPr>
          <w:trHeight w:val="320" w:hRule="atLeast"/>
        </w:trPr>
        <w:tc>
          <w:tcPr>
            <w:gridSpan w:val="13"/>
            <w:tcBorders>
              <w:bottom w:color="000000" w:space="0" w:sz="4" w:val="single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b w:val="0"/>
                <w:color w:val="00000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0"/>
                <w:szCs w:val="10"/>
                <w:vertAlign w:val="baseline"/>
                <w:rtl w:val="0"/>
              </w:rPr>
              <w:t xml:space="preserve">STUDENT COMMENTS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Strengths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Despite executing on the goals established at the outset, I felt that my planning and strategy development for this project were very good.</w:t>
            </w:r>
          </w:p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Adequately completing first two phases of development made acquisition of assets and clarity of design goals much smoother during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13"/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Areas for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I struggled immensely in the execution of the site. The bootstrap breakpoint system in particular. I have found that I vastly overlooked the simplicity of its implementation and failed to get a grasp on how to consistently organize objects on a webpage with this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13"/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On a personal level I feel the quality of my submission was impacted by the time I was able to alot to it. Going forward I feel I have gained a better understanding of the quantities involved in time managing a web project of this scale.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Alpha Grade   (Please circle)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b3b3b3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3b3b3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B-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3b3b3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C+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3b3b3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13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12"/>
                <w:szCs w:val="12"/>
                <w:vertAlign w:val="baseline"/>
                <w:rtl w:val="0"/>
              </w:rPr>
              <w:t xml:space="preserve">The work presented for consideration complies with regulations and requirements for submission and assessment as described in the programme handbook.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C0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Lecturer signature(s)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7">
            <w:pPr>
              <w:rPr>
                <w:rFonts w:ascii="Helvetica Neue" w:cs="Helvetica Neue" w:eastAsia="Helvetica Neue" w:hAnsi="Helvetica Neue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Helvetica Neue" w:cs="Helvetica Neue" w:eastAsia="Helvetica Neue" w:hAnsi="Helvetica Neue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3"/>
            <w:shd w:fill="000000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  <w:vertAlign w:val="baseline"/>
                <w:rtl w:val="0"/>
              </w:rPr>
              <w:t xml:space="preserve"> IADT: The School of Creative Arts 2008/09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Assessment Descriptor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8"/>
        <w:gridCol w:w="2098"/>
        <w:gridCol w:w="2098"/>
        <w:gridCol w:w="2098"/>
        <w:gridCol w:w="2098"/>
        <w:tblGridChange w:id="0">
          <w:tblGrid>
            <w:gridCol w:w="2098"/>
            <w:gridCol w:w="2098"/>
            <w:gridCol w:w="2098"/>
            <w:gridCol w:w="2098"/>
            <w:gridCol w:w="2098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Excellent +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</w:t>
              <w:br w:type="textWrapping"/>
              <w:t xml:space="preserve">(100–70)</w:t>
            </w:r>
          </w:p>
          <w:p w:rsidR="00000000" w:rsidDel="00000000" w:rsidP="00000000" w:rsidRDefault="00000000" w:rsidRPr="00000000" w14:paraId="000000F1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Alpha; A/B+</w:t>
            </w:r>
          </w:p>
          <w:p w:rsidR="00000000" w:rsidDel="00000000" w:rsidP="00000000" w:rsidRDefault="00000000" w:rsidRPr="00000000" w14:paraId="000000F2">
            <w:pPr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Above Average + 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(69–60)</w:t>
            </w:r>
          </w:p>
          <w:p w:rsidR="00000000" w:rsidDel="00000000" w:rsidP="00000000" w:rsidRDefault="00000000" w:rsidRPr="00000000" w14:paraId="000000F4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Alpha; B</w:t>
            </w:r>
          </w:p>
          <w:p w:rsidR="00000000" w:rsidDel="00000000" w:rsidP="00000000" w:rsidRDefault="00000000" w:rsidRPr="00000000" w14:paraId="000000F5">
            <w:pPr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Average +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</w:t>
              <w:br w:type="textWrapping"/>
              <w:t xml:space="preserve">(59–50)</w:t>
            </w:r>
          </w:p>
          <w:p w:rsidR="00000000" w:rsidDel="00000000" w:rsidP="00000000" w:rsidRDefault="00000000" w:rsidRPr="00000000" w14:paraId="000000F7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Alpha; B-/C+</w:t>
            </w:r>
          </w:p>
          <w:p w:rsidR="00000000" w:rsidDel="00000000" w:rsidP="00000000" w:rsidRDefault="00000000" w:rsidRPr="00000000" w14:paraId="000000F8">
            <w:pPr>
              <w:rPr>
                <w:rFonts w:ascii="Helvetica Neue" w:cs="Helvetica Neue" w:eastAsia="Helvetica Neue" w:hAnsi="Helvetica Neu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Average/ Average-(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49–40)</w:t>
            </w:r>
          </w:p>
          <w:p w:rsidR="00000000" w:rsidDel="00000000" w:rsidP="00000000" w:rsidRDefault="00000000" w:rsidRPr="00000000" w14:paraId="000000FA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Alpha; C/C-</w:t>
            </w:r>
          </w:p>
          <w:p w:rsidR="00000000" w:rsidDel="00000000" w:rsidP="00000000" w:rsidRDefault="00000000" w:rsidRPr="00000000" w14:paraId="000000FB">
            <w:pPr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Weak/Unsatisfactory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(39–0) </w:t>
            </w:r>
          </w:p>
          <w:p w:rsidR="00000000" w:rsidDel="00000000" w:rsidP="00000000" w:rsidRDefault="00000000" w:rsidRPr="00000000" w14:paraId="000000FD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Alpha; D/F</w:t>
            </w:r>
          </w:p>
          <w:p w:rsidR="00000000" w:rsidDel="00000000" w:rsidP="00000000" w:rsidRDefault="00000000" w:rsidRPr="00000000" w14:paraId="000000FE">
            <w:pPr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Quality of Engagement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–  Self Motivation, Attendance &amp; response to guidance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pStyle w:val="Heading6"/>
              <w:spacing w:before="20" w:lineRule="auto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A/B+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-57" w:right="-57" w:firstLine="57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The student devoted a considerable amount of his/her own time to the project and asked for advice when necessary, then used the guidance to reach his/her own conclusions. Is genuinely enthusiastic and curious.</w:t>
            </w:r>
          </w:p>
          <w:p w:rsidR="00000000" w:rsidDel="00000000" w:rsidP="00000000" w:rsidRDefault="00000000" w:rsidRPr="00000000" w14:paraId="00000106">
            <w:pPr>
              <w:spacing w:before="20" w:lineRule="auto"/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before="20" w:lineRule="auto"/>
              <w:ind w:left="-57" w:right="-57"/>
              <w:rPr>
                <w:rFonts w:ascii="Helvetica Neue" w:cs="Helvetica Neue" w:eastAsia="Helvetica Neue" w:hAnsi="Helvetica Neue"/>
                <w:b w:val="0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4"/>
                <w:szCs w:val="14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before="20" w:lineRule="auto"/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The student was enthusiastic about the project. He/she sought guidance when needed and responded positively to the advice given.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pStyle w:val="Heading6"/>
              <w:spacing w:before="20" w:lineRule="auto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B-/C+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20" w:lineRule="auto"/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Student worked the timetabled hours. He/she may not have generally sought guidance when appropriate but responded favourably to advice given.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pStyle w:val="Heading6"/>
              <w:spacing w:before="20" w:lineRule="auto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C/C-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before="20" w:lineRule="auto"/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Student worked most of the timetabled hours and shows some commitment to individual initiative. A continual level of guidance was required.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pStyle w:val="Heading6"/>
              <w:spacing w:before="20" w:lineRule="auto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D/F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before="20" w:lineRule="auto"/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The student neither worked the timetabled hours nor used opportunities to undertake project work and research.</w:t>
            </w:r>
          </w:p>
        </w:tc>
      </w:tr>
      <w:tr>
        <w:trPr>
          <w:trHeight w:val="440" w:hRule="atLeast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Research and Development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– Critical process, Design and conceptual development, Use of Media</w:t>
            </w:r>
          </w:p>
        </w:tc>
      </w:tr>
      <w:tr>
        <w:trPr>
          <w:trHeight w:val="118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A/B+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 comprehensive and systematic approach to critical analysis and evaluation. Demonstrates a significant level of ability to integrate theory and practice. Highly cogent and coherent methodology, confident clarity and focus in the decision-making process. Considered and resolved engagement with the question of meaning and interpretation.</w:t>
            </w:r>
          </w:p>
          <w:p w:rsidR="00000000" w:rsidDel="00000000" w:rsidP="00000000" w:rsidRDefault="00000000" w:rsidRPr="00000000" w14:paraId="00000116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A good range of investigation was undertaken. Concepts were well thought through and pursued. Clear understanding of the handling and development of ideas/ concepts; strong implementation of conceptual and technical requirements.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B-/C+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Adequate range of research and analysis of information. Some aspects of critical understanding were good. </w:t>
            </w:r>
          </w:p>
          <w:p w:rsidR="00000000" w:rsidDel="00000000" w:rsidP="00000000" w:rsidRDefault="00000000" w:rsidRPr="00000000" w14:paraId="0000011B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The development of ideas was satisfactory. Some level of experimentation with the media and technical elements involved.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C/C-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Some use of conceptual analysis, poor or limited demonstration of critical awareness. Poor realisation </w:t>
              <w:br w:type="textWrapping"/>
              <w:t xml:space="preserve">of ideas, demonstrates a basic understanding of the concepts and media involved.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D/F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The student was not engaged with investigating concepts or developing ideas.</w:t>
            </w:r>
          </w:p>
        </w:tc>
      </w:tr>
      <w:tr>
        <w:trPr>
          <w:trHeight w:val="400" w:hRule="atLeast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Quality of Outcome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– Critical Process, Selection, Editing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A/B+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Excellent and perceptive handling and development of media and processes. </w:t>
            </w:r>
          </w:p>
          <w:p w:rsidR="00000000" w:rsidDel="00000000" w:rsidP="00000000" w:rsidRDefault="00000000" w:rsidRPr="00000000" w14:paraId="00000127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129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Emphasis was given to the use of appropriate media and techniques. Effective use of skills and experimentation.</w:t>
            </w:r>
          </w:p>
          <w:p w:rsidR="00000000" w:rsidDel="00000000" w:rsidP="00000000" w:rsidRDefault="00000000" w:rsidRPr="00000000" w14:paraId="0000012A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B-/C+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Shows  adequate ability to use and develop practical skills. Competent.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C/C-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Demonstrates a basic handling of appropriate media and materials.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D/F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Little more than a basic ability to employ skills in meaningful ways.</w:t>
            </w:r>
          </w:p>
        </w:tc>
      </w:tr>
      <w:tr>
        <w:trPr>
          <w:trHeight w:val="380" w:hRule="atLeast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Presentation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vertAlign w:val="baseline"/>
                <w:rtl w:val="0"/>
              </w:rPr>
              <w:t xml:space="preserve"> – Communication, Support Material and Production Values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A/B+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Presentation quality is excellent in all aspects and in communicating the development/resolution </w:t>
              <w:br w:type="textWrapping"/>
              <w:t xml:space="preserve">of thought as well as the material resolution of content.</w:t>
            </w:r>
          </w:p>
          <w:p w:rsidR="00000000" w:rsidDel="00000000" w:rsidP="00000000" w:rsidRDefault="00000000" w:rsidRPr="00000000" w14:paraId="00000138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Good standard of presentation quality. Well organised and clarity of purpose in exhibition design and presentational formats.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B-/C+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Presentation was proficient and a good general standard of communication.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C/C-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Merely adequate to show some evidence of production processes development and outcomes.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pStyle w:val="Heading6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D/F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ind w:left="-57" w:right="-57"/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4"/>
                <w:szCs w:val="14"/>
                <w:vertAlign w:val="baseline"/>
                <w:rtl w:val="0"/>
              </w:rPr>
              <w:t xml:space="preserve">Inadequate presentation, poor expression of ideas and learning processes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Helvetica Neue" w:cs="Helvetica Neue" w:eastAsia="Helvetica Neue" w:hAnsi="Helvetica Neue"/>
          <w:b w:val="0"/>
          <w:color w:val="00000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vertAlign w:val="baseline"/>
          <w:rtl w:val="0"/>
        </w:rPr>
        <w:t xml:space="preserve">Alpha/Numeric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9"/>
        <w:gridCol w:w="1319"/>
        <w:gridCol w:w="1318"/>
        <w:gridCol w:w="1318"/>
        <w:gridCol w:w="1318"/>
        <w:gridCol w:w="1318"/>
        <w:gridCol w:w="1318"/>
        <w:gridCol w:w="1318"/>
        <w:tblGridChange w:id="0">
          <w:tblGrid>
            <w:gridCol w:w="1319"/>
            <w:gridCol w:w="1319"/>
            <w:gridCol w:w="1318"/>
            <w:gridCol w:w="1318"/>
            <w:gridCol w:w="1318"/>
            <w:gridCol w:w="1318"/>
            <w:gridCol w:w="1318"/>
            <w:gridCol w:w="1318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80 –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B+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70 – 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8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60 – 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B–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55 – 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C+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50 – 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40 –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35 – 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pos="284"/>
              </w:tabs>
              <w:spacing w:line="240" w:lineRule="auto"/>
              <w:jc w:val="center"/>
              <w:rPr>
                <w:rFonts w:ascii="Helvetica Neue" w:cs="Helvetica Neue" w:eastAsia="Helvetica Neue" w:hAnsi="Helvetica Neue"/>
                <w:b w:val="0"/>
                <w:smallCaps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Helvetica Neue" w:cs="Helvetica Neue" w:eastAsia="Helvetica Neue" w:hAnsi="Helvetica Neue"/>
                <w:smallCaps w:val="1"/>
                <w:color w:val="000000"/>
                <w:sz w:val="16"/>
                <w:szCs w:val="16"/>
                <w:vertAlign w:val="baseline"/>
                <w:rtl w:val="0"/>
              </w:rPr>
              <w:t xml:space="preserve">     0 – 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7"/>
      <w:pgMar w:bottom="540" w:top="540" w:left="680" w:right="680" w:header="720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utiger LT 45 Light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L Frutiger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L Frutiger Light" w:cs="L Frutiger Light" w:eastAsia="L Frutiger Light" w:hAnsi="L Frutiger Ligh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Frutiger LT 45 Light" w:cs="Frutiger LT 45 Light" w:eastAsia="Frutiger LT 45 Light" w:hAnsi="Frutiger LT 45 Light"/>
      <w:b w:val="1"/>
      <w:color w:val="000000"/>
      <w:sz w:val="16"/>
      <w:szCs w:val="16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  <w:tab w:val="left" w:pos="4253"/>
        <w:tab w:val="left" w:pos="4820"/>
        <w:tab w:val="left" w:pos="6096"/>
        <w:tab w:val="left" w:pos="6663"/>
      </w:tabs>
      <w:spacing w:line="360" w:lineRule="auto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rFonts w:ascii="Helvetica Neue" w:cs="Helvetica Neue" w:eastAsia="Helvetica Neue" w:hAnsi="Helvetica Neue"/>
      <w:b w:val="1"/>
      <w:sz w:val="12"/>
      <w:szCs w:val="12"/>
      <w:vertAlign w:val="baseline"/>
    </w:rPr>
  </w:style>
  <w:style w:type="paragraph" w:styleId="Heading6">
    <w:name w:val="heading 6"/>
    <w:basedOn w:val="Normal"/>
    <w:next w:val="Normal"/>
    <w:pPr>
      <w:keepNext w:val="1"/>
      <w:spacing w:line="240" w:lineRule="auto"/>
      <w:ind w:left="-57" w:right="-57"/>
    </w:pPr>
    <w:rPr>
      <w:rFonts w:ascii="Arial Narrow" w:cs="Arial Narrow" w:eastAsia="Arial Narrow" w:hAnsi="Arial Narrow"/>
      <w:b w:val="1"/>
      <w:sz w:val="14"/>
      <w:szCs w:val="1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