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7CA78" w14:textId="77777777" w:rsidR="00154F58" w:rsidRPr="00366A2F" w:rsidRDefault="00154F58" w:rsidP="0061420F">
      <w:pPr>
        <w:pStyle w:val="Heading3"/>
        <w:rPr>
          <w:rFonts w:cstheme="minorHAnsi"/>
          <w:sz w:val="32"/>
          <w:szCs w:val="32"/>
        </w:rPr>
      </w:pPr>
      <w:r w:rsidRPr="00154F58">
        <w:rPr>
          <w:rFonts w:cstheme="minorHAnsi"/>
          <w:sz w:val="32"/>
          <w:szCs w:val="32"/>
        </w:rPr>
        <w:t>Lesson 5: Legal Frameworks I – National and International Laws</w:t>
      </w:r>
    </w:p>
    <w:p w14:paraId="1DBBE209" w14:textId="77777777" w:rsidR="00366A2F" w:rsidRDefault="00366A2F" w:rsidP="00366A2F">
      <w:r>
        <w:t>Welcome to Lesson 5 of Ethics and Law in Intelligence.</w:t>
      </w:r>
    </w:p>
    <w:p w14:paraId="4BDB2ADE" w14:textId="77777777" w:rsidR="00366A2F" w:rsidRDefault="00366A2F" w:rsidP="00366A2F">
      <w:r>
        <w:t xml:space="preserve">Today, we shift our focus from ethical theory to legal structure. Intelligence </w:t>
      </w:r>
      <w:proofErr w:type="gramStart"/>
      <w:r>
        <w:t>activities—</w:t>
      </w:r>
      <w:proofErr w:type="gramEnd"/>
      <w:r>
        <w:t xml:space="preserve">however </w:t>
      </w:r>
      <w:proofErr w:type="gramStart"/>
      <w:r>
        <w:t>necessary—</w:t>
      </w:r>
      <w:proofErr w:type="gramEnd"/>
      <w:r>
        <w:t>must operate within the law. In this lesson, we’ll explore how national and international legal frameworks govern intelligence, and why legal compliance is critical to legitimate, responsible intelligence work.</w:t>
      </w:r>
    </w:p>
    <w:p w14:paraId="320857F2" w14:textId="304077DD" w:rsidR="00366A2F" w:rsidRPr="00366A2F" w:rsidRDefault="00366A2F" w:rsidP="00366A2F">
      <w:pPr>
        <w:pStyle w:val="Heading3"/>
        <w:rPr>
          <w:lang w:val="el-GR"/>
        </w:rPr>
      </w:pPr>
      <w:r>
        <w:t>Section 1: The Legal Landscape</w:t>
      </w:r>
    </w:p>
    <w:p w14:paraId="208C707C" w14:textId="77777777" w:rsidR="00366A2F" w:rsidRDefault="00366A2F" w:rsidP="00366A2F">
      <w:r>
        <w:t>Intelligence agencies are often granted special powers—such as surveillance, covert action, or data interception—but these powers don’t exist in a legal vacuum.</w:t>
      </w:r>
    </w:p>
    <w:p w14:paraId="46C40EED" w14:textId="77777777" w:rsidR="00366A2F" w:rsidRDefault="00366A2F" w:rsidP="00366A2F">
      <w:r>
        <w:t>They are constrained by:</w:t>
      </w:r>
    </w:p>
    <w:p w14:paraId="6A654964" w14:textId="698998F7" w:rsidR="00366A2F" w:rsidRDefault="00366A2F" w:rsidP="00366A2F">
      <w:pPr>
        <w:pStyle w:val="ListParagraph"/>
        <w:numPr>
          <w:ilvl w:val="0"/>
          <w:numId w:val="8"/>
        </w:numPr>
      </w:pPr>
      <w:r>
        <w:t>National laws, like constitutional protections and security legislation</w:t>
      </w:r>
    </w:p>
    <w:p w14:paraId="60EBA96D" w14:textId="2DD1A1A0" w:rsidR="00366A2F" w:rsidRDefault="00366A2F" w:rsidP="00366A2F">
      <w:pPr>
        <w:pStyle w:val="ListParagraph"/>
        <w:numPr>
          <w:ilvl w:val="0"/>
          <w:numId w:val="8"/>
        </w:numPr>
      </w:pPr>
      <w:r>
        <w:t>International laws, such as human rights treaties</w:t>
      </w:r>
    </w:p>
    <w:p w14:paraId="75BD9B83" w14:textId="7345936D" w:rsidR="00366A2F" w:rsidRDefault="00366A2F" w:rsidP="00366A2F">
      <w:pPr>
        <w:pStyle w:val="ListParagraph"/>
        <w:numPr>
          <w:ilvl w:val="0"/>
          <w:numId w:val="8"/>
        </w:numPr>
      </w:pPr>
      <w:r>
        <w:t>Internal regulations, including operational protocols and codes of conduct</w:t>
      </w:r>
    </w:p>
    <w:p w14:paraId="0603E269" w14:textId="77777777" w:rsidR="00366A2F" w:rsidRDefault="00366A2F" w:rsidP="00366A2F"/>
    <w:p w14:paraId="5E118652" w14:textId="77777777" w:rsidR="00366A2F" w:rsidRDefault="00366A2F" w:rsidP="00366A2F">
      <w:r>
        <w:t>These frameworks exist to protect citizens from abuse of power and to ensure accountability when things go wrong.</w:t>
      </w:r>
    </w:p>
    <w:p w14:paraId="615AF01F" w14:textId="5781C632" w:rsidR="00366A2F" w:rsidRPr="00366A2F" w:rsidRDefault="00366A2F" w:rsidP="00366A2F">
      <w:pPr>
        <w:pStyle w:val="Heading3"/>
        <w:rPr>
          <w:lang w:val="el-GR"/>
        </w:rPr>
      </w:pPr>
      <w:r>
        <w:t>Section 2: National Legal Systems</w:t>
      </w:r>
    </w:p>
    <w:p w14:paraId="30F85AC9" w14:textId="77777777" w:rsidR="00366A2F" w:rsidRDefault="00366A2F" w:rsidP="00366A2F">
      <w:r>
        <w:t>Let’s begin with national law.</w:t>
      </w:r>
    </w:p>
    <w:p w14:paraId="4C27A152" w14:textId="77777777" w:rsidR="00366A2F" w:rsidRDefault="00366A2F" w:rsidP="00366A2F">
      <w:r>
        <w:t>Every country has a unique structure, but democratic systems generally include:</w:t>
      </w:r>
    </w:p>
    <w:p w14:paraId="5AA6CFD5" w14:textId="6C1A7661" w:rsidR="00366A2F" w:rsidRDefault="00366A2F" w:rsidP="00366A2F">
      <w:pPr>
        <w:pStyle w:val="ListParagraph"/>
        <w:numPr>
          <w:ilvl w:val="0"/>
          <w:numId w:val="9"/>
        </w:numPr>
      </w:pPr>
      <w:r>
        <w:t>Constitutional protections, such as freedom of speech and privacy</w:t>
      </w:r>
    </w:p>
    <w:p w14:paraId="64B2CA64" w14:textId="61D03A7B" w:rsidR="00366A2F" w:rsidRDefault="00366A2F" w:rsidP="00366A2F">
      <w:pPr>
        <w:pStyle w:val="ListParagraph"/>
        <w:numPr>
          <w:ilvl w:val="0"/>
          <w:numId w:val="9"/>
        </w:numPr>
      </w:pPr>
      <w:r>
        <w:t>Surveillance laws, which define how and when the state can monitor people</w:t>
      </w:r>
    </w:p>
    <w:p w14:paraId="61199A5F" w14:textId="5E9305DB" w:rsidR="00366A2F" w:rsidRDefault="00366A2F" w:rsidP="00366A2F">
      <w:pPr>
        <w:pStyle w:val="ListParagraph"/>
        <w:numPr>
          <w:ilvl w:val="0"/>
          <w:numId w:val="9"/>
        </w:numPr>
      </w:pPr>
      <w:r>
        <w:t>Oversight mechanisms, such as parliamentary committees or independent watchdogs</w:t>
      </w:r>
    </w:p>
    <w:p w14:paraId="2E440AC0" w14:textId="77777777" w:rsidR="00366A2F" w:rsidRDefault="00366A2F" w:rsidP="00366A2F"/>
    <w:p w14:paraId="035D323C" w14:textId="77777777" w:rsidR="00366A2F" w:rsidRDefault="00366A2F" w:rsidP="00366A2F">
      <w:r>
        <w:t>For example:</w:t>
      </w:r>
    </w:p>
    <w:p w14:paraId="67BFBBD8" w14:textId="394CD5BD" w:rsidR="00366A2F" w:rsidRDefault="00366A2F" w:rsidP="00366A2F">
      <w:pPr>
        <w:pStyle w:val="ListParagraph"/>
        <w:numPr>
          <w:ilvl w:val="0"/>
          <w:numId w:val="10"/>
        </w:numPr>
      </w:pPr>
      <w:r>
        <w:t>In the United States, the Foreign Intelligence Surveillance Act (FISA) sets legal standards for electronic surveillance.</w:t>
      </w:r>
    </w:p>
    <w:p w14:paraId="3C6E2555" w14:textId="7B6E0131" w:rsidR="00366A2F" w:rsidRDefault="00366A2F" w:rsidP="00366A2F">
      <w:pPr>
        <w:pStyle w:val="ListParagraph"/>
        <w:numPr>
          <w:ilvl w:val="0"/>
          <w:numId w:val="10"/>
        </w:numPr>
      </w:pPr>
      <w:r>
        <w:t>In Germany, the Federal Constitutional Court has ruled repeatedly on intelligence limits, particularly around privacy.</w:t>
      </w:r>
    </w:p>
    <w:p w14:paraId="689AFDFA" w14:textId="77777777" w:rsidR="00366A2F" w:rsidRDefault="00366A2F" w:rsidP="00366A2F"/>
    <w:p w14:paraId="1D0E4055" w14:textId="77777777" w:rsidR="00366A2F" w:rsidRDefault="00366A2F" w:rsidP="00366A2F">
      <w:r>
        <w:t>But challenges remain. Sometimes, governments expand surveillance powers through emergency laws or vague legal language—making it hard for citizens to know when their rights are being violated.</w:t>
      </w:r>
    </w:p>
    <w:p w14:paraId="7392B0A6" w14:textId="77777777" w:rsidR="00366A2F" w:rsidRDefault="00366A2F" w:rsidP="00366A2F">
      <w:pPr>
        <w:rPr>
          <w:lang w:val="el-GR"/>
        </w:rPr>
      </w:pPr>
    </w:p>
    <w:p w14:paraId="46C6AE8E" w14:textId="6D620975" w:rsidR="00366A2F" w:rsidRPr="00366A2F" w:rsidRDefault="00366A2F" w:rsidP="00366A2F">
      <w:pPr>
        <w:pStyle w:val="Heading3"/>
        <w:rPr>
          <w:lang w:val="el-GR"/>
        </w:rPr>
      </w:pPr>
      <w:r>
        <w:lastRenderedPageBreak/>
        <w:t>Section 3: International Law and Human Rights</w:t>
      </w:r>
    </w:p>
    <w:p w14:paraId="4F2367D5" w14:textId="77777777" w:rsidR="00366A2F" w:rsidRDefault="00366A2F" w:rsidP="00366A2F"/>
    <w:p w14:paraId="1C5345F3" w14:textId="77777777" w:rsidR="00366A2F" w:rsidRDefault="00366A2F" w:rsidP="00366A2F">
      <w:r>
        <w:t>International law adds another layer of accountability.</w:t>
      </w:r>
    </w:p>
    <w:p w14:paraId="7B4AB522" w14:textId="77777777" w:rsidR="00366A2F" w:rsidRDefault="00366A2F" w:rsidP="00366A2F">
      <w:r>
        <w:t>Key instruments include:</w:t>
      </w:r>
    </w:p>
    <w:p w14:paraId="1DD92D94" w14:textId="25D54275" w:rsidR="00366A2F" w:rsidRDefault="00366A2F" w:rsidP="00366A2F">
      <w:pPr>
        <w:pStyle w:val="ListParagraph"/>
        <w:numPr>
          <w:ilvl w:val="0"/>
          <w:numId w:val="11"/>
        </w:numPr>
      </w:pPr>
      <w:r>
        <w:t>The International Covenant on Civil and Political Rights (ICCPR)</w:t>
      </w:r>
    </w:p>
    <w:p w14:paraId="7E499E28" w14:textId="31CFFED7" w:rsidR="00366A2F" w:rsidRDefault="00366A2F" w:rsidP="00366A2F">
      <w:pPr>
        <w:pStyle w:val="ListParagraph"/>
        <w:numPr>
          <w:ilvl w:val="0"/>
          <w:numId w:val="11"/>
        </w:numPr>
      </w:pPr>
      <w:r>
        <w:t>The European Convention on Human Rights (ECHR)</w:t>
      </w:r>
    </w:p>
    <w:p w14:paraId="244DA808" w14:textId="78A93906" w:rsidR="00366A2F" w:rsidRDefault="00366A2F" w:rsidP="00366A2F">
      <w:pPr>
        <w:pStyle w:val="ListParagraph"/>
        <w:numPr>
          <w:ilvl w:val="0"/>
          <w:numId w:val="11"/>
        </w:numPr>
      </w:pPr>
      <w:r>
        <w:t>The UN Convention Against Torture</w:t>
      </w:r>
    </w:p>
    <w:p w14:paraId="2FC83AB2" w14:textId="0F1E4EC0" w:rsidR="00366A2F" w:rsidRDefault="00366A2F" w:rsidP="00366A2F">
      <w:pPr>
        <w:pStyle w:val="ListParagraph"/>
        <w:numPr>
          <w:ilvl w:val="0"/>
          <w:numId w:val="11"/>
        </w:numPr>
      </w:pPr>
      <w:r>
        <w:t>The International Humanitarian Law (IHL) for intelligence in armed conflict</w:t>
      </w:r>
    </w:p>
    <w:p w14:paraId="2F807BA8" w14:textId="77777777" w:rsidR="00366A2F" w:rsidRDefault="00366A2F" w:rsidP="00366A2F"/>
    <w:p w14:paraId="6F14B053" w14:textId="77777777" w:rsidR="00366A2F" w:rsidRDefault="00366A2F" w:rsidP="00366A2F">
      <w:r>
        <w:t>These laws place limits on surveillance, detention, interrogation, and the use of force.</w:t>
      </w:r>
    </w:p>
    <w:p w14:paraId="07BD4742" w14:textId="77777777" w:rsidR="00366A2F" w:rsidRDefault="00366A2F" w:rsidP="00366A2F">
      <w:r>
        <w:t>For example, Article 17 of the ICCPR states that no one shall be subject to arbitrary or unlawful interference with their privacy.</w:t>
      </w:r>
    </w:p>
    <w:p w14:paraId="0363600F" w14:textId="77777777" w:rsidR="00366A2F" w:rsidRDefault="00366A2F" w:rsidP="00366A2F"/>
    <w:p w14:paraId="1668D1F4" w14:textId="77777777" w:rsidR="00366A2F" w:rsidRDefault="00366A2F" w:rsidP="00366A2F">
      <w:r>
        <w:t>Even in counterterrorism or war, states must follow these international standards. Violations can lead to legal proceedings in regional courts, such as the European Court of Human Rights, or diplomatic backlash.</w:t>
      </w:r>
    </w:p>
    <w:p w14:paraId="4E4B4173" w14:textId="142DB90B" w:rsidR="00366A2F" w:rsidRPr="00366A2F" w:rsidRDefault="00366A2F" w:rsidP="00366A2F">
      <w:pPr>
        <w:pStyle w:val="Heading3"/>
        <w:rPr>
          <w:lang w:val="el-GR"/>
        </w:rPr>
      </w:pPr>
      <w:r>
        <w:t>Section 4: The Role of Oversight and Enforcement</w:t>
      </w:r>
    </w:p>
    <w:p w14:paraId="75796F97" w14:textId="77777777" w:rsidR="00366A2F" w:rsidRDefault="00366A2F" w:rsidP="00366A2F">
      <w:r>
        <w:t>Laws only matter if they’re enforced. That’s why oversight is essential.</w:t>
      </w:r>
    </w:p>
    <w:p w14:paraId="7431E0C7" w14:textId="77777777" w:rsidR="00366A2F" w:rsidRDefault="00366A2F" w:rsidP="00366A2F">
      <w:r>
        <w:t>Types of oversight include:</w:t>
      </w:r>
    </w:p>
    <w:p w14:paraId="01E1A9C8" w14:textId="5AFA94D1" w:rsidR="00366A2F" w:rsidRDefault="00366A2F" w:rsidP="00366A2F">
      <w:pPr>
        <w:pStyle w:val="ListParagraph"/>
        <w:numPr>
          <w:ilvl w:val="0"/>
          <w:numId w:val="12"/>
        </w:numPr>
      </w:pPr>
      <w:r>
        <w:t>Internal agency reviews (ethics boards or compliance units)</w:t>
      </w:r>
    </w:p>
    <w:p w14:paraId="7B1E2ABD" w14:textId="7156ED4C" w:rsidR="00366A2F" w:rsidRDefault="00366A2F" w:rsidP="00366A2F">
      <w:pPr>
        <w:pStyle w:val="ListParagraph"/>
        <w:numPr>
          <w:ilvl w:val="0"/>
          <w:numId w:val="12"/>
        </w:numPr>
      </w:pPr>
      <w:r>
        <w:t>Legislative oversight (committees with access to classified information)</w:t>
      </w:r>
    </w:p>
    <w:p w14:paraId="5D815CE6" w14:textId="29262B63" w:rsidR="00366A2F" w:rsidRDefault="00366A2F" w:rsidP="00366A2F">
      <w:pPr>
        <w:pStyle w:val="ListParagraph"/>
        <w:numPr>
          <w:ilvl w:val="0"/>
          <w:numId w:val="12"/>
        </w:numPr>
      </w:pPr>
      <w:r>
        <w:t>Judicial review (court authorization for surveillance or covert activity)</w:t>
      </w:r>
    </w:p>
    <w:p w14:paraId="117935BC" w14:textId="6B8A3472" w:rsidR="00366A2F" w:rsidRDefault="00366A2F" w:rsidP="00366A2F">
      <w:pPr>
        <w:pStyle w:val="ListParagraph"/>
        <w:numPr>
          <w:ilvl w:val="0"/>
          <w:numId w:val="12"/>
        </w:numPr>
      </w:pPr>
      <w:r>
        <w:t>Independent inspectors general, ombudsmen, or human rights commissions</w:t>
      </w:r>
    </w:p>
    <w:p w14:paraId="720F39B9" w14:textId="77777777" w:rsidR="00366A2F" w:rsidRDefault="00366A2F" w:rsidP="00366A2F"/>
    <w:p w14:paraId="4D265289" w14:textId="77777777" w:rsidR="00366A2F" w:rsidRDefault="00366A2F" w:rsidP="00366A2F">
      <w:r>
        <w:t>Good oversight balances national security needs with democratic accountability.</w:t>
      </w:r>
    </w:p>
    <w:p w14:paraId="52393400" w14:textId="77777777" w:rsidR="00366A2F" w:rsidRDefault="00366A2F" w:rsidP="00366A2F">
      <w:r>
        <w:t>When intelligence agencies are not supervised, abuses are more likely, and trust is eroded.</w:t>
      </w:r>
    </w:p>
    <w:p w14:paraId="1FF659D1" w14:textId="77777777" w:rsidR="00366A2F" w:rsidRDefault="00366A2F" w:rsidP="00366A2F">
      <w:pPr>
        <w:pStyle w:val="Heading3"/>
        <w:rPr>
          <w:lang w:val="el-GR"/>
        </w:rPr>
      </w:pPr>
    </w:p>
    <w:p w14:paraId="07460DCB" w14:textId="77777777" w:rsidR="00366A2F" w:rsidRDefault="00366A2F" w:rsidP="00366A2F">
      <w:pPr>
        <w:rPr>
          <w:lang w:val="el-GR"/>
        </w:rPr>
      </w:pPr>
    </w:p>
    <w:p w14:paraId="010CB338" w14:textId="77777777" w:rsidR="00366A2F" w:rsidRDefault="00366A2F" w:rsidP="00366A2F">
      <w:pPr>
        <w:rPr>
          <w:lang w:val="el-GR"/>
        </w:rPr>
      </w:pPr>
    </w:p>
    <w:p w14:paraId="537ECE8A" w14:textId="77777777" w:rsidR="00366A2F" w:rsidRPr="00366A2F" w:rsidRDefault="00366A2F" w:rsidP="00366A2F">
      <w:pPr>
        <w:rPr>
          <w:lang w:val="el-GR"/>
        </w:rPr>
      </w:pPr>
    </w:p>
    <w:p w14:paraId="778CC2DB" w14:textId="3BF77954" w:rsidR="00366A2F" w:rsidRPr="00366A2F" w:rsidRDefault="00366A2F" w:rsidP="00366A2F">
      <w:pPr>
        <w:pStyle w:val="Heading3"/>
      </w:pPr>
      <w:r>
        <w:lastRenderedPageBreak/>
        <w:t>Section 5: Global Gaps and Legal Grey Zones</w:t>
      </w:r>
    </w:p>
    <w:p w14:paraId="4E540C6E" w14:textId="77777777" w:rsidR="00366A2F" w:rsidRDefault="00366A2F" w:rsidP="00366A2F">
      <w:r>
        <w:t>Not all countries follow the same standards.</w:t>
      </w:r>
    </w:p>
    <w:p w14:paraId="096DC655" w14:textId="77777777" w:rsidR="00366A2F" w:rsidRDefault="00366A2F" w:rsidP="00366A2F">
      <w:r>
        <w:t>In authoritarian states, intelligence may operate with no legal constraint, often targeting journalists, minorities, or political opponents.</w:t>
      </w:r>
    </w:p>
    <w:p w14:paraId="6989D5DF" w14:textId="77777777" w:rsidR="00366A2F" w:rsidRDefault="00366A2F" w:rsidP="00366A2F">
      <w:r>
        <w:t>Even in democracies, legal grey zones exist:</w:t>
      </w:r>
    </w:p>
    <w:p w14:paraId="65B2752A" w14:textId="46FFB072" w:rsidR="00366A2F" w:rsidRDefault="00366A2F" w:rsidP="00366A2F">
      <w:pPr>
        <w:pStyle w:val="ListParagraph"/>
        <w:numPr>
          <w:ilvl w:val="0"/>
          <w:numId w:val="13"/>
        </w:numPr>
      </w:pPr>
      <w:r>
        <w:t>Using third-party countries for activities that would be illegal at home (e.g., “extraordinary rendition”)</w:t>
      </w:r>
    </w:p>
    <w:p w14:paraId="2FB69F96" w14:textId="7C72B451" w:rsidR="00366A2F" w:rsidRDefault="00366A2F" w:rsidP="00366A2F">
      <w:pPr>
        <w:pStyle w:val="ListParagraph"/>
        <w:numPr>
          <w:ilvl w:val="0"/>
          <w:numId w:val="13"/>
        </w:numPr>
      </w:pPr>
      <w:r>
        <w:t>Delegating surveillance to private contractors</w:t>
      </w:r>
    </w:p>
    <w:p w14:paraId="20BF82F5" w14:textId="2391089D" w:rsidR="00366A2F" w:rsidRDefault="00366A2F" w:rsidP="00366A2F">
      <w:pPr>
        <w:pStyle w:val="ListParagraph"/>
        <w:numPr>
          <w:ilvl w:val="0"/>
          <w:numId w:val="13"/>
        </w:numPr>
      </w:pPr>
      <w:r>
        <w:t>Sharing data across borders without privacy guarantees</w:t>
      </w:r>
    </w:p>
    <w:p w14:paraId="6E0FB809" w14:textId="77777777" w:rsidR="00366A2F" w:rsidRDefault="00366A2F" w:rsidP="00366A2F"/>
    <w:p w14:paraId="6C141299" w14:textId="77777777" w:rsidR="00366A2F" w:rsidRDefault="00366A2F" w:rsidP="00366A2F">
      <w:r>
        <w:t>This creates what some call "intelligence laundering"—outsourcing legal responsibility.</w:t>
      </w:r>
    </w:p>
    <w:p w14:paraId="672D2EDE" w14:textId="77777777" w:rsidR="00366A2F" w:rsidRDefault="00366A2F" w:rsidP="00366A2F">
      <w:r>
        <w:t>To address this, global cooperation, legal harmonization, and public scrutiny are vital.</w:t>
      </w:r>
    </w:p>
    <w:p w14:paraId="4B6BF12F" w14:textId="370AF396" w:rsidR="00366A2F" w:rsidRPr="00787662" w:rsidRDefault="00366A2F" w:rsidP="00787662">
      <w:pPr>
        <w:pStyle w:val="Heading3"/>
        <w:rPr>
          <w:lang w:val="el-GR"/>
        </w:rPr>
      </w:pPr>
      <w:r>
        <w:t>Conclusion</w:t>
      </w:r>
    </w:p>
    <w:p w14:paraId="1EFA1825" w14:textId="77777777" w:rsidR="00366A2F" w:rsidRDefault="00366A2F" w:rsidP="00366A2F">
      <w:r>
        <w:t>Laws are not obstacles to intelligence—they’re the foundation of its legitimacy.</w:t>
      </w:r>
    </w:p>
    <w:p w14:paraId="7B7D07B3" w14:textId="77777777" w:rsidR="00366A2F" w:rsidRDefault="00366A2F" w:rsidP="00366A2F">
      <w:r>
        <w:t>They define the line between protection and oppression.</w:t>
      </w:r>
    </w:p>
    <w:p w14:paraId="069D4A14" w14:textId="77777777" w:rsidR="00366A2F" w:rsidRDefault="00366A2F" w:rsidP="00366A2F">
      <w:r>
        <w:t>For intelligence to be ethical, it must also be lawful—and that means being aware of both national statutes and international obligations.</w:t>
      </w:r>
    </w:p>
    <w:p w14:paraId="5B2F920B" w14:textId="77777777" w:rsidR="00366A2F" w:rsidRDefault="00366A2F" w:rsidP="00366A2F"/>
    <w:p w14:paraId="0991C7E0" w14:textId="4B02935A" w:rsidR="00366A2F" w:rsidRPr="00366A2F" w:rsidRDefault="00366A2F" w:rsidP="00366A2F">
      <w:r>
        <w:t>Let’s test your understanding with a quick quiz.</w:t>
      </w:r>
    </w:p>
    <w:sectPr w:rsidR="00366A2F" w:rsidRPr="00366A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31F7"/>
    <w:multiLevelType w:val="hybridMultilevel"/>
    <w:tmpl w:val="3046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A426E6"/>
    <w:multiLevelType w:val="hybridMultilevel"/>
    <w:tmpl w:val="E16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F1A95"/>
    <w:multiLevelType w:val="hybridMultilevel"/>
    <w:tmpl w:val="1000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2290D"/>
    <w:multiLevelType w:val="hybridMultilevel"/>
    <w:tmpl w:val="2B22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300A3"/>
    <w:multiLevelType w:val="multilevel"/>
    <w:tmpl w:val="5B1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C1EAB"/>
    <w:multiLevelType w:val="multilevel"/>
    <w:tmpl w:val="6F3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4375B"/>
    <w:multiLevelType w:val="multilevel"/>
    <w:tmpl w:val="C2D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F7E9A"/>
    <w:multiLevelType w:val="hybridMultilevel"/>
    <w:tmpl w:val="6B52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822AF"/>
    <w:multiLevelType w:val="hybridMultilevel"/>
    <w:tmpl w:val="587058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CF54F2"/>
    <w:multiLevelType w:val="hybridMultilevel"/>
    <w:tmpl w:val="4252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0509E"/>
    <w:multiLevelType w:val="hybridMultilevel"/>
    <w:tmpl w:val="0FB2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649AF"/>
    <w:multiLevelType w:val="multilevel"/>
    <w:tmpl w:val="216CB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E37EC"/>
    <w:multiLevelType w:val="hybridMultilevel"/>
    <w:tmpl w:val="2874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327308">
    <w:abstractNumId w:val="8"/>
  </w:num>
  <w:num w:numId="2" w16cid:durableId="1519079481">
    <w:abstractNumId w:val="9"/>
  </w:num>
  <w:num w:numId="3" w16cid:durableId="455877780">
    <w:abstractNumId w:val="6"/>
  </w:num>
  <w:num w:numId="4" w16cid:durableId="493380522">
    <w:abstractNumId w:val="11"/>
  </w:num>
  <w:num w:numId="5" w16cid:durableId="879437314">
    <w:abstractNumId w:val="5"/>
  </w:num>
  <w:num w:numId="6" w16cid:durableId="51850610">
    <w:abstractNumId w:val="4"/>
  </w:num>
  <w:num w:numId="7" w16cid:durableId="916094634">
    <w:abstractNumId w:val="0"/>
  </w:num>
  <w:num w:numId="8" w16cid:durableId="1161654485">
    <w:abstractNumId w:val="10"/>
  </w:num>
  <w:num w:numId="9" w16cid:durableId="173619906">
    <w:abstractNumId w:val="12"/>
  </w:num>
  <w:num w:numId="10" w16cid:durableId="2084839387">
    <w:abstractNumId w:val="7"/>
  </w:num>
  <w:num w:numId="11" w16cid:durableId="418454430">
    <w:abstractNumId w:val="1"/>
  </w:num>
  <w:num w:numId="12" w16cid:durableId="91315471">
    <w:abstractNumId w:val="3"/>
  </w:num>
  <w:num w:numId="13" w16cid:durableId="993412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20"/>
    <w:rsid w:val="000E727B"/>
    <w:rsid w:val="00154F58"/>
    <w:rsid w:val="002751D2"/>
    <w:rsid w:val="00366A2F"/>
    <w:rsid w:val="00574863"/>
    <w:rsid w:val="0061420F"/>
    <w:rsid w:val="006A6A66"/>
    <w:rsid w:val="00787662"/>
    <w:rsid w:val="00802320"/>
    <w:rsid w:val="0084727E"/>
    <w:rsid w:val="00A13178"/>
    <w:rsid w:val="00B75AE9"/>
    <w:rsid w:val="00C77A90"/>
    <w:rsid w:val="00C85F4C"/>
    <w:rsid w:val="00CA0508"/>
    <w:rsid w:val="00D21B34"/>
    <w:rsid w:val="00DA10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A4F447"/>
  <w15:chartTrackingRefBased/>
  <w15:docId w15:val="{FCC5AFCF-A4C1-4B08-A75E-AED74102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0F"/>
    <w:pPr>
      <w:jc w:val="both"/>
    </w:pPr>
    <w:rPr>
      <w:lang w:val="en-US"/>
    </w:rPr>
  </w:style>
  <w:style w:type="paragraph" w:styleId="Heading1">
    <w:name w:val="heading 1"/>
    <w:basedOn w:val="Normal"/>
    <w:next w:val="Normal"/>
    <w:link w:val="Heading1Char"/>
    <w:uiPriority w:val="9"/>
    <w:qFormat/>
    <w:rsid w:val="008023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74863"/>
    <w:pPr>
      <w:keepNext/>
      <w:keepLines/>
      <w:spacing w:before="160" w:after="80"/>
      <w:outlineLvl w:val="1"/>
    </w:pPr>
    <w:rPr>
      <w:rFonts w:eastAsiaTheme="majorEastAsia" w:cstheme="minorHAnsi"/>
      <w:color w:val="365F91" w:themeColor="accent1" w:themeShade="BF"/>
      <w:sz w:val="32"/>
      <w:szCs w:val="32"/>
    </w:rPr>
  </w:style>
  <w:style w:type="paragraph" w:styleId="Heading3">
    <w:name w:val="heading 3"/>
    <w:basedOn w:val="Normal"/>
    <w:next w:val="Normal"/>
    <w:link w:val="Heading3Char"/>
    <w:uiPriority w:val="9"/>
    <w:unhideWhenUsed/>
    <w:qFormat/>
    <w:rsid w:val="008023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23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23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2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74863"/>
    <w:rPr>
      <w:rFonts w:eastAsiaTheme="majorEastAsia" w:cstheme="minorHAnsi"/>
      <w:color w:val="365F91" w:themeColor="accent1" w:themeShade="BF"/>
      <w:sz w:val="32"/>
      <w:szCs w:val="32"/>
      <w:lang w:val="en-US"/>
    </w:rPr>
  </w:style>
  <w:style w:type="character" w:customStyle="1" w:styleId="Heading3Char">
    <w:name w:val="Heading 3 Char"/>
    <w:basedOn w:val="DefaultParagraphFont"/>
    <w:link w:val="Heading3"/>
    <w:uiPriority w:val="9"/>
    <w:rsid w:val="008023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23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23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2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320"/>
    <w:rPr>
      <w:rFonts w:eastAsiaTheme="majorEastAsia" w:cstheme="majorBidi"/>
      <w:color w:val="272727" w:themeColor="text1" w:themeTint="D8"/>
    </w:rPr>
  </w:style>
  <w:style w:type="paragraph" w:styleId="Title">
    <w:name w:val="Title"/>
    <w:basedOn w:val="Normal"/>
    <w:next w:val="Normal"/>
    <w:link w:val="TitleChar"/>
    <w:uiPriority w:val="10"/>
    <w:qFormat/>
    <w:rsid w:val="00802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3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320"/>
    <w:rPr>
      <w:i/>
      <w:iCs/>
      <w:color w:val="404040" w:themeColor="text1" w:themeTint="BF"/>
    </w:rPr>
  </w:style>
  <w:style w:type="paragraph" w:styleId="ListParagraph">
    <w:name w:val="List Paragraph"/>
    <w:basedOn w:val="Normal"/>
    <w:uiPriority w:val="34"/>
    <w:qFormat/>
    <w:rsid w:val="00802320"/>
    <w:pPr>
      <w:ind w:left="720"/>
      <w:contextualSpacing/>
    </w:pPr>
  </w:style>
  <w:style w:type="character" w:styleId="IntenseEmphasis">
    <w:name w:val="Intense Emphasis"/>
    <w:basedOn w:val="DefaultParagraphFont"/>
    <w:uiPriority w:val="21"/>
    <w:qFormat/>
    <w:rsid w:val="00802320"/>
    <w:rPr>
      <w:i/>
      <w:iCs/>
      <w:color w:val="365F91" w:themeColor="accent1" w:themeShade="BF"/>
    </w:rPr>
  </w:style>
  <w:style w:type="paragraph" w:styleId="IntenseQuote">
    <w:name w:val="Intense Quote"/>
    <w:basedOn w:val="Normal"/>
    <w:next w:val="Normal"/>
    <w:link w:val="IntenseQuoteChar"/>
    <w:uiPriority w:val="30"/>
    <w:qFormat/>
    <w:rsid w:val="008023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2320"/>
    <w:rPr>
      <w:i/>
      <w:iCs/>
      <w:color w:val="365F91" w:themeColor="accent1" w:themeShade="BF"/>
    </w:rPr>
  </w:style>
  <w:style w:type="character" w:styleId="IntenseReference">
    <w:name w:val="Intense Reference"/>
    <w:basedOn w:val="DefaultParagraphFont"/>
    <w:uiPriority w:val="32"/>
    <w:qFormat/>
    <w:rsid w:val="0080232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226743">
      <w:bodyDiv w:val="1"/>
      <w:marLeft w:val="0"/>
      <w:marRight w:val="0"/>
      <w:marTop w:val="0"/>
      <w:marBottom w:val="0"/>
      <w:divBdr>
        <w:top w:val="none" w:sz="0" w:space="0" w:color="auto"/>
        <w:left w:val="none" w:sz="0" w:space="0" w:color="auto"/>
        <w:bottom w:val="none" w:sz="0" w:space="0" w:color="auto"/>
        <w:right w:val="none" w:sz="0" w:space="0" w:color="auto"/>
      </w:divBdr>
    </w:div>
    <w:div w:id="9303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ΠΑΠΑΝΙΚΟΛΑΟΥ ΣΟΦΙΑ</dc:creator>
  <cp:keywords/>
  <dc:description/>
  <cp:lastModifiedBy>Andreas Maropoulos</cp:lastModifiedBy>
  <cp:revision>11</cp:revision>
  <dcterms:created xsi:type="dcterms:W3CDTF">2025-04-07T07:38:00Z</dcterms:created>
  <dcterms:modified xsi:type="dcterms:W3CDTF">2025-04-30T06:50:00Z</dcterms:modified>
</cp:coreProperties>
</file>