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916D9" w14:textId="77777777" w:rsidR="00D06497" w:rsidRDefault="00D06497" w:rsidP="0061420F">
      <w:pPr>
        <w:pStyle w:val="Heading3"/>
        <w:rPr>
          <w:rFonts w:cstheme="minorHAnsi"/>
          <w:sz w:val="32"/>
          <w:szCs w:val="32"/>
        </w:rPr>
      </w:pPr>
      <w:r w:rsidRPr="00D06497">
        <w:rPr>
          <w:rFonts w:cstheme="minorHAnsi"/>
          <w:sz w:val="32"/>
          <w:szCs w:val="32"/>
        </w:rPr>
        <w:t>Lesson 6: Legal Frameworks II – Human Rights and Civil Liberties</w:t>
      </w:r>
    </w:p>
    <w:p w14:paraId="11566F61" w14:textId="77777777" w:rsidR="003F6742" w:rsidRDefault="003F6742" w:rsidP="003F6742">
      <w:r>
        <w:t>Welcome to Lesson 6 of Ethics and Law in Intelligence.</w:t>
      </w:r>
    </w:p>
    <w:p w14:paraId="3BFB8BD1" w14:textId="77777777" w:rsidR="003F6742" w:rsidRDefault="003F6742" w:rsidP="003F6742">
      <w:r>
        <w:t>Today we focus on the intersection of intelligence work and human rights. While intelligence agencies serve vital national interests, they must also respect civil liberties—even when working under pressure. In this lesson, we’ll examine how intelligence practices can support or violate human rights, and what legal protections exist to prevent abuse.</w:t>
      </w:r>
    </w:p>
    <w:p w14:paraId="3C2FB7E1" w14:textId="7285EF9C" w:rsidR="003F6742" w:rsidRDefault="003F6742" w:rsidP="003F6742">
      <w:pPr>
        <w:pStyle w:val="Heading3"/>
      </w:pPr>
      <w:r>
        <w:t>Section 1: What Are Human Rights and Civil Liberties?</w:t>
      </w:r>
    </w:p>
    <w:p w14:paraId="66B2B7A1" w14:textId="77777777" w:rsidR="003F6742" w:rsidRDefault="003F6742" w:rsidP="003F6742">
      <w:r>
        <w:t xml:space="preserve">Human rights are universal principles that protect the dignity and </w:t>
      </w:r>
      <w:proofErr w:type="gramStart"/>
      <w:r>
        <w:t>freedoms</w:t>
      </w:r>
      <w:proofErr w:type="gramEnd"/>
      <w:r>
        <w:t xml:space="preserve"> of every individual.</w:t>
      </w:r>
    </w:p>
    <w:p w14:paraId="713B84E9" w14:textId="77777777" w:rsidR="003F6742" w:rsidRDefault="003F6742" w:rsidP="003F6742">
      <w:r>
        <w:t>Civil liberties are specific rights—like free speech, privacy, and the right to a fair trial—that are often protected in a country’s constitution or bill of rights.</w:t>
      </w:r>
    </w:p>
    <w:p w14:paraId="6A04B93C" w14:textId="77777777" w:rsidR="003F6742" w:rsidRDefault="003F6742" w:rsidP="003F6742">
      <w:r>
        <w:t>These rights include:</w:t>
      </w:r>
    </w:p>
    <w:p w14:paraId="71CFB4CE" w14:textId="42002627" w:rsidR="003F6742" w:rsidRDefault="003F6742" w:rsidP="003F6742">
      <w:pPr>
        <w:pStyle w:val="ListParagraph"/>
        <w:numPr>
          <w:ilvl w:val="0"/>
          <w:numId w:val="8"/>
        </w:numPr>
      </w:pPr>
      <w:r>
        <w:t>Freedom of expression</w:t>
      </w:r>
    </w:p>
    <w:p w14:paraId="7CB78C4F" w14:textId="4B33BAEB" w:rsidR="003F6742" w:rsidRDefault="003F6742" w:rsidP="003F6742">
      <w:pPr>
        <w:pStyle w:val="ListParagraph"/>
        <w:numPr>
          <w:ilvl w:val="0"/>
          <w:numId w:val="8"/>
        </w:numPr>
      </w:pPr>
      <w:r>
        <w:t>Freedom of movement and association</w:t>
      </w:r>
    </w:p>
    <w:p w14:paraId="0746A4AA" w14:textId="26263D4B" w:rsidR="003F6742" w:rsidRDefault="003F6742" w:rsidP="003F6742">
      <w:pPr>
        <w:pStyle w:val="ListParagraph"/>
        <w:numPr>
          <w:ilvl w:val="0"/>
          <w:numId w:val="8"/>
        </w:numPr>
      </w:pPr>
      <w:r>
        <w:t>Protection against arbitrary detention</w:t>
      </w:r>
    </w:p>
    <w:p w14:paraId="5B4416F1" w14:textId="0673DE22" w:rsidR="003F6742" w:rsidRDefault="003F6742" w:rsidP="003F6742">
      <w:pPr>
        <w:pStyle w:val="ListParagraph"/>
        <w:numPr>
          <w:ilvl w:val="0"/>
          <w:numId w:val="8"/>
        </w:numPr>
      </w:pPr>
      <w:r>
        <w:t>Right to privacy</w:t>
      </w:r>
    </w:p>
    <w:p w14:paraId="1B39815A" w14:textId="17762392" w:rsidR="003F6742" w:rsidRDefault="003F6742" w:rsidP="003F6742">
      <w:pPr>
        <w:pStyle w:val="ListParagraph"/>
        <w:numPr>
          <w:ilvl w:val="0"/>
          <w:numId w:val="8"/>
        </w:numPr>
      </w:pPr>
      <w:r>
        <w:t>Right to life and humane treatment</w:t>
      </w:r>
    </w:p>
    <w:p w14:paraId="08240FCC" w14:textId="77777777" w:rsidR="003F6742" w:rsidRDefault="003F6742" w:rsidP="003F6742"/>
    <w:p w14:paraId="6A7EBE21" w14:textId="77777777" w:rsidR="003F6742" w:rsidRDefault="003F6742" w:rsidP="003F6742">
      <w:r>
        <w:t>The challenge is clear: how do intelligence agencies carry out their mission without undermining these rights?</w:t>
      </w:r>
    </w:p>
    <w:p w14:paraId="1B50DA99" w14:textId="3B7A7F2E" w:rsidR="003F6742" w:rsidRDefault="003F6742" w:rsidP="003F6742">
      <w:pPr>
        <w:pStyle w:val="Heading3"/>
      </w:pPr>
      <w:r>
        <w:t>Section 2: Intelligence Activities That Threaten Rights</w:t>
      </w:r>
    </w:p>
    <w:p w14:paraId="07DED48F" w14:textId="77777777" w:rsidR="003F6742" w:rsidRDefault="003F6742" w:rsidP="003F6742"/>
    <w:p w14:paraId="0A8D358A" w14:textId="77777777" w:rsidR="003F6742" w:rsidRDefault="003F6742" w:rsidP="003F6742">
      <w:r>
        <w:t>Certain intelligence practices pose direct risks to human rights, such as:</w:t>
      </w:r>
    </w:p>
    <w:p w14:paraId="7DBE56F2" w14:textId="4DB344ED" w:rsidR="003F6742" w:rsidRDefault="003F6742" w:rsidP="003F6742">
      <w:pPr>
        <w:pStyle w:val="ListParagraph"/>
        <w:numPr>
          <w:ilvl w:val="0"/>
          <w:numId w:val="9"/>
        </w:numPr>
      </w:pPr>
      <w:r>
        <w:t>Mass surveillance of online communications</w:t>
      </w:r>
    </w:p>
    <w:p w14:paraId="34D39819" w14:textId="79355864" w:rsidR="003F6742" w:rsidRDefault="003F6742" w:rsidP="003F6742">
      <w:pPr>
        <w:pStyle w:val="ListParagraph"/>
        <w:numPr>
          <w:ilvl w:val="0"/>
          <w:numId w:val="9"/>
        </w:numPr>
      </w:pPr>
      <w:r>
        <w:t>Targeted surveillance of activists, journalists, or political opponents</w:t>
      </w:r>
    </w:p>
    <w:p w14:paraId="7C590AFC" w14:textId="00EE3D88" w:rsidR="003F6742" w:rsidRDefault="003F6742" w:rsidP="003F6742">
      <w:pPr>
        <w:pStyle w:val="ListParagraph"/>
        <w:numPr>
          <w:ilvl w:val="0"/>
          <w:numId w:val="9"/>
        </w:numPr>
      </w:pPr>
      <w:r>
        <w:t>Profiling based on religion, ethnicity, or ideology</w:t>
      </w:r>
    </w:p>
    <w:p w14:paraId="5AEE1BE0" w14:textId="31DB7A14" w:rsidR="003F6742" w:rsidRDefault="003F6742" w:rsidP="003F6742">
      <w:pPr>
        <w:pStyle w:val="ListParagraph"/>
        <w:numPr>
          <w:ilvl w:val="0"/>
          <w:numId w:val="9"/>
        </w:numPr>
      </w:pPr>
      <w:r>
        <w:t>Detention without trial, sometimes in secret facilities</w:t>
      </w:r>
    </w:p>
    <w:p w14:paraId="35FD7BE4" w14:textId="00680EAA" w:rsidR="003F6742" w:rsidRDefault="003F6742" w:rsidP="003F6742">
      <w:pPr>
        <w:pStyle w:val="ListParagraph"/>
        <w:numPr>
          <w:ilvl w:val="0"/>
          <w:numId w:val="9"/>
        </w:numPr>
      </w:pPr>
      <w:r>
        <w:t>Interrogation techniques that violate the ban on torture</w:t>
      </w:r>
    </w:p>
    <w:p w14:paraId="5886A548" w14:textId="77777777" w:rsidR="003F6742" w:rsidRDefault="003F6742" w:rsidP="003F6742"/>
    <w:p w14:paraId="407F91A0" w14:textId="77777777" w:rsidR="003F6742" w:rsidRDefault="003F6742" w:rsidP="003F6742">
      <w:r>
        <w:t>When done without proper oversight, these activities can cross ethical and legal boundaries—even if done in the name of national security.</w:t>
      </w:r>
    </w:p>
    <w:p w14:paraId="2C60468C" w14:textId="77777777" w:rsidR="003F6742" w:rsidRDefault="003F6742" w:rsidP="003F6742"/>
    <w:p w14:paraId="79027220" w14:textId="2EBC67F8" w:rsidR="003F6742" w:rsidRDefault="003F6742" w:rsidP="003F6742">
      <w:pPr>
        <w:pStyle w:val="Heading3"/>
      </w:pPr>
      <w:r>
        <w:lastRenderedPageBreak/>
        <w:t>Section 3: Legal Protections in National and International Law</w:t>
      </w:r>
    </w:p>
    <w:p w14:paraId="6DE12F02" w14:textId="77777777" w:rsidR="003F6742" w:rsidRDefault="003F6742" w:rsidP="003F6742"/>
    <w:p w14:paraId="72D54374" w14:textId="77777777" w:rsidR="003F6742" w:rsidRDefault="003F6742" w:rsidP="003F6742">
      <w:r>
        <w:t xml:space="preserve">Modern legal systems offer clear </w:t>
      </w:r>
      <w:proofErr w:type="gramStart"/>
      <w:r>
        <w:t>protections</w:t>
      </w:r>
      <w:proofErr w:type="gramEnd"/>
      <w:r>
        <w:t>:</w:t>
      </w:r>
    </w:p>
    <w:p w14:paraId="0F3F463D" w14:textId="6A444EF9" w:rsidR="003F6742" w:rsidRDefault="003F6742" w:rsidP="003F6742">
      <w:pPr>
        <w:pStyle w:val="ListParagraph"/>
        <w:numPr>
          <w:ilvl w:val="0"/>
          <w:numId w:val="11"/>
        </w:numPr>
      </w:pPr>
      <w:r>
        <w:t>National constitutions often enshrine civil liberties, including limits on search, seizure, and detention.</w:t>
      </w:r>
    </w:p>
    <w:p w14:paraId="19B64BC0" w14:textId="22A26AC5" w:rsidR="003F6742" w:rsidRDefault="003F6742" w:rsidP="003F6742">
      <w:pPr>
        <w:pStyle w:val="ListParagraph"/>
        <w:numPr>
          <w:ilvl w:val="0"/>
          <w:numId w:val="11"/>
        </w:numPr>
      </w:pPr>
      <w:r>
        <w:t>International treaties like the ICCPR and the European Convention on Human Rights protect individuals from abuse, even in times of crisis.</w:t>
      </w:r>
    </w:p>
    <w:p w14:paraId="0184CD5C" w14:textId="77777777" w:rsidR="003F6742" w:rsidRDefault="003F6742" w:rsidP="003F6742"/>
    <w:p w14:paraId="5EC6F645" w14:textId="77777777" w:rsidR="003F6742" w:rsidRDefault="003F6742" w:rsidP="003F6742">
      <w:r>
        <w:t>For example:</w:t>
      </w:r>
    </w:p>
    <w:p w14:paraId="3F908961" w14:textId="669136C7" w:rsidR="003F6742" w:rsidRDefault="003F6742" w:rsidP="003F6742">
      <w:pPr>
        <w:pStyle w:val="ListParagraph"/>
        <w:numPr>
          <w:ilvl w:val="0"/>
          <w:numId w:val="10"/>
        </w:numPr>
      </w:pPr>
      <w:r>
        <w:t>Article 8 of the ECHR guarantees the right to privacy.</w:t>
      </w:r>
    </w:p>
    <w:p w14:paraId="56AC1796" w14:textId="46B5D795" w:rsidR="003F6742" w:rsidRDefault="003F6742" w:rsidP="003F6742">
      <w:pPr>
        <w:pStyle w:val="ListParagraph"/>
        <w:numPr>
          <w:ilvl w:val="0"/>
          <w:numId w:val="10"/>
        </w:numPr>
      </w:pPr>
      <w:r>
        <w:t>Article 7 of the ICCPR prohibits torture or cruel treatment.</w:t>
      </w:r>
    </w:p>
    <w:p w14:paraId="7B1263EF" w14:textId="4FB1BA5D" w:rsidR="003F6742" w:rsidRDefault="003F6742" w:rsidP="003F6742">
      <w:pPr>
        <w:pStyle w:val="ListParagraph"/>
        <w:numPr>
          <w:ilvl w:val="0"/>
          <w:numId w:val="10"/>
        </w:numPr>
      </w:pPr>
      <w:r>
        <w:t>Habeas corpus ensures people cannot be detained without legal justification.</w:t>
      </w:r>
    </w:p>
    <w:p w14:paraId="0B90B094" w14:textId="77777777" w:rsidR="003F6742" w:rsidRDefault="003F6742" w:rsidP="003F6742"/>
    <w:p w14:paraId="48D2CED8" w14:textId="77777777" w:rsidR="003F6742" w:rsidRDefault="003F6742" w:rsidP="003F6742">
      <w:r>
        <w:t xml:space="preserve">Even during emergencies, these rights can only be limited under strict legal </w:t>
      </w:r>
      <w:proofErr w:type="gramStart"/>
      <w:r>
        <w:t>conditions—</w:t>
      </w:r>
      <w:proofErr w:type="gramEnd"/>
      <w:r>
        <w:t>not removed entirely.</w:t>
      </w:r>
    </w:p>
    <w:p w14:paraId="5A560D55" w14:textId="4190C6A1" w:rsidR="003F6742" w:rsidRDefault="003F6742" w:rsidP="003F6742">
      <w:pPr>
        <w:pStyle w:val="Heading3"/>
      </w:pPr>
      <w:r>
        <w:t>Section 4: Intelligence and Democracy</w:t>
      </w:r>
    </w:p>
    <w:p w14:paraId="324A600E" w14:textId="77777777" w:rsidR="003F6742" w:rsidRDefault="003F6742" w:rsidP="003F6742"/>
    <w:p w14:paraId="6A53BB52" w14:textId="77777777" w:rsidR="003F6742" w:rsidRDefault="003F6742" w:rsidP="003F6742">
      <w:r>
        <w:t>Respect for human rights is a hallmark of democratic governance. Intelligence agencies play a role in defending democracy, but they must not undermine it.</w:t>
      </w:r>
    </w:p>
    <w:p w14:paraId="038CD667" w14:textId="77777777" w:rsidR="003F6742" w:rsidRDefault="003F6742" w:rsidP="003F6742">
      <w:r>
        <w:t>Key principles include:</w:t>
      </w:r>
    </w:p>
    <w:p w14:paraId="0CD7DBF5" w14:textId="543C7F9D" w:rsidR="003F6742" w:rsidRDefault="003F6742" w:rsidP="003F6742">
      <w:pPr>
        <w:pStyle w:val="ListParagraph"/>
        <w:numPr>
          <w:ilvl w:val="0"/>
          <w:numId w:val="12"/>
        </w:numPr>
      </w:pPr>
      <w:r>
        <w:t>Proportionality – any limitation on rights must match the seriousness of the threat</w:t>
      </w:r>
    </w:p>
    <w:p w14:paraId="27FBC0BD" w14:textId="176DE5A6" w:rsidR="003F6742" w:rsidRDefault="003F6742" w:rsidP="003F6742">
      <w:pPr>
        <w:pStyle w:val="ListParagraph"/>
        <w:numPr>
          <w:ilvl w:val="0"/>
          <w:numId w:val="12"/>
        </w:numPr>
      </w:pPr>
      <w:r>
        <w:t>Necessity – surveillance or detention must be truly needed, not just convenient</w:t>
      </w:r>
    </w:p>
    <w:p w14:paraId="13D0A129" w14:textId="0C11672D" w:rsidR="003F6742" w:rsidRDefault="003F6742" w:rsidP="003F6742">
      <w:pPr>
        <w:pStyle w:val="ListParagraph"/>
        <w:numPr>
          <w:ilvl w:val="0"/>
          <w:numId w:val="12"/>
        </w:numPr>
      </w:pPr>
      <w:r>
        <w:t>Accountability – mechanisms must exist to challenge and correct abuses</w:t>
      </w:r>
    </w:p>
    <w:p w14:paraId="45C370A5" w14:textId="77777777" w:rsidR="003F6742" w:rsidRDefault="003F6742" w:rsidP="003F6742"/>
    <w:p w14:paraId="75C54E79" w14:textId="77777777" w:rsidR="003F6742" w:rsidRDefault="003F6742" w:rsidP="003F6742">
      <w:r>
        <w:t>Without these principles, intelligence risks becoming a tool of repression—not protection.</w:t>
      </w:r>
    </w:p>
    <w:p w14:paraId="2D6076E3" w14:textId="5EE0B7CD" w:rsidR="003F6742" w:rsidRDefault="003F6742" w:rsidP="003F6742">
      <w:pPr>
        <w:pStyle w:val="Heading3"/>
      </w:pPr>
      <w:r>
        <w:t>Section 5: At-Risk Groups</w:t>
      </w:r>
    </w:p>
    <w:p w14:paraId="5038E1AA" w14:textId="77777777" w:rsidR="003F6742" w:rsidRDefault="003F6742" w:rsidP="003F6742">
      <w:r>
        <w:t>Certain groups are especially vulnerable to intelligence overreach:</w:t>
      </w:r>
    </w:p>
    <w:p w14:paraId="03F93A4F" w14:textId="28B80D3E" w:rsidR="003F6742" w:rsidRDefault="003F6742" w:rsidP="003F6742">
      <w:pPr>
        <w:pStyle w:val="ListParagraph"/>
        <w:numPr>
          <w:ilvl w:val="0"/>
          <w:numId w:val="13"/>
        </w:numPr>
      </w:pPr>
      <w:r>
        <w:t>Journalists, who may be targeted for investigating sensitive topics</w:t>
      </w:r>
    </w:p>
    <w:p w14:paraId="7998D76F" w14:textId="7FE2F58E" w:rsidR="003F6742" w:rsidRDefault="003F6742" w:rsidP="003F6742">
      <w:pPr>
        <w:pStyle w:val="ListParagraph"/>
        <w:numPr>
          <w:ilvl w:val="0"/>
          <w:numId w:val="13"/>
        </w:numPr>
      </w:pPr>
      <w:r>
        <w:t>Political dissidents, especially in authoritarian regimes</w:t>
      </w:r>
    </w:p>
    <w:p w14:paraId="124E0592" w14:textId="432E676E" w:rsidR="003F6742" w:rsidRDefault="003F6742" w:rsidP="003F6742">
      <w:pPr>
        <w:pStyle w:val="ListParagraph"/>
        <w:numPr>
          <w:ilvl w:val="0"/>
          <w:numId w:val="13"/>
        </w:numPr>
      </w:pPr>
      <w:r>
        <w:t>Religious or ethnic minorities, who may be disproportionately surveilled</w:t>
      </w:r>
    </w:p>
    <w:p w14:paraId="4E337843" w14:textId="48E6C1D7" w:rsidR="003F6742" w:rsidRDefault="003F6742" w:rsidP="003F6742">
      <w:pPr>
        <w:pStyle w:val="ListParagraph"/>
        <w:numPr>
          <w:ilvl w:val="0"/>
          <w:numId w:val="13"/>
        </w:numPr>
      </w:pPr>
      <w:r>
        <w:t>Migrant or refugee communities, often monitored under “national security” justifications</w:t>
      </w:r>
    </w:p>
    <w:p w14:paraId="279971FE" w14:textId="77777777" w:rsidR="003F6742" w:rsidRDefault="003F6742" w:rsidP="003F6742"/>
    <w:p w14:paraId="44B6D3F9" w14:textId="77777777" w:rsidR="003F6742" w:rsidRDefault="003F6742" w:rsidP="003F6742">
      <w:r>
        <w:t xml:space="preserve">Ethical intelligence respects the rights of all individuals, not just the majority. Protecting the rights of vulnerable populations is not a </w:t>
      </w:r>
      <w:proofErr w:type="gramStart"/>
      <w:r>
        <w:t>weakness—</w:t>
      </w:r>
      <w:proofErr w:type="gramEnd"/>
      <w:r>
        <w:t>it is a sign of institutional maturity.</w:t>
      </w:r>
    </w:p>
    <w:p w14:paraId="34EEC1DD" w14:textId="3DAEFD7C" w:rsidR="003F6742" w:rsidRDefault="003F6742" w:rsidP="003F6742">
      <w:r>
        <w:t>Conclusio</w:t>
      </w:r>
      <w:r>
        <w:t>n</w:t>
      </w:r>
    </w:p>
    <w:p w14:paraId="1CE6C812" w14:textId="77777777" w:rsidR="003F6742" w:rsidRDefault="003F6742" w:rsidP="003F6742">
      <w:r>
        <w:t>To summarize:</w:t>
      </w:r>
    </w:p>
    <w:p w14:paraId="079573BC" w14:textId="7B0D40CC" w:rsidR="003F6742" w:rsidRDefault="003F6742" w:rsidP="003F6742">
      <w:pPr>
        <w:pStyle w:val="ListParagraph"/>
        <w:numPr>
          <w:ilvl w:val="0"/>
          <w:numId w:val="14"/>
        </w:numPr>
      </w:pPr>
      <w:r>
        <w:t>Intelligence work must always be guided by respect for human rights and civil liberties.</w:t>
      </w:r>
    </w:p>
    <w:p w14:paraId="22FC98DA" w14:textId="6603E5A7" w:rsidR="003F6742" w:rsidRDefault="003F6742" w:rsidP="003F6742">
      <w:pPr>
        <w:pStyle w:val="ListParagraph"/>
        <w:numPr>
          <w:ilvl w:val="0"/>
          <w:numId w:val="14"/>
        </w:numPr>
      </w:pPr>
      <w:r>
        <w:t>Surveillance, detention, and profiling are only justifiable under clear legal frameworks.</w:t>
      </w:r>
    </w:p>
    <w:p w14:paraId="157F9ADF" w14:textId="4F0437FF" w:rsidR="003F6742" w:rsidRDefault="003F6742" w:rsidP="003F6742">
      <w:pPr>
        <w:pStyle w:val="ListParagraph"/>
        <w:numPr>
          <w:ilvl w:val="0"/>
          <w:numId w:val="14"/>
        </w:numPr>
      </w:pPr>
      <w:r>
        <w:t>A rights-respecting intelligence system helps maintain public trust, protect democracy, and avoid long-term harm.</w:t>
      </w:r>
    </w:p>
    <w:p w14:paraId="0031956A" w14:textId="5110A7BE" w:rsidR="001F262F" w:rsidRPr="001F262F" w:rsidRDefault="003F6742" w:rsidP="003F6742">
      <w:r>
        <w:t>Next, take the quiz to test your knowledge.</w:t>
      </w:r>
    </w:p>
    <w:sectPr w:rsidR="001F262F" w:rsidRPr="001F262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97E8F"/>
    <w:multiLevelType w:val="hybridMultilevel"/>
    <w:tmpl w:val="17383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631F7"/>
    <w:multiLevelType w:val="hybridMultilevel"/>
    <w:tmpl w:val="30467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08470F"/>
    <w:multiLevelType w:val="hybridMultilevel"/>
    <w:tmpl w:val="BEB6C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F04551"/>
    <w:multiLevelType w:val="hybridMultilevel"/>
    <w:tmpl w:val="DEBE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2300A3"/>
    <w:multiLevelType w:val="multilevel"/>
    <w:tmpl w:val="5B1A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9C1EAB"/>
    <w:multiLevelType w:val="multilevel"/>
    <w:tmpl w:val="6F30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04375B"/>
    <w:multiLevelType w:val="multilevel"/>
    <w:tmpl w:val="C2D8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FD626B"/>
    <w:multiLevelType w:val="hybridMultilevel"/>
    <w:tmpl w:val="BD760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8822AF"/>
    <w:multiLevelType w:val="hybridMultilevel"/>
    <w:tmpl w:val="587058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5BCF54F2"/>
    <w:multiLevelType w:val="hybridMultilevel"/>
    <w:tmpl w:val="4252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756D14"/>
    <w:multiLevelType w:val="hybridMultilevel"/>
    <w:tmpl w:val="E6D8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3649AF"/>
    <w:multiLevelType w:val="multilevel"/>
    <w:tmpl w:val="216CB0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C15C21"/>
    <w:multiLevelType w:val="hybridMultilevel"/>
    <w:tmpl w:val="40902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FC0086"/>
    <w:multiLevelType w:val="hybridMultilevel"/>
    <w:tmpl w:val="65109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1327308">
    <w:abstractNumId w:val="8"/>
  </w:num>
  <w:num w:numId="2" w16cid:durableId="1519079481">
    <w:abstractNumId w:val="9"/>
  </w:num>
  <w:num w:numId="3" w16cid:durableId="455877780">
    <w:abstractNumId w:val="6"/>
  </w:num>
  <w:num w:numId="4" w16cid:durableId="493380522">
    <w:abstractNumId w:val="11"/>
  </w:num>
  <w:num w:numId="5" w16cid:durableId="879437314">
    <w:abstractNumId w:val="5"/>
  </w:num>
  <w:num w:numId="6" w16cid:durableId="51850610">
    <w:abstractNumId w:val="4"/>
  </w:num>
  <w:num w:numId="7" w16cid:durableId="916094634">
    <w:abstractNumId w:val="1"/>
  </w:num>
  <w:num w:numId="8" w16cid:durableId="807820497">
    <w:abstractNumId w:val="12"/>
  </w:num>
  <w:num w:numId="9" w16cid:durableId="1421298284">
    <w:abstractNumId w:val="7"/>
  </w:num>
  <w:num w:numId="10" w16cid:durableId="991525082">
    <w:abstractNumId w:val="2"/>
  </w:num>
  <w:num w:numId="11" w16cid:durableId="2023583834">
    <w:abstractNumId w:val="0"/>
  </w:num>
  <w:num w:numId="12" w16cid:durableId="1150094174">
    <w:abstractNumId w:val="3"/>
  </w:num>
  <w:num w:numId="13" w16cid:durableId="1407338483">
    <w:abstractNumId w:val="10"/>
  </w:num>
  <w:num w:numId="14" w16cid:durableId="9908709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320"/>
    <w:rsid w:val="001F262F"/>
    <w:rsid w:val="003F6742"/>
    <w:rsid w:val="00574863"/>
    <w:rsid w:val="0061420F"/>
    <w:rsid w:val="006A6A66"/>
    <w:rsid w:val="00802320"/>
    <w:rsid w:val="0084727E"/>
    <w:rsid w:val="00A13178"/>
    <w:rsid w:val="00B75AE9"/>
    <w:rsid w:val="00BC1EA4"/>
    <w:rsid w:val="00C77A90"/>
    <w:rsid w:val="00C85F4C"/>
    <w:rsid w:val="00CA0508"/>
    <w:rsid w:val="00D06497"/>
    <w:rsid w:val="00D21B34"/>
    <w:rsid w:val="00D30CB6"/>
    <w:rsid w:val="00DA109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2A4F447"/>
  <w15:chartTrackingRefBased/>
  <w15:docId w15:val="{FCC5AFCF-A4C1-4B08-A75E-AED741026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20F"/>
    <w:pPr>
      <w:jc w:val="both"/>
    </w:pPr>
    <w:rPr>
      <w:lang w:val="en-US"/>
    </w:rPr>
  </w:style>
  <w:style w:type="paragraph" w:styleId="Heading1">
    <w:name w:val="heading 1"/>
    <w:basedOn w:val="Normal"/>
    <w:next w:val="Normal"/>
    <w:link w:val="Heading1Char"/>
    <w:uiPriority w:val="9"/>
    <w:qFormat/>
    <w:rsid w:val="0080232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574863"/>
    <w:pPr>
      <w:keepNext/>
      <w:keepLines/>
      <w:spacing w:before="160" w:after="80"/>
      <w:outlineLvl w:val="1"/>
    </w:pPr>
    <w:rPr>
      <w:rFonts w:eastAsiaTheme="majorEastAsia" w:cstheme="minorHAnsi"/>
      <w:color w:val="365F91" w:themeColor="accent1" w:themeShade="BF"/>
      <w:sz w:val="32"/>
      <w:szCs w:val="32"/>
    </w:rPr>
  </w:style>
  <w:style w:type="paragraph" w:styleId="Heading3">
    <w:name w:val="heading 3"/>
    <w:basedOn w:val="Normal"/>
    <w:next w:val="Normal"/>
    <w:link w:val="Heading3Char"/>
    <w:uiPriority w:val="9"/>
    <w:unhideWhenUsed/>
    <w:qFormat/>
    <w:rsid w:val="0080232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0232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0232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023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3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3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3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32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574863"/>
    <w:rPr>
      <w:rFonts w:eastAsiaTheme="majorEastAsia" w:cstheme="minorHAnsi"/>
      <w:color w:val="365F91" w:themeColor="accent1" w:themeShade="BF"/>
      <w:sz w:val="32"/>
      <w:szCs w:val="32"/>
      <w:lang w:val="en-US"/>
    </w:rPr>
  </w:style>
  <w:style w:type="character" w:customStyle="1" w:styleId="Heading3Char">
    <w:name w:val="Heading 3 Char"/>
    <w:basedOn w:val="DefaultParagraphFont"/>
    <w:link w:val="Heading3"/>
    <w:uiPriority w:val="9"/>
    <w:rsid w:val="0080232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0232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0232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023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3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3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320"/>
    <w:rPr>
      <w:rFonts w:eastAsiaTheme="majorEastAsia" w:cstheme="majorBidi"/>
      <w:color w:val="272727" w:themeColor="text1" w:themeTint="D8"/>
    </w:rPr>
  </w:style>
  <w:style w:type="paragraph" w:styleId="Title">
    <w:name w:val="Title"/>
    <w:basedOn w:val="Normal"/>
    <w:next w:val="Normal"/>
    <w:link w:val="TitleChar"/>
    <w:uiPriority w:val="10"/>
    <w:qFormat/>
    <w:rsid w:val="00802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3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32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3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3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02320"/>
    <w:rPr>
      <w:i/>
      <w:iCs/>
      <w:color w:val="404040" w:themeColor="text1" w:themeTint="BF"/>
    </w:rPr>
  </w:style>
  <w:style w:type="paragraph" w:styleId="ListParagraph">
    <w:name w:val="List Paragraph"/>
    <w:basedOn w:val="Normal"/>
    <w:uiPriority w:val="34"/>
    <w:qFormat/>
    <w:rsid w:val="00802320"/>
    <w:pPr>
      <w:ind w:left="720"/>
      <w:contextualSpacing/>
    </w:pPr>
  </w:style>
  <w:style w:type="character" w:styleId="IntenseEmphasis">
    <w:name w:val="Intense Emphasis"/>
    <w:basedOn w:val="DefaultParagraphFont"/>
    <w:uiPriority w:val="21"/>
    <w:qFormat/>
    <w:rsid w:val="00802320"/>
    <w:rPr>
      <w:i/>
      <w:iCs/>
      <w:color w:val="365F91" w:themeColor="accent1" w:themeShade="BF"/>
    </w:rPr>
  </w:style>
  <w:style w:type="paragraph" w:styleId="IntenseQuote">
    <w:name w:val="Intense Quote"/>
    <w:basedOn w:val="Normal"/>
    <w:next w:val="Normal"/>
    <w:link w:val="IntenseQuoteChar"/>
    <w:uiPriority w:val="30"/>
    <w:qFormat/>
    <w:rsid w:val="0080232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02320"/>
    <w:rPr>
      <w:i/>
      <w:iCs/>
      <w:color w:val="365F91" w:themeColor="accent1" w:themeShade="BF"/>
    </w:rPr>
  </w:style>
  <w:style w:type="character" w:styleId="IntenseReference">
    <w:name w:val="Intense Reference"/>
    <w:basedOn w:val="DefaultParagraphFont"/>
    <w:uiPriority w:val="32"/>
    <w:qFormat/>
    <w:rsid w:val="00802320"/>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226743">
      <w:bodyDiv w:val="1"/>
      <w:marLeft w:val="0"/>
      <w:marRight w:val="0"/>
      <w:marTop w:val="0"/>
      <w:marBottom w:val="0"/>
      <w:divBdr>
        <w:top w:val="none" w:sz="0" w:space="0" w:color="auto"/>
        <w:left w:val="none" w:sz="0" w:space="0" w:color="auto"/>
        <w:bottom w:val="none" w:sz="0" w:space="0" w:color="auto"/>
        <w:right w:val="none" w:sz="0" w:space="0" w:color="auto"/>
      </w:divBdr>
    </w:div>
    <w:div w:id="93035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ΠΑΠΑΝΙΚΟΛΑΟΥ ΣΟΦΙΑ</dc:creator>
  <cp:keywords/>
  <dc:description/>
  <cp:lastModifiedBy>Andreas Maropoulos</cp:lastModifiedBy>
  <cp:revision>11</cp:revision>
  <dcterms:created xsi:type="dcterms:W3CDTF">2025-04-07T07:38:00Z</dcterms:created>
  <dcterms:modified xsi:type="dcterms:W3CDTF">2025-04-30T06:53:00Z</dcterms:modified>
</cp:coreProperties>
</file>