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Bid Request Comparison &amp; Analysis</w:t>
      </w:r>
    </w:p>
    <w:p>
      <w:pPr>
        <w:spacing w:after="400"/>
        <w:jc w:val="center"/>
      </w:pPr>
      <w:r>
        <w:rPr>
          <w:color w:val="666666"/>
          <w:sz w:val="28"/>
          <w:szCs w:val="28"/>
        </w:rPr>
        <w:t xml:space="preserve">Feature Specification &amp; Technical Architecture</w:t>
      </w:r>
    </w:p>
    <w:p>
      <w:pPr>
        <w:spacing w:after="600"/>
        <w:jc w:val="center"/>
      </w:pPr>
      <w:r>
        <w:rPr>
          <w:color w:val="888888"/>
          <w:sz w:val="22"/>
          <w:szCs w:val="22"/>
        </w:rPr>
        <w:t xml:space="preserve">Version 1.0 | December 2025</w:t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The Bid Request Comparison &amp; Analysis feature enables publishers to understand exactly what data is included in their bid requests, which buy-side platforms respond to specific signals, and actionable improvements to maximize revenue. This addresses a critical gap in publisher visibility: most yield teams have been operating without insight into how their inventory performs at the bid request level.</w:t>
      </w:r>
    </w:p>
    <w:p>
      <w:pPr>
        <w:spacing w:after="200"/>
      </w:pPr>
      <w:r>
        <w:rPr>
          <w:b/>
          <w:bCs/>
        </w:rPr>
        <w:t xml:space="preserve">Key Value Propositions:</w:t>
      </w:r>
    </w:p>
    <w:p>
      <w:pPr>
        <w:pStyle w:val="ListParagraph"/>
        <w:numPr>
          <w:ilvl w:val="0"/>
          <w:numId w:val="2"/>
        </w:numPr>
      </w:pPr>
      <w:r>
        <w:t xml:space="preserve">Identify missing Extended IDs (EIDs) causing 15-30% revenue loss</w:t>
      </w:r>
    </w:p>
    <w:p>
      <w:pPr>
        <w:pStyle w:val="ListParagraph"/>
        <w:numPr>
          <w:ilvl w:val="0"/>
          <w:numId w:val="2"/>
        </w:numPr>
      </w:pPr>
      <w:r>
        <w:t xml:space="preserve">Detect bid decoration gaps resulting in 20-40% CPM opportunity loss</w:t>
      </w:r>
    </w:p>
    <w:p>
      <w:pPr>
        <w:pStyle w:val="ListParagraph"/>
        <w:numPr>
          <w:ilvl w:val="0"/>
          <w:numId w:val="2"/>
        </w:numPr>
      </w:pPr>
      <w:r>
        <w:t xml:space="preserve">Analyze DSP response patterns to optimize demand partner mix</w:t>
      </w:r>
    </w:p>
    <w:p>
      <w:pPr>
        <w:pStyle w:val="ListParagraph"/>
        <w:numPr>
          <w:ilvl w:val="0"/>
          <w:numId w:val="2"/>
        </w:numPr>
      </w:pPr>
      <w:r>
        <w:t xml:space="preserve">Benchmark bid request quality against industry standards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Generate actionable recommendations with quantified revenue impact</w:t>
      </w:r>
    </w:p>
    <w:p>
      <w:pPr>
        <w:pStyle w:val="Heading1"/>
      </w:pPr>
      <w:r>
        <w:t xml:space="preserve">Market Context &amp; Opportunity</w:t>
      </w:r>
    </w:p>
    <w:p>
      <w:pPr>
        <w:spacing w:after="200"/>
      </w:pPr>
      <w:r>
        <w:t xml:space="preserve">The global real-time bidding market was valued at nearly $19 billion in 2024 and is projected to exceed $90 billion by 2033. Despite this growth, publishers continue to lose significant revenue due to incomplete bid requests, missing identity signals, and poor data enrichment practices.</w:t>
      </w:r>
    </w:p>
    <w:p>
      <w:pPr>
        <w:pStyle w:val="Heading2"/>
      </w:pPr>
      <w:r>
        <w:t xml:space="preserve">The Publisher Visibility Gap</w:t>
      </w:r>
    </w:p>
    <w:p>
      <w:pPr>
        <w:spacing w:after="200"/>
      </w:pPr>
      <w:r>
        <w:t xml:space="preserve">Research indicates that most publisher yield teams lack visibility into exchange-level performance. Key blind spots include:</w:t>
      </w:r>
    </w:p>
    <w:p>
      <w:pPr>
        <w:pStyle w:val="ListParagraph"/>
        <w:numPr>
          <w:ilvl w:val="0"/>
          <w:numId w:val="3"/>
        </w:numPr>
      </w:pPr>
      <w:r>
        <w:t xml:space="preserve">What specific data fields are present (or missing) in outbound bid requests</w:t>
      </w:r>
    </w:p>
    <w:p>
      <w:pPr>
        <w:pStyle w:val="ListParagraph"/>
        <w:numPr>
          <w:ilvl w:val="0"/>
          <w:numId w:val="3"/>
        </w:numPr>
      </w:pPr>
      <w:r>
        <w:t xml:space="preserve">How different DSPs evaluate and respond to various signals</w:t>
      </w:r>
    </w:p>
    <w:p>
      <w:pPr>
        <w:pStyle w:val="ListParagraph"/>
        <w:numPr>
          <w:ilvl w:val="0"/>
          <w:numId w:val="3"/>
        </w:numPr>
      </w:pPr>
      <w:r>
        <w:t xml:space="preserve">Which identity providers are properly synced and passing tokens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How bid request quality compares to industry benchmarks</w:t>
      </w:r>
    </w:p>
    <w:p>
      <w:pPr>
        <w:pStyle w:val="Heading2"/>
      </w:pPr>
      <w:r>
        <w:t xml:space="preserve">Revenue Leakage Points</w:t>
      </w:r>
    </w:p>
    <w:p>
      <w:pPr>
        <w:spacing w:after="100"/>
      </w:pPr>
      <w:r>
        <w:t xml:space="preserve">Analysis of programmatic transactions reveals consistent patterns of revenue leakage: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800"/>
        <w:gridCol w:w="2000"/>
        <w:gridCol w:w="38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Leakage Category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Revenue Impact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Detection Method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Missing Extended IDs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15-30%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Bid request EID array analysis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Poor Cookie Sync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10-20%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Match rate comparison across DSPs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Bid Decoration Gaps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20-40%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Signal completeness scoring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Missing Content Categories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15-25%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IAB taxonomy coverage analysis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Technical Issues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5-15%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Timeout/error rate monitoring</w:t>
            </w:r>
          </w:p>
        </w:tc>
      </w:tr>
    </w:tbl>
    <w:p>
      <w:pPr>
        <w:spacing w:before="200" w:after="400"/>
      </w:pPr>
      <w:r>
        <w:rPr>
          <w:b/>
          <w:bCs/>
          <w:i/>
          <w:iCs/>
        </w:rPr>
        <w:t xml:space="preserve">Total Addressable Opportunity: 30-50% revenue increase per publisher</w:t>
      </w:r>
    </w:p>
    <w:p>
      <w:r>
        <w:br w:type="page"/>
      </w:r>
    </w:p>
    <w:p>
      <w:pPr>
        <w:pStyle w:val="Heading1"/>
      </w:pPr>
      <w:r>
        <w:t xml:space="preserve">OpenRTB Bid Request Analysis Framework</w:t>
      </w:r>
    </w:p>
    <w:p>
      <w:pPr>
        <w:spacing w:after="200"/>
      </w:pPr>
      <w:r>
        <w:t xml:space="preserve">OpenRTB (Open Real-Time Bidding) is the standard protocol developed by the IAB Tech Lab that orchestrates programmatic advertising auctions. Understanding the anatomy of bid requests is essential for identifying optimization opportunities.</w:t>
      </w:r>
    </w:p>
    <w:p>
      <w:pPr>
        <w:pStyle w:val="Heading2"/>
      </w:pPr>
      <w:r>
        <w:t xml:space="preserve">Critical Bid Request Fields for Analysis</w:t>
      </w:r>
    </w:p>
    <w:p>
      <w:pPr>
        <w:spacing w:after="100"/>
      </w:pPr>
      <w:r>
        <w:t xml:space="preserve">DSPs evaluate multiple data points when deciding whether and how much to bid. Our analysis framework examines:</w:t>
      </w:r>
    </w:p>
    <w:p>
      <w:pPr>
        <w:pStyle w:val="Heading3"/>
      </w:pPr>
      <w:r>
        <w:t xml:space="preserve">1. Identity Signals (Highest Revenue Impact)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Extended IDs (EIDs): </w:t>
      </w:r>
      <w:r>
        <w:t xml:space="preserve">UID2, ID5, LiveRamp RampID, SharedID presence and validity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User.buyeruid: </w:t>
      </w:r>
      <w:r>
        <w:t xml:space="preserve">DSP-specific user identifiers from cookie sync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User.id: </w:t>
      </w:r>
      <w:r>
        <w:t xml:space="preserve">Publisher's first-party identifier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b/>
          <w:bCs/>
        </w:rPr>
        <w:t xml:space="preserve">Device.ifa: </w:t>
      </w:r>
      <w:r>
        <w:t xml:space="preserve">Mobile advertising ID (IDFA/GAID)</w:t>
      </w:r>
    </w:p>
    <w:p>
      <w:pPr>
        <w:pStyle w:val="Heading3"/>
      </w:pPr>
      <w:r>
        <w:t xml:space="preserve">2. Contextual Signals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Site/App.cat: </w:t>
      </w:r>
      <w:r>
        <w:t xml:space="preserve">IAB content categories (1,600+ taxonomy attributes)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Content object: </w:t>
      </w:r>
      <w:r>
        <w:t xml:space="preserve">Title, keywords, language, content rating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Page URL: </w:t>
      </w:r>
      <w:r>
        <w:t xml:space="preserve">Full page context for brand safety evaluation</w:t>
      </w:r>
    </w:p>
    <w:p>
      <w:pPr>
        <w:pStyle w:val="ListParagraph"/>
        <w:numPr>
          <w:ilvl w:val="0"/>
          <w:numId w:val="5"/>
        </w:numPr>
        <w:spacing w:after="200"/>
      </w:pPr>
      <w:r>
        <w:rPr>
          <w:b/>
          <w:bCs/>
        </w:rPr>
        <w:t xml:space="preserve">Publisher Provided Signals (PPS): </w:t>
      </w:r>
      <w:r>
        <w:t xml:space="preserve">Topics API integration</w:t>
      </w:r>
    </w:p>
    <w:p>
      <w:pPr>
        <w:pStyle w:val="Heading3"/>
      </w:pPr>
      <w:r>
        <w:t xml:space="preserve">3. Inventory Quality Signals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Viewability scores: </w:t>
      </w:r>
      <w:r>
        <w:t xml:space="preserve">Historical in-view rate (target: 70%+)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Ad position (imp.pos): </w:t>
      </w:r>
      <w:r>
        <w:t xml:space="preserve">Above/below the fold designation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Creative constraints: </w:t>
      </w:r>
      <w:r>
        <w:t xml:space="preserve">Supported formats, sizes, and attributes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Floor pricing: </w:t>
      </w:r>
      <w:r>
        <w:t xml:space="preserve">Minimum CPM requirements</w:t>
      </w:r>
    </w:p>
    <w:p>
      <w:pPr>
        <w:pStyle w:val="Heading3"/>
      </w:pPr>
      <w:r>
        <w:t xml:space="preserve">4. Device &amp; Geographic Signals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Device.geo: </w:t>
      </w:r>
      <w:r>
        <w:t xml:space="preserve">Latitude/longitude, country, region, city, zip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Device properties: </w:t>
      </w:r>
      <w:r>
        <w:t xml:space="preserve">OS, browser, device type, make/model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Connection type: </w:t>
      </w:r>
      <w:r>
        <w:t xml:space="preserve">WiFi vs cellular, connection speed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User agent: </w:t>
      </w:r>
      <w:r>
        <w:t xml:space="preserve">Browser and device fingerprinting data</w:t>
      </w:r>
    </w:p>
    <w:p>
      <w:pPr>
        <w:pStyle w:val="Heading3"/>
      </w:pPr>
      <w:r>
        <w:t xml:space="preserve">5. Supply Chain Transparency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SupplyChain object: </w:t>
      </w:r>
      <w:r>
        <w:t xml:space="preserve">Complete chain of sellers (sellers.json validation)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Source.schain: </w:t>
      </w:r>
      <w:r>
        <w:t xml:space="preserve">Bid request path transparency</w:t>
      </w:r>
    </w:p>
    <w:p>
      <w:pPr>
        <w:pStyle w:val="ListParagraph"/>
        <w:numPr>
          <w:ilvl w:val="0"/>
          <w:numId w:val="3"/>
        </w:numPr>
        <w:spacing w:after="400"/>
      </w:pPr>
      <w:r>
        <w:rPr>
          <w:b/>
          <w:bCs/>
        </w:rPr>
        <w:t xml:space="preserve">Publisher.id: </w:t>
      </w:r>
      <w:r>
        <w:t xml:space="preserve">Verified publisher identification (ads.txt)</w:t>
      </w:r>
    </w:p>
    <w:p>
      <w:r>
        <w:br w:type="page"/>
      </w:r>
    </w:p>
    <w:p>
      <w:pPr>
        <w:pStyle w:val="Heading1"/>
      </w:pPr>
      <w:r>
        <w:t xml:space="preserve">DSP Response Pattern Analysis</w:t>
      </w:r>
    </w:p>
    <w:p>
      <w:pPr>
        <w:spacing w:after="200"/>
      </w:pPr>
      <w:r>
        <w:t xml:space="preserve">Different DSPs prioritize different signals when deciding to bid. Understanding these patterns enables publishers to optimize bid requests for maximum response rates and CPMs.</w:t>
      </w:r>
    </w:p>
    <w:p>
      <w:pPr>
        <w:pStyle w:val="Heading2"/>
      </w:pPr>
      <w:r>
        <w:t xml:space="preserve">DSP Bidding Criteria Matrix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400"/>
        <w:gridCol w:w="2800"/>
        <w:gridCol w:w="1600"/>
        <w:gridCol w:w="20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DSP Category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Primary Signals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Bid Weight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Optimization Focus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The Trade Desk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UID2, Viewability, Premium inventory signals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Identity: 40%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UID2 implementation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Google DV360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Publisher signals, Topics API, Brand safety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Context: 35%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PPS/Topics enrichment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Amazon DSP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Retail data, Purchase intent, Device graph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Intent: 45%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Shopping signals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Xandr/Microsoft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Bid request completeness, Supply quality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Quality: 30%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Field completeness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Performance DSPs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Conversion likelihood, Audience match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Match: 50%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EID enrichment</w:t>
            </w:r>
          </w:p>
        </w:tc>
      </w:tr>
    </w:tbl>
    <w:p>
      <w:pPr>
        <w:spacing w:before="200" w:after="200"/>
      </w:pPr>
      <w:r>
        <w:rPr>
          <w:b/>
          <w:bCs/>
        </w:rPr>
        <w:t xml:space="preserve">Note: </w:t>
      </w:r>
      <w:r>
        <w:t xml:space="preserve">Major DSPs like The Trade Desk process over 13 million ad impressions per second using thousands of real-time data signals.</w:t>
      </w:r>
    </w:p>
    <w:p>
      <w:pPr>
        <w:pStyle w:val="Heading2"/>
      </w:pPr>
      <w:r>
        <w:t xml:space="preserve">Key DSP Response Metrics to Track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Bid Response Rate: </w:t>
      </w:r>
      <w:r>
        <w:t xml:space="preserve">Percentage of bid requests receiving bids (target: varies by DSP)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Win Rate: </w:t>
      </w:r>
      <w:r>
        <w:t xml:space="preserve">Percentage of bids that win auctions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CPM by Signal Presence: </w:t>
      </w:r>
      <w:r>
        <w:t xml:space="preserve">Compare CPMs with/without specific signals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No-Bid Reasons: </w:t>
      </w:r>
      <w:r>
        <w:t xml:space="preserve">Categorize why DSPs decline to bid</w:t>
      </w:r>
    </w:p>
    <w:p>
      <w:pPr>
        <w:pStyle w:val="ListParagraph"/>
        <w:numPr>
          <w:ilvl w:val="0"/>
          <w:numId w:val="6"/>
        </w:numPr>
        <w:spacing w:after="400"/>
      </w:pPr>
      <w:r>
        <w:rPr>
          <w:b/>
          <w:bCs/>
        </w:rPr>
        <w:t xml:space="preserve">Bid Price Distribution: </w:t>
      </w:r>
      <w:r>
        <w:t xml:space="preserve">Analyze bid pricing patterns across inventory segments</w:t>
      </w:r>
    </w:p>
    <w:p>
      <w:r>
        <w:br w:type="page"/>
      </w:r>
    </w:p>
    <w:p>
      <w:pPr>
        <w:pStyle w:val="Heading1"/>
      </w:pPr>
      <w:r>
        <w:t xml:space="preserve">Feature Specifications</w:t>
      </w:r>
    </w:p>
    <w:p>
      <w:pPr>
        <w:pStyle w:val="Heading2"/>
      </w:pPr>
      <w:r>
        <w:t xml:space="preserve">1. Bid Request Capture &amp; Analysis</w:t>
      </w:r>
    </w:p>
    <w:p>
      <w:pPr>
        <w:spacing w:after="100"/>
      </w:pPr>
      <w:r>
        <w:t xml:space="preserve">Real-time capture and parsing of OpenRTB bid requests at the edge layer: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Field Extraction: </w:t>
      </w:r>
      <w:r>
        <w:t xml:space="preserve">Parse all OpenRTB 2.5/2.6 fields including extensions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EID Analysis: </w:t>
      </w:r>
      <w:r>
        <w:t xml:space="preserve">Identify presence/absence of UID2, ID5, LiveRamp, SharedID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Signal Scoring: </w:t>
      </w:r>
      <w:r>
        <w:t xml:space="preserve">Calculate completeness score for each bid request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Gap Detection: </w:t>
      </w:r>
      <w:r>
        <w:t xml:space="preserve">Identify missing fields that impact DSP response</w:t>
      </w:r>
    </w:p>
    <w:p>
      <w:pPr>
        <w:pStyle w:val="ListParagraph"/>
        <w:numPr>
          <w:ilvl w:val="0"/>
          <w:numId w:val="7"/>
        </w:numPr>
        <w:spacing w:after="200"/>
      </w:pPr>
      <w:r>
        <w:rPr>
          <w:b/>
          <w:bCs/>
        </w:rPr>
        <w:t xml:space="preserve">Latency Tracking: </w:t>
      </w:r>
      <w:r>
        <w:t xml:space="preserve">Monitor processing time impact on bid eligibility</w:t>
      </w:r>
    </w:p>
    <w:p>
      <w:pPr>
        <w:pStyle w:val="Heading2"/>
      </w:pPr>
      <w:r>
        <w:t xml:space="preserve">2. DSP Response Tracking</w:t>
      </w:r>
    </w:p>
    <w:p>
      <w:pPr>
        <w:spacing w:after="100"/>
      </w:pPr>
      <w:r>
        <w:t xml:space="preserve">Monitor and analyze how different DSPs respond to bid requests: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Response Rate Tracking: </w:t>
      </w:r>
      <w:r>
        <w:t xml:space="preserve">Per-DSP bid response rates over time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CPM Analysis: </w:t>
      </w:r>
      <w:r>
        <w:t xml:space="preserve">Bid prices correlated with specific signal presence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Win Rate Monitoring: </w:t>
      </w:r>
      <w:r>
        <w:t xml:space="preserve">Which signals drive auction wins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No-Bid Reason Codes: </w:t>
      </w:r>
      <w:r>
        <w:t xml:space="preserve">Parse and categorize rejection reasons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Timeout Analysis: </w:t>
      </w:r>
      <w:r>
        <w:t xml:space="preserve">Identify DSPs with timeout issues</w:t>
      </w:r>
    </w:p>
    <w:p>
      <w:pPr>
        <w:pStyle w:val="Heading2"/>
      </w:pPr>
      <w:r>
        <w:t xml:space="preserve">3. Comparative Analysis Dashboard</w:t>
      </w:r>
    </w:p>
    <w:p>
      <w:pPr>
        <w:spacing w:after="100"/>
      </w:pPr>
      <w:r>
        <w:t xml:space="preserve">Visual comparison tools for bid request optimization: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Before/After Comparison: </w:t>
      </w:r>
      <w:r>
        <w:t xml:space="preserve">Side-by-side bid request comparison after changes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Benchmark Scoring: </w:t>
      </w:r>
      <w:r>
        <w:t xml:space="preserve">Compare against industry standards and top performers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Signal Impact Visualization: </w:t>
      </w:r>
      <w:r>
        <w:t xml:space="preserve">Heat maps showing revenue impact by signal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Trend Analysis: </w:t>
      </w:r>
      <w:r>
        <w:t xml:space="preserve">Track improvement over time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A/B Test Results: </w:t>
      </w:r>
      <w:r>
        <w:t xml:space="preserve">Compare optimization variants</w:t>
      </w:r>
    </w:p>
    <w:p>
      <w:pPr>
        <w:pStyle w:val="Heading2"/>
      </w:pPr>
      <w:r>
        <w:t xml:space="preserve">4. Actionable Recommendations Engine</w:t>
      </w:r>
    </w:p>
    <w:p>
      <w:pPr>
        <w:spacing w:after="100"/>
      </w:pPr>
      <w:r>
        <w:t xml:space="preserve">Automated generation of prioritized improvement recommendations: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Identity Gap Alerts: </w:t>
      </w:r>
      <w:r>
        <w:t xml:space="preserve">"Missing UID2 on 45% of requests = estimated $X/month loss"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Signal Enhancement: </w:t>
      </w:r>
      <w:r>
        <w:t xml:space="preserve">"Add IAB content categories to increase CPM by X%"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DSP-Specific Guidance: </w:t>
      </w:r>
      <w:r>
        <w:t xml:space="preserve">"TTD response rate would improve 20% with UID2"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Technical Fixes: </w:t>
      </w:r>
      <w:r>
        <w:t xml:space="preserve">"Cookie sync failure with [DSP] - implementation guide"</w:t>
      </w:r>
    </w:p>
    <w:p>
      <w:pPr>
        <w:pStyle w:val="ListParagraph"/>
        <w:numPr>
          <w:ilvl w:val="0"/>
          <w:numId w:val="8"/>
        </w:numPr>
        <w:spacing w:after="400"/>
      </w:pPr>
      <w:r>
        <w:rPr>
          <w:b/>
          <w:bCs/>
        </w:rPr>
        <w:t xml:space="preserve">Priority Scoring: </w:t>
      </w:r>
      <w:r>
        <w:t xml:space="preserve">Rank recommendations by estimated revenue impact</w:t>
      </w:r>
    </w:p>
    <w:p>
      <w:r>
        <w:br w:type="page"/>
      </w:r>
    </w:p>
    <w:p>
      <w:pPr>
        <w:pStyle w:val="Heading1"/>
      </w:pPr>
      <w:r>
        <w:t xml:space="preserve">Bid Enrichment Strategies</w:t>
      </w:r>
    </w:p>
    <w:p>
      <w:pPr>
        <w:spacing w:after="200"/>
      </w:pPr>
      <w:r>
        <w:t xml:space="preserve">Based on industry research, the following enrichment strategies deliver measurable revenue impact:</w:t>
      </w:r>
    </w:p>
    <w:p>
      <w:pPr>
        <w:pStyle w:val="Heading2"/>
      </w:pPr>
      <w:r>
        <w:t xml:space="preserve">Extended ID (EID) Implementation</w:t>
      </w:r>
    </w:p>
    <w:p>
      <w:pPr>
        <w:spacing w:after="100"/>
      </w:pPr>
      <w:r>
        <w:t xml:space="preserve">Universal IDs and deterministic identifiers drive 5-50% CPM increases for impressions with proper identity signals: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200"/>
        <w:gridCol w:w="2000"/>
        <w:gridCol w:w="2200"/>
        <w:gridCol w:w="24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ID Provider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CPM Impact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Implementation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Primary DSP Benefit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UID2 (Unified ID 2.0)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+15-30%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Email-based, opt-in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The Trade Desk, TTD partners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ID5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+10-25%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Probabilistic + deterministic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Broad DSP support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LiveRamp RampID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+20-35%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First-party data connection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Enterprise advertisers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SharedID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+5-15%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Prebid native, free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All Prebid-integrated DSPs</w:t>
            </w:r>
          </w:p>
        </w:tc>
      </w:tr>
    </w:tbl>
    <w:p>
      <w:pPr>
        <w:spacing w:before="200" w:after="200"/>
      </w:pPr>
      <w:r>
        <w:rPr>
          <w:b/>
          <w:bCs/>
        </w:rPr>
        <w:t xml:space="preserve">Key Finding: </w:t>
      </w:r>
      <w:r>
        <w:t xml:space="preserve">Publishers implementing multiple EID providers see bid response rate improvements of up to 57% and corresponding revenue uplifts of 15-30%.</w:t>
      </w:r>
    </w:p>
    <w:p>
      <w:pPr>
        <w:pStyle w:val="Heading2"/>
      </w:pPr>
      <w:r>
        <w:t xml:space="preserve">Seller Defined Audiences (SDA)</w:t>
      </w:r>
    </w:p>
    <w:p>
      <w:pPr>
        <w:spacing w:after="100"/>
      </w:pPr>
      <w:r>
        <w:t xml:space="preserve">IAB Tech Lab's SDA specification enables publishers to pass first-party audience data without user-level identifiers: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Audience Taxonomy: </w:t>
      </w:r>
      <w:r>
        <w:t xml:space="preserve">1,600+ standardized segments for demographics, interests, purchase intent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Privacy-Safe: </w:t>
      </w:r>
      <w:r>
        <w:t xml:space="preserve">Cohort-based targeting without individual identifiers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OpenRTB Integration: </w:t>
      </w:r>
      <w:r>
        <w:t xml:space="preserve">Passes via existing bid request data objects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DSP Recognition: </w:t>
      </w:r>
      <w:r>
        <w:t xml:space="preserve">Major DSPs trained to read SDA metadata for bidding decisions</w:t>
      </w:r>
    </w:p>
    <w:p>
      <w:pPr>
        <w:pStyle w:val="Heading2"/>
      </w:pPr>
      <w:r>
        <w:t xml:space="preserve">Contextual Signal Enrichment</w:t>
      </w:r>
    </w:p>
    <w:p>
      <w:pPr>
        <w:spacing w:after="100"/>
      </w:pPr>
      <w:r>
        <w:t xml:space="preserve">Enhanced contextual signals drive higher CPMs in privacy-first environments: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IAB Content Categories: </w:t>
      </w:r>
      <w:r>
        <w:t xml:space="preserve">25% CPM impact from proper categorization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Geo-Contextual Data: </w:t>
      </w:r>
      <w:r>
        <w:t xml:space="preserve">Proximity targeting via pre-bid enrichment (20% lift)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Brand Safety Signals: </w:t>
      </w:r>
      <w:r>
        <w:t xml:space="preserve">Viewability scores attract premium demand</w:t>
      </w:r>
    </w:p>
    <w:p>
      <w:pPr>
        <w:pStyle w:val="ListParagraph"/>
        <w:numPr>
          <w:ilvl w:val="0"/>
          <w:numId w:val="3"/>
        </w:numPr>
        <w:spacing w:after="400"/>
      </w:pPr>
      <w:r>
        <w:rPr>
          <w:b/>
          <w:bCs/>
        </w:rPr>
        <w:t xml:space="preserve">Content Metadata: </w:t>
      </w:r>
      <w:r>
        <w:t xml:space="preserve">Title, keywords, language for better matching</w:t>
      </w:r>
    </w:p>
    <w:p>
      <w:r>
        <w:br w:type="page"/>
      </w:r>
    </w:p>
    <w:p>
      <w:pPr>
        <w:pStyle w:val="Heading1"/>
      </w:pPr>
      <w:r>
        <w:t xml:space="preserve">Technical Architecture</w:t>
      </w:r>
    </w:p>
    <w:p>
      <w:pPr>
        <w:pStyle w:val="Heading2"/>
      </w:pPr>
      <w:r>
        <w:t xml:space="preserve">Edge-Based Processing Layer</w:t>
      </w:r>
    </w:p>
    <w:p>
      <w:pPr>
        <w:spacing w:after="100"/>
      </w:pPr>
      <w:r>
        <w:t xml:space="preserve">The Nexus Engine's edge architecture enables real-time bid request analysis with minimal latency impact: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Request Interception: </w:t>
      </w:r>
      <w:r>
        <w:t xml:space="preserve">Cloudflare Workers capture bid requests at the edge (&lt;10ms overhead)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Field Parsing: </w:t>
      </w:r>
      <w:r>
        <w:t xml:space="preserve">OpenRTB JSON parsing with schema validation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Signal Scoring: </w:t>
      </w:r>
      <w:r>
        <w:t xml:space="preserve">Real-time completeness scoring algorithm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Enrichment Layer: </w:t>
      </w:r>
      <w:r>
        <w:t xml:space="preserve">Inject missing EIDs from edge-accessible cookies</w:t>
      </w:r>
    </w:p>
    <w:p>
      <w:pPr>
        <w:pStyle w:val="ListParagraph"/>
        <w:numPr>
          <w:ilvl w:val="0"/>
          <w:numId w:val="9"/>
        </w:numPr>
        <w:spacing w:after="200"/>
      </w:pPr>
      <w:r>
        <w:rPr>
          <w:b/>
          <w:bCs/>
        </w:rPr>
        <w:t xml:space="preserve">Logging Pipeline: </w:t>
      </w:r>
      <w:r>
        <w:t xml:space="preserve">Stream to analytics for historical analysis</w:t>
      </w:r>
    </w:p>
    <w:p>
      <w:pPr>
        <w:pStyle w:val="Heading2"/>
      </w:pPr>
      <w:r>
        <w:t xml:space="preserve">Analytics &amp; Storage</w:t>
      </w:r>
    </w:p>
    <w:p>
      <w:pPr>
        <w:spacing w:after="100"/>
      </w:pPr>
      <w:r>
        <w:t xml:space="preserve">High-performance data infrastructure for bid stream analysis: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Aerospike: </w:t>
      </w:r>
      <w:r>
        <w:t xml:space="preserve">Sub-5ms query performance for real-time lookups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ClickHouse: </w:t>
      </w:r>
      <w:r>
        <w:t xml:space="preserve">Columnar analytics for bid stream aggregation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Apache Kafka: </w:t>
      </w:r>
      <w:r>
        <w:t xml:space="preserve">Event streaming for billions of daily requests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Redis: </w:t>
      </w:r>
      <w:r>
        <w:t xml:space="preserve">Caching layer for DSP response patterns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Prometheus/Grafana: </w:t>
      </w:r>
      <w:r>
        <w:t xml:space="preserve">Real-time monitoring dashboards</w:t>
      </w:r>
    </w:p>
    <w:p>
      <w:pPr>
        <w:pStyle w:val="Heading2"/>
      </w:pPr>
      <w:r>
        <w:t xml:space="preserve">Performance Requirements</w:t>
      </w:r>
    </w:p>
    <w:p>
      <w:pPr>
        <w:spacing w:after="100"/>
      </w:pPr>
      <w:r>
        <w:t xml:space="preserve">RTB latency constraints require strict performance targets: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000"/>
        <w:gridCol w:w="2400"/>
        <w:gridCol w:w="34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Target Latency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Total RTB Response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&lt;100ms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Industry standard timeout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Bid Request Analysis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&lt;10ms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Edge function processing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Identity Resolution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&lt;20ms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EID lookup and enrichment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Analytics Logging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Async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Non-blocking event stream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Daily Capacity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1B+ requests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Scalable to enterprise level</w:t>
            </w:r>
          </w:p>
        </w:tc>
      </w:tr>
    </w:tbl>
    <w:p>
      <w:pPr>
        <w:spacing w:before="400"/>
      </w:pPr>
    </w:p>
    <w:p>
      <w:r>
        <w:br w:type="page"/>
      </w:r>
    </w:p>
    <w:p>
      <w:pPr>
        <w:pStyle w:val="Heading1"/>
      </w:pPr>
      <w:r>
        <w:t xml:space="preserve">Implementation Roadmap</w:t>
      </w:r>
    </w:p>
    <w:p>
      <w:pPr>
        <w:pStyle w:val="Heading2"/>
      </w:pPr>
      <w:r>
        <w:t xml:space="preserve">Phase 1: Manual Analysis (Months 1-2)</w:t>
      </w:r>
    </w:p>
    <w:p>
      <w:pPr>
        <w:pStyle w:val="ListParagraph"/>
        <w:numPr>
          <w:ilvl w:val="0"/>
          <w:numId w:val="10"/>
        </w:numPr>
      </w:pPr>
      <w:r>
        <w:t xml:space="preserve">Build bid request capture at edge layer</w:t>
      </w:r>
    </w:p>
    <w:p>
      <w:pPr>
        <w:pStyle w:val="ListParagraph"/>
        <w:numPr>
          <w:ilvl w:val="0"/>
          <w:numId w:val="10"/>
        </w:numPr>
      </w:pPr>
      <w:r>
        <w:t xml:space="preserve">Implement OpenRTB field parsing and validation</w:t>
      </w:r>
    </w:p>
    <w:p>
      <w:pPr>
        <w:pStyle w:val="ListParagraph"/>
        <w:numPr>
          <w:ilvl w:val="0"/>
          <w:numId w:val="10"/>
        </w:numPr>
      </w:pPr>
      <w:r>
        <w:t xml:space="preserve">Create signal scoring algorithms</w:t>
      </w:r>
    </w:p>
    <w:p>
      <w:pPr>
        <w:pStyle w:val="ListParagraph"/>
        <w:numPr>
          <w:ilvl w:val="0"/>
          <w:numId w:val="10"/>
        </w:numPr>
      </w:pPr>
      <w:r>
        <w:t xml:space="preserve">Deploy basic comparison dashboard</w:t>
      </w:r>
    </w:p>
    <w:p>
      <w:pPr>
        <w:pStyle w:val="ListParagraph"/>
        <w:numPr>
          <w:ilvl w:val="0"/>
          <w:numId w:val="10"/>
        </w:numPr>
        <w:spacing w:after="200"/>
      </w:pPr>
      <w:r>
        <w:t xml:space="preserve">Manual analysis for pilot publishers</w:t>
      </w:r>
    </w:p>
    <w:p>
      <w:pPr>
        <w:pStyle w:val="Heading2"/>
      </w:pPr>
      <w:r>
        <w:t xml:space="preserve">Phase 2: Automated Analysis (Months 3-4)</w:t>
      </w:r>
    </w:p>
    <w:p>
      <w:pPr>
        <w:pStyle w:val="ListParagraph"/>
        <w:numPr>
          <w:ilvl w:val="0"/>
          <w:numId w:val="3"/>
        </w:numPr>
      </w:pPr>
      <w:r>
        <w:t xml:space="preserve">DSP response tracking integration</w:t>
      </w:r>
    </w:p>
    <w:p>
      <w:pPr>
        <w:pStyle w:val="ListParagraph"/>
        <w:numPr>
          <w:ilvl w:val="0"/>
          <w:numId w:val="3"/>
        </w:numPr>
      </w:pPr>
      <w:r>
        <w:t xml:space="preserve">Automated gap detection algorithms</w:t>
      </w:r>
    </w:p>
    <w:p>
      <w:pPr>
        <w:pStyle w:val="ListParagraph"/>
        <w:numPr>
          <w:ilvl w:val="0"/>
          <w:numId w:val="3"/>
        </w:numPr>
      </w:pPr>
      <w:r>
        <w:t xml:space="preserve">Real-time alerting system</w:t>
      </w:r>
    </w:p>
    <w:p>
      <w:pPr>
        <w:pStyle w:val="ListParagraph"/>
        <w:numPr>
          <w:ilvl w:val="0"/>
          <w:numId w:val="3"/>
        </w:numPr>
      </w:pPr>
      <w:r>
        <w:t xml:space="preserve">Recommendation engine v1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Publisher self-serve portal</w:t>
      </w:r>
    </w:p>
    <w:p>
      <w:pPr>
        <w:pStyle w:val="Heading2"/>
      </w:pPr>
      <w:r>
        <w:t xml:space="preserve">Phase 3: ML-Powered Optimization (Months 5-6)</w:t>
      </w:r>
    </w:p>
    <w:p>
      <w:pPr>
        <w:pStyle w:val="ListParagraph"/>
        <w:numPr>
          <w:ilvl w:val="0"/>
          <w:numId w:val="3"/>
        </w:numPr>
      </w:pPr>
      <w:r>
        <w:t xml:space="preserve">Predictive CPM modeling</w:t>
      </w:r>
    </w:p>
    <w:p>
      <w:pPr>
        <w:pStyle w:val="ListParagraph"/>
        <w:numPr>
          <w:ilvl w:val="0"/>
          <w:numId w:val="3"/>
        </w:numPr>
      </w:pPr>
      <w:r>
        <w:t xml:space="preserve">DSP-specific optimization paths</w:t>
      </w:r>
    </w:p>
    <w:p>
      <w:pPr>
        <w:pStyle w:val="ListParagraph"/>
        <w:numPr>
          <w:ilvl w:val="0"/>
          <w:numId w:val="3"/>
        </w:numPr>
      </w:pPr>
      <w:r>
        <w:t xml:space="preserve">Industry benchmarking database</w:t>
      </w:r>
    </w:p>
    <w:p>
      <w:pPr>
        <w:pStyle w:val="ListParagraph"/>
        <w:numPr>
          <w:ilvl w:val="0"/>
          <w:numId w:val="3"/>
        </w:numPr>
      </w:pPr>
      <w:r>
        <w:t xml:space="preserve">A/B testing framework</w:t>
      </w:r>
    </w:p>
    <w:p>
      <w:pPr>
        <w:pStyle w:val="ListParagraph"/>
        <w:numPr>
          <w:ilvl w:val="0"/>
          <w:numId w:val="3"/>
        </w:numPr>
        <w:spacing w:after="400"/>
      </w:pPr>
      <w:r>
        <w:t xml:space="preserve">Revenue impact attribution</w:t>
      </w:r>
    </w:p>
    <w:p>
      <w:pPr>
        <w:pStyle w:val="Heading1"/>
      </w:pPr>
      <w:r>
        <w:t xml:space="preserve">Success Metrics</w:t>
      </w:r>
    </w:p>
    <w:p>
      <w:pPr>
        <w:pStyle w:val="Heading2"/>
      </w:pPr>
      <w:r>
        <w:t xml:space="preserve">Publisher Outcomes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Match Rate Improvement: </w:t>
      </w:r>
      <w:r>
        <w:t xml:space="preserve">40-60% baseline → 70-90% target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CPM Lift: </w:t>
      </w:r>
      <w:r>
        <w:t xml:space="preserve">15-30% average revenue increase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Bid Response Rate: </w:t>
      </w:r>
      <w:r>
        <w:t xml:space="preserve">57%+ improvement with proper enrichment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Time to Value: </w:t>
      </w:r>
      <w:r>
        <w:t xml:space="preserve">&lt;30 days from onboarding</w:t>
      </w:r>
    </w:p>
    <w:p>
      <w:pPr>
        <w:pStyle w:val="Heading2"/>
      </w:pPr>
      <w:r>
        <w:t xml:space="preserve">Platform KPIs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Edge Latency: </w:t>
      </w:r>
      <w:r>
        <w:t xml:space="preserve">&lt;20ms for identity processing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Timeout Rate: </w:t>
      </w:r>
      <w:r>
        <w:t xml:space="preserve">&lt;5% (industry avg 10-15%)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Cookie Sync Success: </w:t>
      </w:r>
      <w:r>
        <w:t xml:space="preserve">85%+ across integrated DSPs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System Uptime: </w:t>
      </w:r>
      <w:r>
        <w:t xml:space="preserve">99.9%+</w:t>
      </w:r>
    </w:p>
    <w:p>
      <w:pPr>
        <w:pStyle w:val="Heading1"/>
      </w:pPr>
      <w:r>
        <w:t xml:space="preserve">Conclusion</w:t>
      </w:r>
    </w:p>
    <w:p>
      <w:pPr>
        <w:spacing w:after="200"/>
      </w:pPr>
      <w:r>
        <w:t xml:space="preserve">The Bid Request Comparison &amp; Analysis feature addresses a critical gap in publisher visibility by providing actionable insights into bid request quality, DSP response patterns, and revenue optimization opportunities. By combining edge-based analysis with automated recommendations, publishers can identify and capture the 30-50% revenue typically lost to incomplete bid requests, missing identity signals, and poor data enrichment.</w:t>
      </w:r>
    </w:p>
    <w:p>
      <w:pPr>
        <w:spacing w:after="200"/>
      </w:pPr>
      <w:r>
        <w:t xml:space="preserve">This capability positions The Nexus Engine as a true publisher advocate, demonstrating measurable value before any revenue share is collected. The performance-based model ensures alignment: we only succeed when publishers succeed.</w:t>
      </w:r>
    </w:p>
    <w:p>
      <w:pPr>
        <w:spacing w:before="400"/>
        <w:jc w:val="center"/>
      </w:pPr>
      <w:r>
        <w:rPr>
          <w:i/>
          <w:iCs/>
          <w:color w:val="666666"/>
        </w:rPr>
        <w:t xml:space="preserve">— End of Document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of </w:t>
    </w:r>
    <w:r>
      <w:rPr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666666"/>
        <w:sz w:val="18"/>
        <w:szCs w:val="18"/>
      </w:rPr>
      <w:t xml:space="preserve"> |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The Nexus Engine | Feature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6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a365d"/>
      <w:sz w:val="52"/>
      <w:szCs w:val="52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d4a6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d5a8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2025-12-26T17:19:11.191Z</dcterms:created>
  <dcterms:modified xsi:type="dcterms:W3CDTF">2025-12-26T17:19:11.192Z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