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Яссин.М.А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 [2]</w:t>
      </w:r>
    </w:p>
    <w:p>
      <w:pPr>
        <w:pStyle w:val="BodyText"/>
      </w:pPr>
      <w:r>
        <w:t xml:space="preserve">Apache HTTP-сервер — свободный веб-сервер. 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 [3]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подготовка-лабораторного-стен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Установили httpd. (??)</w:t>
      </w:r>
    </w:p>
    <w:p>
      <w:pPr>
        <w:pStyle w:val="CaptionedFigure"/>
      </w:pPr>
      <w:r>
        <w:drawing>
          <wp:inline>
            <wp:extent cx="3733800" cy="1013242"/>
            <wp:effectExtent b="0" l="0" r="0" t="0"/>
            <wp:docPr descr="Установка http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httpd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необходимо задали параметр ServerName. (??)</w:t>
      </w:r>
    </w:p>
    <w:p>
      <w:pPr>
        <w:pStyle w:val="CaptionedFigure"/>
      </w:pPr>
      <w:r>
        <w:drawing>
          <wp:inline>
            <wp:extent cx="3733800" cy="268987"/>
            <wp:effectExtent b="0" l="0" r="0" t="0"/>
            <wp:docPr descr="Задача параметра ServerName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Задача параметра ServerName</w:t>
      </w:r>
    </w:p>
    <w:p>
      <w:pPr>
        <w:numPr>
          <w:ilvl w:val="0"/>
          <w:numId w:val="1003"/>
        </w:numPr>
        <w:pStyle w:val="Compact"/>
      </w:pPr>
      <w:r>
        <w:t xml:space="preserve">Отключили фильтры. (??)</w:t>
      </w:r>
    </w:p>
    <w:p>
      <w:pPr>
        <w:pStyle w:val="CaptionedFigure"/>
      </w:pPr>
      <w:r>
        <w:drawing>
          <wp:inline>
            <wp:extent cx="3733800" cy="490456"/>
            <wp:effectExtent b="0" l="0" r="0" t="0"/>
            <wp:docPr descr="Отключение фильтр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фильтров</w:t>
      </w:r>
    </w:p>
    <w:bookmarkEnd w:id="31"/>
    <w:bookmarkStart w:id="92" w:name="основная-часть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Основная часть</w:t>
      </w:r>
    </w:p>
    <w:p>
      <w:pPr>
        <w:numPr>
          <w:ilvl w:val="0"/>
          <w:numId w:val="1004"/>
        </w:numPr>
        <w:pStyle w:val="Compact"/>
      </w:pPr>
      <w:r>
        <w:t xml:space="preserve">Убедились, что SELinux работает в режиме enforcing политики targeted. (??)</w:t>
      </w:r>
    </w:p>
    <w:p>
      <w:pPr>
        <w:pStyle w:val="CaptionedFigure"/>
      </w:pPr>
      <w:r>
        <w:drawing>
          <wp:inline>
            <wp:extent cx="3733800" cy="1992476"/>
            <wp:effectExtent b="0" l="0" r="0" t="0"/>
            <wp:docPr descr="Режим работы SELinux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работы SELinux</w:t>
      </w:r>
    </w:p>
    <w:p>
      <w:pPr>
        <w:numPr>
          <w:ilvl w:val="0"/>
          <w:numId w:val="1005"/>
        </w:numPr>
        <w:pStyle w:val="Compact"/>
      </w:pPr>
      <w:r>
        <w:t xml:space="preserve">Увидели, что сервер не работает и запустили его. (??, ?? )</w:t>
      </w:r>
    </w:p>
    <w:p>
      <w:pPr>
        <w:pStyle w:val="CaptionedFigure"/>
      </w:pPr>
      <w:r>
        <w:drawing>
          <wp:inline>
            <wp:extent cx="3733800" cy="1270314"/>
            <wp:effectExtent b="0" l="0" r="0" t="0"/>
            <wp:docPr descr="Проверка работы сервер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сервера</w:t>
      </w:r>
    </w:p>
    <w:p>
      <w:pPr>
        <w:pStyle w:val="CaptionedFigure"/>
      </w:pPr>
      <w:r>
        <w:drawing>
          <wp:inline>
            <wp:extent cx="3733800" cy="684530"/>
            <wp:effectExtent b="0" l="0" r="0" t="0"/>
            <wp:docPr descr="Запуск сервер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сервера</w:t>
      </w:r>
    </w:p>
    <w:p>
      <w:pPr>
        <w:numPr>
          <w:ilvl w:val="0"/>
          <w:numId w:val="1006"/>
        </w:numPr>
        <w:pStyle w:val="Compact"/>
      </w:pPr>
      <w:r>
        <w:t xml:space="preserve">Определили контекст безопасности Appache - unconfined_u:unconfined_r:unconfined_t. (??)</w:t>
      </w:r>
    </w:p>
    <w:p>
      <w:pPr>
        <w:pStyle w:val="CaptionedFigure"/>
      </w:pPr>
      <w:r>
        <w:drawing>
          <wp:inline>
            <wp:extent cx="3733800" cy="1097573"/>
            <wp:effectExtent b="0" l="0" r="0" t="0"/>
            <wp:docPr descr="Определение контекста безопасности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контекста безопасности</w:t>
      </w:r>
    </w:p>
    <w:p>
      <w:pPr>
        <w:numPr>
          <w:ilvl w:val="0"/>
          <w:numId w:val="1007"/>
        </w:numPr>
        <w:pStyle w:val="Compact"/>
      </w:pPr>
      <w:r>
        <w:t xml:space="preserve">Посмотрели текущее состояние переключателей SELinux для Apache. (??)</w:t>
      </w:r>
    </w:p>
    <w:p>
      <w:pPr>
        <w:pStyle w:val="CaptionedFigure"/>
      </w:pPr>
      <w:r>
        <w:drawing>
          <wp:inline>
            <wp:extent cx="3511603" cy="5578608"/>
            <wp:effectExtent b="0" l="0" r="0" t="0"/>
            <wp:docPr descr="Текущее состояние переключателей SELinux для Apache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557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состояние переключателей SELinux для Apache</w:t>
      </w:r>
    </w:p>
    <w:p>
      <w:pPr>
        <w:numPr>
          <w:ilvl w:val="0"/>
          <w:numId w:val="1008"/>
        </w:numPr>
        <w:pStyle w:val="Compact"/>
      </w:pPr>
      <w:r>
        <w:t xml:space="preserve">Посмотрели статистику по политике с помощью команды seinfo. (??)</w:t>
      </w:r>
    </w:p>
    <w:p>
      <w:pPr>
        <w:pStyle w:val="CaptionedFigure"/>
      </w:pPr>
      <w:r>
        <w:drawing>
          <wp:inline>
            <wp:extent cx="3733800" cy="3257777"/>
            <wp:effectExtent b="0" l="0" r="0" t="0"/>
            <wp:docPr descr="Статистика по политике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09"/>
        </w:numPr>
        <w:pStyle w:val="Compact"/>
      </w:pPr>
      <w:r>
        <w:t xml:space="preserve">Определили тип файлов и поддиректорий, находящихся в директории /var/www. (??)</w:t>
      </w:r>
    </w:p>
    <w:p>
      <w:pPr>
        <w:pStyle w:val="CaptionedFigure"/>
      </w:pPr>
      <w:r>
        <w:drawing>
          <wp:inline>
            <wp:extent cx="3733800" cy="474376"/>
            <wp:effectExtent b="0" l="0" r="0" t="0"/>
            <wp:docPr descr="Тип файлов и поддиректорий в /var/www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 в /var/www</w:t>
      </w:r>
    </w:p>
    <w:p>
      <w:pPr>
        <w:numPr>
          <w:ilvl w:val="0"/>
          <w:numId w:val="1010"/>
        </w:numPr>
        <w:pStyle w:val="Compact"/>
      </w:pPr>
      <w:r>
        <w:t xml:space="preserve">Определили тип файлов и поддиректорий, находящихся в директории /var/www/html. (??)</w:t>
      </w:r>
    </w:p>
    <w:p>
      <w:pPr>
        <w:pStyle w:val="CaptionedFigure"/>
      </w:pPr>
      <w:r>
        <w:drawing>
          <wp:inline>
            <wp:extent cx="3733800" cy="402566"/>
            <wp:effectExtent b="0" l="0" r="0" t="0"/>
            <wp:docPr descr="Тип файлов и поддиректорий в /var/www/html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 в /var/www/html</w:t>
      </w:r>
    </w:p>
    <w:p>
      <w:pPr>
        <w:numPr>
          <w:ilvl w:val="0"/>
          <w:numId w:val="1011"/>
        </w:numPr>
        <w:pStyle w:val="Compact"/>
      </w:pPr>
      <w:r>
        <w:t xml:space="preserve">Создали файл test.html и проверили его контест. (??)</w:t>
      </w:r>
    </w:p>
    <w:p>
      <w:pPr>
        <w:pStyle w:val="CaptionedFigure"/>
      </w:pPr>
      <w:r>
        <w:drawing>
          <wp:inline>
            <wp:extent cx="3733800" cy="658300"/>
            <wp:effectExtent b="0" l="0" r="0" t="0"/>
            <wp:docPr descr="Создание test.html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test.html</w:t>
      </w:r>
    </w:p>
    <w:p>
      <w:pPr>
        <w:numPr>
          <w:ilvl w:val="0"/>
          <w:numId w:val="1012"/>
        </w:numPr>
        <w:pStyle w:val="Compact"/>
      </w:pPr>
      <w:r>
        <w:t xml:space="preserve">Обратились к файлу через веб-сервер. (??)</w:t>
      </w:r>
    </w:p>
    <w:p>
      <w:pPr>
        <w:pStyle w:val="CaptionedFigure"/>
      </w:pPr>
      <w:r>
        <w:drawing>
          <wp:inline>
            <wp:extent cx="3733800" cy="1311488"/>
            <wp:effectExtent b="0" l="0" r="0" t="0"/>
            <wp:docPr descr="Обращение к файлу через браузер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</w:t>
      </w:r>
    </w:p>
    <w:p>
      <w:pPr>
        <w:numPr>
          <w:ilvl w:val="0"/>
          <w:numId w:val="1013"/>
        </w:numPr>
        <w:pStyle w:val="Compact"/>
      </w:pPr>
      <w:r>
        <w:t xml:space="preserve">Изменили контекст файла и проверили что он поменялся. (??)</w:t>
      </w:r>
    </w:p>
    <w:p>
      <w:pPr>
        <w:pStyle w:val="CaptionedFigure"/>
      </w:pPr>
      <w:r>
        <w:drawing>
          <wp:inline>
            <wp:extent cx="3733800" cy="396555"/>
            <wp:effectExtent b="0" l="0" r="0" t="0"/>
            <wp:docPr descr="Смена контекста test.html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контекста test.html</w:t>
      </w:r>
    </w:p>
    <w:p>
      <w:pPr>
        <w:numPr>
          <w:ilvl w:val="0"/>
          <w:numId w:val="1014"/>
        </w:numPr>
        <w:pStyle w:val="Compact"/>
      </w:pPr>
      <w:r>
        <w:t xml:space="preserve">Попробовали получить доступ к файлу через браузер. (??)</w:t>
      </w:r>
    </w:p>
    <w:p>
      <w:pPr>
        <w:pStyle w:val="CaptionedFigure"/>
      </w:pPr>
      <w:r>
        <w:drawing>
          <wp:inline>
            <wp:extent cx="3733800" cy="2062872"/>
            <wp:effectExtent b="0" l="0" r="0" t="0"/>
            <wp:docPr descr="Обращение к файлу через браузер после смены контекст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 после смены контекста</w:t>
      </w:r>
    </w:p>
    <w:p>
      <w:pPr>
        <w:numPr>
          <w:ilvl w:val="0"/>
          <w:numId w:val="1015"/>
        </w:numPr>
        <w:pStyle w:val="Compact"/>
      </w:pPr>
      <w:r>
        <w:t xml:space="preserve">Просмотрели системный лог-файл. Увидели, что проблема в смененном контексте. (??)</w:t>
      </w:r>
    </w:p>
    <w:p>
      <w:pPr>
        <w:pStyle w:val="CaptionedFigure"/>
      </w:pPr>
      <w:r>
        <w:drawing>
          <wp:inline>
            <wp:extent cx="3733800" cy="1267009"/>
            <wp:effectExtent b="0" l="0" r="0" t="0"/>
            <wp:docPr descr="Просмотр системного лог-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системного лог-файла</w:t>
      </w:r>
    </w:p>
    <w:p>
      <w:pPr>
        <w:numPr>
          <w:ilvl w:val="0"/>
          <w:numId w:val="1016"/>
        </w:numPr>
        <w:pStyle w:val="Compact"/>
      </w:pPr>
      <w:r>
        <w:t xml:space="preserve">Поменяли прослушивание TCP-порта на 81. (??)</w:t>
      </w:r>
    </w:p>
    <w:p>
      <w:pPr>
        <w:pStyle w:val="CaptionedFigure"/>
      </w:pPr>
      <w:r>
        <w:drawing>
          <wp:inline>
            <wp:extent cx="3733800" cy="962009"/>
            <wp:effectExtent b="0" l="0" r="0" t="0"/>
            <wp:docPr descr="Изменение прослушивания TCP-порт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прослушивания TCP-порта</w:t>
      </w:r>
    </w:p>
    <w:p>
      <w:pPr>
        <w:numPr>
          <w:ilvl w:val="0"/>
          <w:numId w:val="1017"/>
        </w:numPr>
        <w:pStyle w:val="Compact"/>
      </w:pPr>
      <w:r>
        <w:t xml:space="preserve">Перезапустили Apache, не получили ошибки. (??)</w:t>
      </w:r>
    </w:p>
    <w:p>
      <w:pPr>
        <w:pStyle w:val="CaptionedFigure"/>
      </w:pPr>
      <w:r>
        <w:drawing>
          <wp:inline>
            <wp:extent cx="3733800" cy="382159"/>
            <wp:effectExtent b="0" l="0" r="0" t="0"/>
            <wp:docPr descr="Перезапуск Apache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Apache</w:t>
      </w:r>
    </w:p>
    <w:p>
      <w:pPr>
        <w:numPr>
          <w:ilvl w:val="0"/>
          <w:numId w:val="1018"/>
        </w:numPr>
        <w:pStyle w:val="Compact"/>
      </w:pPr>
      <w:r>
        <w:t xml:space="preserve">Добавили порт 81 и проверили, что он появился в списке. (??)</w:t>
      </w:r>
    </w:p>
    <w:p>
      <w:pPr>
        <w:pStyle w:val="CaptionedFigure"/>
      </w:pPr>
      <w:r>
        <w:drawing>
          <wp:inline>
            <wp:extent cx="3733800" cy="459701"/>
            <wp:effectExtent b="0" l="0" r="0" t="0"/>
            <wp:docPr descr="Добавление порта 81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порта 81</w:t>
      </w:r>
    </w:p>
    <w:p>
      <w:pPr>
        <w:numPr>
          <w:ilvl w:val="0"/>
          <w:numId w:val="1019"/>
        </w:numPr>
        <w:pStyle w:val="Compact"/>
      </w:pPr>
      <w:r>
        <w:t xml:space="preserve">Перезапустили Apache, вернули изначальный контекст test.html. (??)</w:t>
      </w:r>
    </w:p>
    <w:p>
      <w:pPr>
        <w:pStyle w:val="CaptionedFigure"/>
      </w:pPr>
      <w:r>
        <w:drawing>
          <wp:inline>
            <wp:extent cx="3733800" cy="235464"/>
            <wp:effectExtent b="0" l="0" r="0" t="0"/>
            <wp:docPr descr="Перезапуск Apache, возвращение изначального контекста test.html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Apache, возвращение изначального контекста test.html</w:t>
      </w:r>
    </w:p>
    <w:p>
      <w:pPr>
        <w:numPr>
          <w:ilvl w:val="0"/>
          <w:numId w:val="1020"/>
        </w:numPr>
        <w:pStyle w:val="Compact"/>
      </w:pPr>
      <w:r>
        <w:t xml:space="preserve">Обратились к файлу через веб-сервер. (??)</w:t>
      </w:r>
    </w:p>
    <w:p>
      <w:pPr>
        <w:pStyle w:val="CaptionedFigure"/>
      </w:pPr>
      <w:r>
        <w:drawing>
          <wp:inline>
            <wp:extent cx="3350238" cy="1590594"/>
            <wp:effectExtent b="0" l="0" r="0" t="0"/>
            <wp:docPr descr="Обращение к файлу через браузер после возвращения контекст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 после возвращения контекста</w:t>
      </w:r>
    </w:p>
    <w:p>
      <w:pPr>
        <w:numPr>
          <w:ilvl w:val="0"/>
          <w:numId w:val="1021"/>
        </w:numPr>
        <w:pStyle w:val="Compact"/>
      </w:pPr>
      <w:r>
        <w:t xml:space="preserve">Вернули порт 80. (??)</w:t>
      </w:r>
    </w:p>
    <w:p>
      <w:pPr>
        <w:pStyle w:val="CaptionedFigure"/>
      </w:pPr>
      <w:r>
        <w:drawing>
          <wp:inline>
            <wp:extent cx="3733800" cy="1607792"/>
            <wp:effectExtent b="0" l="0" r="0" t="0"/>
            <wp:docPr descr="Возвращение порта 80 в httpd.conf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порта 80 в httpd.conf</w:t>
      </w:r>
    </w:p>
    <w:p>
      <w:pPr>
        <w:numPr>
          <w:ilvl w:val="0"/>
          <w:numId w:val="1022"/>
        </w:numPr>
        <w:pStyle w:val="Compact"/>
      </w:pPr>
      <w:r>
        <w:t xml:space="preserve">Ввели команду для удаления порта 81 из списка. Удалили файл test.html. (??)</w:t>
      </w:r>
    </w:p>
    <w:p>
      <w:pPr>
        <w:pStyle w:val="CaptionedFigure"/>
      </w:pPr>
      <w:r>
        <w:drawing>
          <wp:inline>
            <wp:extent cx="3733800" cy="484011"/>
            <wp:effectExtent b="0" l="0" r="0" t="0"/>
            <wp:docPr descr="Работа команды удаления порта 81 и удаление test.html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удаления порта 81 и удаление test.html</w:t>
      </w:r>
    </w:p>
    <w:bookmarkEnd w:id="92"/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 и проверена работа SELinux на практике совместно с веб-сервером Apache.</w:t>
      </w:r>
    </w:p>
    <w:bookmarkEnd w:id="94"/>
    <w:bookmarkStart w:id="95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23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23"/>
        </w:numPr>
        <w:pStyle w:val="Compact"/>
      </w:pPr>
      <w:r>
        <w:t xml:space="preserve">Wikipedia: SELinux (URL: https://ru.wikipedia.org/wiki/SELinux)</w:t>
      </w:r>
    </w:p>
    <w:p>
      <w:pPr>
        <w:numPr>
          <w:ilvl w:val="0"/>
          <w:numId w:val="1023"/>
        </w:numPr>
        <w:pStyle w:val="Compact"/>
      </w:pPr>
      <w:r>
        <w:t xml:space="preserve">Wikipedia: Apache HTTP Server (URL: https://ru.wikipedia.org/wiki/Apache_HTTP_Server)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Яссин.М.А</dc:creator>
  <dc:language>ru-RU</dc:language>
  <cp:keywords/>
  <dcterms:created xsi:type="dcterms:W3CDTF">2023-10-14T09:40:09Z</dcterms:created>
  <dcterms:modified xsi:type="dcterms:W3CDTF">2023-10-14T09:40:09Z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Мандатное разграничение прав в Linux.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