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0.png" ContentType="image/png"/>
  <Override PartName="/word/media/rId26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24.png" ContentType="image/png"/>
  <Override PartName="/word/media/rId120.png" ContentType="image/png"/>
  <Override PartName="/word/media/rId132.png" ContentType="image/png"/>
  <Override PartName="/word/media/rId1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Стрижов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подпрограмм в NASM</w:t>
      </w:r>
    </w:p>
    <w:p>
      <w:pPr>
        <w:numPr>
          <w:ilvl w:val="0"/>
          <w:numId w:val="1001"/>
        </w:numPr>
        <w:pStyle w:val="Compact"/>
      </w:pPr>
      <w:r>
        <w:t xml:space="preserve">Отладка программам с помощью GDB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1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реализация-подпрограмм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Создаю каталог для выполнения лабораторной работы № 9, перехожу в него и создаю файл lab09-1.asm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982072"/>
            <wp:effectExtent b="0" l="0" r="0" t="0"/>
            <wp:docPr descr="Figure 1: Предварительная подготовка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5-18-39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Предварительная подготовка</w:t>
      </w:r>
    </w:p>
    <w:bookmarkEnd w:id="0"/>
    <w:p>
      <w:pPr>
        <w:pStyle w:val="BodyText"/>
      </w:pPr>
      <w:r>
        <w:t xml:space="preserve">Копирую программу из листинга 1, добавляю подпрограмму _subcalcul, которая вычисляет функцию g(x)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147079"/>
            <wp:effectExtent b="0" l="0" r="0" t="0"/>
            <wp:docPr descr="Figure 2: Реализация подпрограммы _subcalcul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5-39-1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Реализация подпрограммы _subcalcul</w:t>
      </w:r>
    </w:p>
    <w:bookmarkEnd w:id="0"/>
    <w:p>
      <w:pPr>
        <w:pStyle w:val="BodyText"/>
      </w:pPr>
      <w:r>
        <w:t xml:space="preserve">Вот что получается в итоге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982072"/>
            <wp:effectExtent b="0" l="0" r="0" t="0"/>
            <wp:docPr descr="Figure 3: Вывод программы с подпрограммой _subcalcul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5-38-5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Вывод программы с подпрограммой _subcalcul</w:t>
      </w:r>
    </w:p>
    <w:bookmarkEnd w:id="0"/>
    <w:bookmarkEnd w:id="34"/>
    <w:bookmarkStart w:id="119" w:name="отладка-программам-с-помощью-gd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Создаю файл lab09-2.asm, куда вписываю программу из листинга 2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, 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14251"/>
            <wp:effectExtent b="0" l="0" r="0" t="0"/>
            <wp:docPr descr="Figure 4: Создание lab09-2.asm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5-43-29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Создание lab09-2.asm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178931"/>
            <wp:effectExtent b="0" l="0" r="0" t="0"/>
            <wp:docPr descr="Figure 5: Содержимое lab09-2.asm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5-44-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Содержимое lab09-2.asm</w:t>
      </w:r>
    </w:p>
    <w:bookmarkEnd w:id="0"/>
    <w:p>
      <w:pPr>
        <w:pStyle w:val="BodyText"/>
      </w:pPr>
      <w:r>
        <w:t xml:space="preserve">Получаю исполняемый файл, при этом указывая ключ</w:t>
      </w:r>
      <w:r>
        <w:t xml:space="preserve"> </w:t>
      </w:r>
      <w:r>
        <w:t xml:space="preserve">“</w:t>
      </w:r>
      <w:r>
        <w:t xml:space="preserve">-g</w:t>
      </w:r>
      <w:r>
        <w:t xml:space="preserve">”</w:t>
      </w:r>
      <w:r>
        <w:t xml:space="preserve"> </w:t>
      </w:r>
      <w:r>
        <w:t xml:space="preserve">для работы с GDB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57433"/>
            <wp:effectExtent b="0" l="0" r="0" t="0"/>
            <wp:docPr descr="Figure 6: Подготовка для работы с отладчиком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5-45-1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Подготовка для работы с отладчиком</w:t>
      </w:r>
    </w:p>
    <w:bookmarkEnd w:id="0"/>
    <w:p>
      <w:pPr>
        <w:pStyle w:val="BodyText"/>
      </w:pPr>
      <w:r>
        <w:t xml:space="preserve">Загружаю исполняемый файл в отладчик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675206"/>
            <wp:effectExtent b="0" l="0" r="0" t="0"/>
            <wp:docPr descr="Figure 7: Загрузка исполняемого файла в отладчик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5-45-5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Загрузка исполняемого файла в отладчик</w:t>
      </w:r>
    </w:p>
    <w:bookmarkEnd w:id="0"/>
    <w:p>
      <w:pPr>
        <w:pStyle w:val="BodyText"/>
      </w:pPr>
      <w:r>
        <w:t xml:space="preserve">Проверяю работы программы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623667"/>
            <wp:effectExtent b="0" l="0" r="0" t="0"/>
            <wp:docPr descr="Figure 8: Проверка раоты программы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5-56-4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Проверка раоты программы</w:t>
      </w:r>
    </w:p>
    <w:bookmarkEnd w:id="0"/>
    <w:p>
      <w:pPr>
        <w:pStyle w:val="BodyText"/>
      </w:pPr>
      <w:r>
        <w:t xml:space="preserve">Ставим метку и снова запускаем программу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058593"/>
            <wp:effectExtent b="0" l="0" r="0" t="0"/>
            <wp:docPr descr="Figure 9: Проверка программу с меткой" title="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5-57-3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Проверка программу с меткой</w:t>
      </w:r>
    </w:p>
    <w:bookmarkEnd w:id="0"/>
    <w:p>
      <w:pPr>
        <w:pStyle w:val="BodyText"/>
      </w:pPr>
      <w:r>
        <w:t xml:space="preserve">Просматриваю дисассимилированный код программы с помощью команды disassemble начиная с метки _start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2412609"/>
            <wp:effectExtent b="0" l="0" r="0" t="0"/>
            <wp:docPr descr="Figure 10: Дисассимилированный код программы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5-58-4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2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Дисассимилированный код программы</w:t>
      </w:r>
    </w:p>
    <w:bookmarkEnd w:id="0"/>
    <w:p>
      <w:pPr>
        <w:pStyle w:val="BodyText"/>
      </w:pPr>
      <w:r>
        <w:t xml:space="preserve">Переключаюсь на отображение команд с Intel’овским синтаксисом, введя команду set disassembly-flavor intel, различия отображения в синтаксисе ATT, а именно знак % перед регистром и регистры при написании программ меняются местами, например, в при выполнении команды mov значения из первого регистра переходят во второй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2543907"/>
            <wp:effectExtent b="0" l="0" r="0" t="0"/>
            <wp:docPr descr="Figure 11: Переключание на отображение команд с Intel’овским синтаксисом" title="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5-59-2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Переключание на отображение команд с Intel’овским синтаксисом</w:t>
      </w:r>
    </w:p>
    <w:bookmarkEnd w:id="0"/>
    <w:p>
      <w:pPr>
        <w:pStyle w:val="BodyText"/>
      </w:pPr>
      <w:r>
        <w:t xml:space="preserve">Включаю режим псевдографики для более удобного анализа программы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3405553"/>
            <wp:effectExtent b="0" l="0" r="0" t="0"/>
            <wp:docPr descr="Figure 12: Режим псевдографики" title="" id="6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6-02-58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Режим псевдографики</w:t>
      </w:r>
    </w:p>
    <w:bookmarkEnd w:id="0"/>
    <w:p>
      <w:pPr>
        <w:pStyle w:val="BodyText"/>
      </w:pPr>
      <w:r>
        <w:t xml:space="preserve">Проверяю точку останова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400726"/>
            <wp:effectExtent b="0" l="0" r="0" t="0"/>
            <wp:docPr descr="Figure 13: Проверка точки останова" title="" id="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6-11-49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Проверка точки останова</w:t>
      </w:r>
    </w:p>
    <w:bookmarkEnd w:id="0"/>
    <w:p>
      <w:pPr>
        <w:pStyle w:val="BodyText"/>
      </w:pPr>
      <w:r>
        <w:t xml:space="preserve">Установка новой точки останова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714810"/>
            <wp:effectExtent b="0" l="0" r="0" t="0"/>
            <wp:docPr descr="Figure 14: Новая точка останова" title="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6-11-5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Новая точка останова</w:t>
      </w:r>
    </w:p>
    <w:bookmarkEnd w:id="0"/>
    <w:p>
      <w:pPr>
        <w:pStyle w:val="BodyText"/>
      </w:pPr>
      <w:r>
        <w:t xml:space="preserve">Смотрю содержимое переменной msg1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227439"/>
            <wp:effectExtent b="0" l="0" r="0" t="0"/>
            <wp:docPr descr="Figure 15: Содержимое переменной msg1" title="" id="8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6-16-0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Содержимое переменной msg1</w:t>
      </w:r>
    </w:p>
    <w:bookmarkEnd w:id="0"/>
    <w:p>
      <w:pPr>
        <w:pStyle w:val="BodyText"/>
      </w:pPr>
      <w:r>
        <w:t xml:space="preserve">Смотрю значение переменной msg2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227439"/>
            <wp:effectExtent b="0" l="0" r="0" t="0"/>
            <wp:docPr descr="Figure 16: Значение переменной msg2" title="" id="8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6-32-23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Значение переменной msg2</w:t>
      </w:r>
    </w:p>
    <w:bookmarkEnd w:id="0"/>
    <w:p>
      <w:pPr>
        <w:pStyle w:val="BodyText"/>
      </w:pPr>
      <w:r>
        <w:t xml:space="preserve">Изменяем значения переменной msg1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314083"/>
            <wp:effectExtent b="0" l="0" r="0" t="0"/>
            <wp:docPr descr="Figure 17: Измененнная переменная msg1" title="" id="8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6-37-3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Измененнная переменная msg1</w:t>
      </w:r>
    </w:p>
    <w:bookmarkEnd w:id="0"/>
    <w:p>
      <w:pPr>
        <w:pStyle w:val="BodyText"/>
      </w:pPr>
      <w:r>
        <w:t xml:space="preserve">Делаю то же самое с переменной msg2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314083"/>
            <wp:effectExtent b="0" l="0" r="0" t="0"/>
            <wp:docPr descr="Figure 18: Измененная переменная msg2" title="" id="9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6-38-22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Измененная переменная msg2</w:t>
      </w:r>
    </w:p>
    <w:bookmarkEnd w:id="0"/>
    <w:p>
      <w:pPr>
        <w:pStyle w:val="BodyText"/>
      </w:pPr>
      <w:r>
        <w:t xml:space="preserve">Меняю значение регистра ebx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334000" cy="314083"/>
            <wp:effectExtent b="0" l="0" r="0" t="0"/>
            <wp:docPr descr="Figure 19: Регистр ebx" title="" id="9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6-39-4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Регистр ebx</w:t>
      </w:r>
    </w:p>
    <w:bookmarkEnd w:id="0"/>
    <w:p>
      <w:pPr>
        <w:pStyle w:val="BodyText"/>
      </w:pPr>
      <w:r>
        <w:t xml:space="preserve">И снова, причина разницы значений заключается в том, что в первом случае мы передаем строку, а во втором число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314083"/>
            <wp:effectExtent b="0" l="0" r="0" t="0"/>
            <wp:docPr descr="Figure 20: Изменения регистра ebx" title="" id="10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6-40-43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Изменения регистра ebx</w:t>
      </w:r>
    </w:p>
    <w:bookmarkEnd w:id="0"/>
    <w:p>
      <w:pPr>
        <w:pStyle w:val="BodyText"/>
      </w:pPr>
      <w:r>
        <w:t xml:space="preserve">Копирую файл lab8-2.asm, созданный при выполнении лабораторной работы №8, с программой выводящей на экран аргументы командной строки (Листинг 8.2) в файл с именем lab09-3.asm(рис.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314083"/>
            <wp:effectExtent b="0" l="0" r="0" t="0"/>
            <wp:docPr descr="Figure 21: Подготовка к дальнейшей работе" title="" id="10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6-47-0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Подготовка к дальнейшей работе</w:t>
      </w:r>
    </w:p>
    <w:bookmarkEnd w:id="0"/>
    <w:p>
      <w:pPr>
        <w:pStyle w:val="BodyText"/>
      </w:pPr>
      <w:r>
        <w:t xml:space="preserve">Загружаю программу в отладчик, устанавлюваю точку останова и запускаю программу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10" w:name="fig:022"/>
      <w:r>
        <w:drawing>
          <wp:inline>
            <wp:extent cx="5334000" cy="693149"/>
            <wp:effectExtent b="0" l="0" r="0" t="0"/>
            <wp:docPr descr="Figure 22: Работа переданной программы в отладчике" title="" id="10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6-48-13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22: Работа переданной программы в отладчике</w:t>
      </w:r>
    </w:p>
    <w:bookmarkEnd w:id="0"/>
    <w:p>
      <w:pPr>
        <w:pStyle w:val="BodyText"/>
      </w:pPr>
      <w:r>
        <w:t xml:space="preserve">Смотрим, что находиться в регистре esp (стек)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14" w:name="fig:023"/>
      <w:r>
        <w:drawing>
          <wp:inline>
            <wp:extent cx="5334000" cy="232854"/>
            <wp:effectExtent b="0" l="0" r="0" t="0"/>
            <wp:docPr descr="Figure 23: Регистр esp" title="" id="11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6-49-00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23: Регистр esp</w:t>
      </w:r>
    </w:p>
    <w:bookmarkEnd w:id="0"/>
    <w:p>
      <w:pPr>
        <w:pStyle w:val="BodyText"/>
      </w:pPr>
      <w:r>
        <w:t xml:space="preserve">Рассматриваем прочие значения стека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18" w:name="fig:024"/>
      <w:r>
        <w:drawing>
          <wp:inline>
            <wp:extent cx="5334000" cy="1397128"/>
            <wp:effectExtent b="0" l="0" r="0" t="0"/>
            <wp:docPr descr="Figure 24: Прочие значения стека" title="" id="11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6%2016-52-08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Figure 24: Прочие значения стека</w:t>
      </w:r>
    </w:p>
    <w:bookmarkEnd w:id="0"/>
    <w:p>
      <w:pPr>
        <w:pStyle w:val="BodyText"/>
      </w:pPr>
      <w:r>
        <w:t xml:space="preserve">Знак изменения равен 4, вероятно, потому, что адрес записывается в 16-тиричной системе исчесления.</w:t>
      </w:r>
    </w:p>
    <w:bookmarkEnd w:id="119"/>
    <w:bookmarkStart w:id="13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Меняю программу, добавляя подпрограмму, которая считает функцию отдельно (рис.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</w:t>
      </w:r>
    </w:p>
    <w:bookmarkStart w:id="0" w:name="fig:025"/>
    <w:p>
      <w:pPr>
        <w:pStyle w:val="CaptionedFigure"/>
      </w:pPr>
      <w:bookmarkStart w:id="123" w:name="fig:025"/>
      <w:r>
        <w:drawing>
          <wp:inline>
            <wp:extent cx="5334000" cy="2938977"/>
            <wp:effectExtent b="0" l="0" r="0" t="0"/>
            <wp:docPr descr="Figure 25: Подпрограмма summ" title="" id="12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18-02-37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</w:p>
    <w:p>
      <w:pPr>
        <w:pStyle w:val="ImageCaption"/>
      </w:pPr>
      <w:r>
        <w:t xml:space="preserve">Figure 25: Подпрограмма summ</w:t>
      </w:r>
    </w:p>
    <w:bookmarkEnd w:id="0"/>
    <w:p>
      <w:pPr>
        <w:pStyle w:val="BodyText"/>
      </w:pPr>
      <w:r>
        <w:t xml:space="preserve">Получаю следующий результат (рис.</w:t>
      </w:r>
      <w:r>
        <w:t xml:space="preserve"> </w:t>
      </w:r>
      <w:hyperlink w:anchor="fig:026">
        <w:r>
          <w:rPr>
            <w:rStyle w:val="Hyperlink"/>
          </w:rPr>
          <w:t xml:space="preserve">26</w:t>
        </w:r>
      </w:hyperlink>
      <w:r>
        <w:t xml:space="preserve">).</w:t>
      </w:r>
    </w:p>
    <w:bookmarkStart w:id="0" w:name="fig:026"/>
    <w:p>
      <w:pPr>
        <w:pStyle w:val="CaptionedFigure"/>
      </w:pPr>
      <w:bookmarkStart w:id="127" w:name="fig:026"/>
      <w:r>
        <w:drawing>
          <wp:inline>
            <wp:extent cx="5334000" cy="941771"/>
            <wp:effectExtent b="0" l="0" r="0" t="0"/>
            <wp:docPr descr="Figure 26: Результат вычислений" title="" id="1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18-02-13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7"/>
    </w:p>
    <w:p>
      <w:pPr>
        <w:pStyle w:val="ImageCaption"/>
      </w:pPr>
      <w:r>
        <w:t xml:space="preserve">Figure 26: Результат вычислений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Меняю программу из листинга, чтобы выводился правильный результат (рис.</w:t>
      </w:r>
      <w:r>
        <w:t xml:space="preserve"> </w:t>
      </w:r>
      <w:hyperlink w:anchor="fig:027">
        <w:r>
          <w:rPr>
            <w:rStyle w:val="Hyperlink"/>
          </w:rPr>
          <w:t xml:space="preserve">27</w:t>
        </w:r>
      </w:hyperlink>
      <w:r>
        <w:t xml:space="preserve">).</w:t>
      </w:r>
    </w:p>
    <w:bookmarkStart w:id="0" w:name="fig:027"/>
    <w:p>
      <w:pPr>
        <w:pStyle w:val="CaptionedFigure"/>
      </w:pPr>
      <w:bookmarkStart w:id="131" w:name="fig:027"/>
      <w:r>
        <w:drawing>
          <wp:inline>
            <wp:extent cx="3683000" cy="3759200"/>
            <wp:effectExtent b="0" l="0" r="0" t="0"/>
            <wp:docPr descr="Figure 27: Испрпавленная программа" title="" id="1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18-16-20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1"/>
    </w:p>
    <w:p>
      <w:pPr>
        <w:pStyle w:val="ImageCaption"/>
      </w:pPr>
      <w:r>
        <w:t xml:space="preserve">Figure 27: Испрпавленная программа</w:t>
      </w:r>
    </w:p>
    <w:bookmarkEnd w:id="0"/>
    <w:p>
      <w:pPr>
        <w:pStyle w:val="BodyText"/>
      </w:pPr>
      <w:r>
        <w:t xml:space="preserve">Проверяю её исполнение и получаю правильный результат (рис.</w:t>
      </w:r>
      <w:r>
        <w:t xml:space="preserve"> </w:t>
      </w:r>
      <w:hyperlink w:anchor="fig:028">
        <w:r>
          <w:rPr>
            <w:rStyle w:val="Hyperlink"/>
          </w:rPr>
          <w:t xml:space="preserve">28</w:t>
        </w:r>
      </w:hyperlink>
      <w:r>
        <w:t xml:space="preserve">).</w:t>
      </w:r>
    </w:p>
    <w:bookmarkStart w:id="0" w:name="fig:028"/>
    <w:p>
      <w:pPr>
        <w:pStyle w:val="CaptionedFigure"/>
      </w:pPr>
      <w:bookmarkStart w:id="135" w:name="fig:028"/>
      <w:r>
        <w:drawing>
          <wp:inline>
            <wp:extent cx="5334000" cy="519316"/>
            <wp:effectExtent b="0" l="0" r="0" t="0"/>
            <wp:docPr descr="Figure 28: Результат исправленной программы" title="" id="13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18-16-00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5"/>
    </w:p>
    <w:p>
      <w:pPr>
        <w:pStyle w:val="ImageCaption"/>
      </w:pPr>
      <w:r>
        <w:t xml:space="preserve">Figure 28: Результат исправленной программы</w:t>
      </w:r>
    </w:p>
    <w:bookmarkEnd w:id="0"/>
    <w:bookmarkEnd w:id="136"/>
    <w:bookmarkEnd w:id="137"/>
    <w:bookmarkStart w:id="1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 время выпонения работы я получил навыки написания программ с использованием подпрограмм и познакомился с методами отладки с помощью GDB и его основными осоьенностями.</w:t>
      </w:r>
    </w:p>
    <w:bookmarkEnd w:id="138"/>
    <w:bookmarkStart w:id="13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Debugging assembly with GDB. Источник: https://ncona.com/2019/12/debugging-assembly-with-gdb/</w:t>
      </w:r>
    </w:p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24" Target="media/rId124.png" /><Relationship Type="http://schemas.openxmlformats.org/officeDocument/2006/relationships/image" Id="rId120" Target="media/rId120.png" /><Relationship Type="http://schemas.openxmlformats.org/officeDocument/2006/relationships/image" Id="rId132" Target="media/rId132.png" /><Relationship Type="http://schemas.openxmlformats.org/officeDocument/2006/relationships/image" Id="rId128" Target="media/rId1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Стрижов Дмитрий Павлович</dc:creator>
  <dc:language>ru-RU</dc:language>
  <cp:keywords/>
  <dcterms:created xsi:type="dcterms:W3CDTF">2023-12-09T18:49:32Z</dcterms:created>
  <dcterms:modified xsi:type="dcterms:W3CDTF">2023-12-09T18:49:32Z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Дисциплина: Архитектура компьютера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