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5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9.png" ContentType="image/png"/>
  <Override PartName="/word/media/rId92.png" ContentType="image/png"/>
  <Override PartName="/word/media/rId96.png" ContentType="image/png"/>
  <Override PartName="/word/media/rId28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5.png" ContentType="image/png"/>
  <Override PartName="/word/media/rId122.png" ContentType="image/png"/>
  <Override PartName="/word/media/rId128.png" ContentType="image/png"/>
  <Override PartName="/word/media/rId31.png" ContentType="image/png"/>
  <Override PartName="/word/media/rId1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виртуальную машину</w:t>
      </w:r>
    </w:p>
    <w:p>
      <w:pPr>
        <w:numPr>
          <w:ilvl w:val="0"/>
          <w:numId w:val="1001"/>
        </w:numPr>
        <w:pStyle w:val="Compact"/>
      </w:pPr>
      <w:r>
        <w:t xml:space="preserve">Установить операционную систему</w:t>
      </w:r>
    </w:p>
    <w:p>
      <w:pPr>
        <w:numPr>
          <w:ilvl w:val="0"/>
          <w:numId w:val="1001"/>
        </w:numPr>
        <w:pStyle w:val="Compact"/>
      </w:pPr>
      <w:r>
        <w:t xml:space="preserve">После установки</w:t>
      </w:r>
    </w:p>
    <w:p>
      <w:pPr>
        <w:numPr>
          <w:ilvl w:val="0"/>
          <w:numId w:val="1001"/>
        </w:numPr>
        <w:pStyle w:val="Compact"/>
      </w:pPr>
      <w:r>
        <w:t xml:space="preserve">Установить драйвера VirtualBox</w:t>
      </w:r>
    </w:p>
    <w:p>
      <w:pPr>
        <w:numPr>
          <w:ilvl w:val="0"/>
          <w:numId w:val="1001"/>
        </w:numPr>
        <w:pStyle w:val="Compact"/>
      </w:pPr>
      <w:r>
        <w:t xml:space="preserve">Настроить раскладку клавиатуры</w:t>
      </w:r>
    </w:p>
    <w:p>
      <w:pPr>
        <w:numPr>
          <w:ilvl w:val="0"/>
          <w:numId w:val="1001"/>
        </w:numPr>
        <w:pStyle w:val="Compact"/>
      </w:pPr>
      <w:r>
        <w:t xml:space="preserve">Установить имя пользователя и хоста</w:t>
      </w:r>
    </w:p>
    <w:p>
      <w:pPr>
        <w:numPr>
          <w:ilvl w:val="0"/>
          <w:numId w:val="1001"/>
        </w:numPr>
        <w:pStyle w:val="Compact"/>
      </w:pPr>
      <w:r>
        <w:t xml:space="preserve">Установка необзодимого програмного обеспечения</w:t>
      </w:r>
    </w:p>
    <w:p>
      <w:pPr>
        <w:numPr>
          <w:ilvl w:val="0"/>
          <w:numId w:val="1001"/>
        </w:numPr>
        <w:pStyle w:val="Compact"/>
      </w:pPr>
      <w:r>
        <w:t xml:space="preserve">Домашнее задание</w:t>
      </w:r>
    </w:p>
    <w:p>
      <w:pPr>
        <w:numPr>
          <w:ilvl w:val="0"/>
          <w:numId w:val="1001"/>
        </w:numPr>
        <w:pStyle w:val="Compact"/>
      </w:pPr>
      <w:r>
        <w:t xml:space="preserve">Контрольные вопросы</w:t>
      </w:r>
    </w:p>
    <w:bookmarkEnd w:id="21"/>
    <w:bookmarkStart w:id="1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3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Заходим в VirtualBox(рис. 1).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VirtualBox</w:t>
      </w:r>
    </w:p>
    <w:p>
      <w:pPr>
        <w:pStyle w:val="BodyText"/>
      </w:pPr>
      <w:r>
        <w:t xml:space="preserve">Задаем имя виртуально машины, прикрепляем образ ОС (рис. 2).</w:t>
      </w:r>
    </w:p>
    <w:p>
      <w:pPr>
        <w:pStyle w:val="CaptionedFigure"/>
      </w:pPr>
      <w:r>
        <w:drawing>
          <wp:inline>
            <wp:extent cx="3733800" cy="2048983"/>
            <wp:effectExtent b="0" l="0" r="0" t="0"/>
            <wp:docPr descr="Начальрные настроки при создании виртулаьной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Начальрные настроки при создании виртулаьной машины</w:t>
      </w:r>
    </w:p>
    <w:p>
      <w:pPr>
        <w:pStyle w:val="BodyText"/>
      </w:pPr>
      <w:r>
        <w:t xml:space="preserve">Указываем нужное количество ОЗУ и ядер процессора (рис. 3).</w:t>
      </w:r>
    </w:p>
    <w:p>
      <w:pPr>
        <w:pStyle w:val="CaptionedFigure"/>
      </w:pPr>
      <w:r>
        <w:drawing>
          <wp:inline>
            <wp:extent cx="3733800" cy="2023024"/>
            <wp:effectExtent b="0" l="0" r="0" t="0"/>
            <wp:docPr descr="ОЗУ и процессор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ОЗУ и процессор</w:t>
      </w:r>
    </w:p>
    <w:p>
      <w:pPr>
        <w:pStyle w:val="BodyText"/>
      </w:pPr>
      <w:r>
        <w:t xml:space="preserve">Отводи 80 гб памяти для жествого диска (рис. 4).</w:t>
      </w:r>
    </w:p>
    <w:p>
      <w:pPr>
        <w:pStyle w:val="CaptionedFigure"/>
      </w:pPr>
      <w:r>
        <w:drawing>
          <wp:inline>
            <wp:extent cx="3733800" cy="1996112"/>
            <wp:effectExtent b="0" l="0" r="0" t="0"/>
            <wp:docPr descr="Жесткий диск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Жесткий диск</w:t>
      </w:r>
    </w:p>
    <w:p>
      <w:pPr>
        <w:pStyle w:val="BodyText"/>
      </w:pPr>
      <w:r>
        <w:t xml:space="preserve">Подключаем 3д-ускорение (рис. 5).</w:t>
      </w:r>
    </w:p>
    <w:p>
      <w:pPr>
        <w:pStyle w:val="CaptionedFigure"/>
      </w:pPr>
      <w:r>
        <w:drawing>
          <wp:inline>
            <wp:extent cx="3733800" cy="2751466"/>
            <wp:effectExtent b="0" l="0" r="0" t="0"/>
            <wp:docPr descr="3д-ускорение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3д-ускорение</w:t>
      </w:r>
    </w:p>
    <w:p>
      <w:pPr>
        <w:pStyle w:val="BodyText"/>
      </w:pPr>
      <w:r>
        <w:t xml:space="preserve">Включаем двунаправленный буфер обмена (рис. 6).</w:t>
      </w:r>
    </w:p>
    <w:p>
      <w:pPr>
        <w:pStyle w:val="CaptionedFigure"/>
      </w:pPr>
      <w:r>
        <w:drawing>
          <wp:inline>
            <wp:extent cx="3733800" cy="2746542"/>
            <wp:effectExtent b="0" l="0" r="0" t="0"/>
            <wp:docPr descr="Настройка буфера обмен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буфера обмена</w:t>
      </w:r>
    </w:p>
    <w:p>
      <w:pPr>
        <w:pStyle w:val="BodyText"/>
      </w:pPr>
      <w:r>
        <w:t xml:space="preserve">Подключаем UEFI (рис. 7).</w:t>
      </w:r>
    </w:p>
    <w:p>
      <w:pPr>
        <w:pStyle w:val="CaptionedFigure"/>
      </w:pPr>
      <w:r>
        <w:drawing>
          <wp:inline>
            <wp:extent cx="3733800" cy="2422150"/>
            <wp:effectExtent b="0" l="0" r="0" t="0"/>
            <wp:docPr descr="Подключение UEFI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Подключение UEFI</w:t>
      </w:r>
    </w:p>
    <w:bookmarkEnd w:id="43"/>
    <w:bookmarkStart w:id="59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Заходим в ОС (рис. 8).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пущенная ОС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Запущенная ОС</w:t>
      </w:r>
    </w:p>
    <w:p>
      <w:pPr>
        <w:pStyle w:val="BodyText"/>
      </w:pPr>
      <w:r>
        <w:t xml:space="preserve">С помощью комбинации клавиш win+d запускаем поисковик команд и переходим к нашему установщику (рис. 9).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пуск установщик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установщика</w:t>
      </w:r>
    </w:p>
    <w:p>
      <w:pPr>
        <w:pStyle w:val="BodyText"/>
      </w:pPr>
      <w:r>
        <w:t xml:space="preserve">Указываем язык (рис. 10).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Настройка язык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языка</w:t>
      </w:r>
    </w:p>
    <w:p>
      <w:pPr>
        <w:pStyle w:val="BodyText"/>
      </w:pPr>
      <w:r>
        <w:t xml:space="preserve">Проводим дальнейшие предварительные настройки (рис. 11).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Настройки установки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Настройки установки</w:t>
      </w:r>
    </w:p>
    <w:p>
      <w:pPr>
        <w:pStyle w:val="BodyText"/>
      </w:pPr>
      <w:r>
        <w:t xml:space="preserve">Изымаем оптический диск и перезапускаем виртуальную машину (рис. 12).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оследний штрих" title="" id="57" name="Picture"/>
            <a:graphic>
              <a:graphicData uri="http://schemas.openxmlformats.org/drawingml/2006/picture">
                <pic:pic>
                  <pic:nvPicPr>
                    <pic:cNvPr descr="image/1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Последний штрих</w:t>
      </w:r>
    </w:p>
    <w:bookmarkEnd w:id="59"/>
    <w:bookmarkStart w:id="69" w:name="после-установк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Заходим в режим администратора и устанавливаем обновления (рис. 13).</w:t>
      </w:r>
    </w:p>
    <w:p>
      <w:pPr>
        <w:pStyle w:val="CaptionedFigure"/>
      </w:pPr>
      <w:r>
        <w:drawing>
          <wp:inline>
            <wp:extent cx="3733800" cy="393959"/>
            <wp:effectExtent b="0" l="0" r="0" t="0"/>
            <wp:docPr descr="Установка обновлений" title="" id="61" name="Picture"/>
            <a:graphic>
              <a:graphicData uri="http://schemas.openxmlformats.org/drawingml/2006/picture">
                <pic:pic>
                  <pic:nvPicPr>
                    <pic:cNvPr descr="image/1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обновлений</w:t>
      </w:r>
    </w:p>
    <w:p>
      <w:pPr>
        <w:pStyle w:val="BodyText"/>
      </w:pPr>
      <w:r>
        <w:t xml:space="preserve">Устанавливаем программы для более удобной работы в консоли (рис. 14).</w:t>
      </w:r>
    </w:p>
    <w:p>
      <w:pPr>
        <w:pStyle w:val="CaptionedFigure"/>
      </w:pPr>
      <w:r>
        <w:drawing>
          <wp:inline>
            <wp:extent cx="3733800" cy="293702"/>
            <wp:effectExtent b="0" l="0" r="0" t="0"/>
            <wp:docPr descr="Установка программ для более удобной работы в консоли" title="" id="64" name="Picture"/>
            <a:graphic>
              <a:graphicData uri="http://schemas.openxmlformats.org/drawingml/2006/picture">
                <pic:pic>
                  <pic:nvPicPr>
                    <pic:cNvPr descr="image/1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программ для более удобной работы в консоли</w:t>
      </w:r>
    </w:p>
    <w:p>
      <w:pPr>
        <w:pStyle w:val="BodyText"/>
      </w:pPr>
      <w:r>
        <w:t xml:space="preserve">Отключаем SELinux (рис. 15).</w:t>
      </w:r>
    </w:p>
    <w:p>
      <w:pPr>
        <w:pStyle w:val="CaptionedFigure"/>
      </w:pPr>
      <w:r>
        <w:drawing>
          <wp:inline>
            <wp:extent cx="3733800" cy="310661"/>
            <wp:effectExtent b="0" l="0" r="0" t="0"/>
            <wp:docPr descr="Отключение SELinux’a" title="" id="67" name="Picture"/>
            <a:graphic>
              <a:graphicData uri="http://schemas.openxmlformats.org/drawingml/2006/picture">
                <pic:pic>
                  <pic:nvPicPr>
                    <pic:cNvPr descr="image/1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Отключение SELinux’a</w:t>
      </w:r>
    </w:p>
    <w:bookmarkEnd w:id="69"/>
    <w:bookmarkStart w:id="88" w:name="установка-драйверов-virtualbox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драйверов VirtualBox</w:t>
      </w:r>
    </w:p>
    <w:p>
      <w:pPr>
        <w:pStyle w:val="FirstParagraph"/>
      </w:pPr>
      <w:r>
        <w:t xml:space="preserve">Заходим в режим мультиплексора и, подключившись в пользователя-администратора, скачиваем средства разработки и пакет dkms (рис. 16, 17).</w:t>
      </w:r>
    </w:p>
    <w:p>
      <w:pPr>
        <w:pStyle w:val="CaptionedFigure"/>
      </w:pPr>
      <w:r>
        <w:drawing>
          <wp:inline>
            <wp:extent cx="3733800" cy="543416"/>
            <wp:effectExtent b="0" l="0" r="0" t="0"/>
            <wp:docPr descr="Установка средств разработки" title="" id="71" name="Picture"/>
            <a:graphic>
              <a:graphicData uri="http://schemas.openxmlformats.org/drawingml/2006/picture">
                <pic:pic>
                  <pic:nvPicPr>
                    <pic:cNvPr descr="image/2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средств разработки</w:t>
      </w:r>
    </w:p>
    <w:p>
      <w:pPr>
        <w:pStyle w:val="CaptionedFigure"/>
      </w:pPr>
      <w:r>
        <w:drawing>
          <wp:inline>
            <wp:extent cx="3733800" cy="303134"/>
            <wp:effectExtent b="0" l="0" r="0" t="0"/>
            <wp:docPr descr="Установка пакета dkms" title="" id="74" name="Picture"/>
            <a:graphic>
              <a:graphicData uri="http://schemas.openxmlformats.org/drawingml/2006/picture">
                <pic:pic>
                  <pic:nvPicPr>
                    <pic:cNvPr descr="image/2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пакета dkms</w:t>
      </w:r>
    </w:p>
    <w:p>
      <w:pPr>
        <w:pStyle w:val="BodyText"/>
      </w:pPr>
      <w:r>
        <w:t xml:space="preserve">Подключаем образ диска дополнений гостевой ОС (рис. 18).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одключения образа диска дополнений гостевой ОС" title="" id="77" name="Picture"/>
            <a:graphic>
              <a:graphicData uri="http://schemas.openxmlformats.org/drawingml/2006/picture">
                <pic:pic>
                  <pic:nvPicPr>
                    <pic:cNvPr descr="image/2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Подключения образа диска дополнений гостевой ОС</w:t>
      </w:r>
    </w:p>
    <w:p>
      <w:pPr>
        <w:pStyle w:val="BodyText"/>
      </w:pPr>
      <w:r>
        <w:t xml:space="preserve">Монтируем диск, уставливаем драйвера и перезапускаем систему (рис. 19, 20, 21).</w:t>
      </w:r>
    </w:p>
    <w:p>
      <w:pPr>
        <w:pStyle w:val="CaptionedFigure"/>
      </w:pPr>
      <w:r>
        <w:drawing>
          <wp:inline>
            <wp:extent cx="3733800" cy="234461"/>
            <wp:effectExtent b="0" l="0" r="0" t="0"/>
            <wp:docPr descr="Монтирование диска" title="" id="80" name="Picture"/>
            <a:graphic>
              <a:graphicData uri="http://schemas.openxmlformats.org/drawingml/2006/picture">
                <pic:pic>
                  <pic:nvPicPr>
                    <pic:cNvPr descr="image/2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Монтирование диска</w:t>
      </w:r>
    </w:p>
    <w:p>
      <w:pPr>
        <w:pStyle w:val="CaptionedFigure"/>
      </w:pPr>
      <w:r>
        <w:drawing>
          <wp:inline>
            <wp:extent cx="3733800" cy="233544"/>
            <wp:effectExtent b="0" l="0" r="0" t="0"/>
            <wp:docPr descr="Установка драйверов" title="" id="83" name="Picture"/>
            <a:graphic>
              <a:graphicData uri="http://schemas.openxmlformats.org/drawingml/2006/picture">
                <pic:pic>
                  <pic:nvPicPr>
                    <pic:cNvPr descr="image/2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драйверов</w:t>
      </w:r>
    </w:p>
    <w:p>
      <w:pPr>
        <w:pStyle w:val="CaptionedFigure"/>
      </w:pPr>
      <w:r>
        <w:drawing>
          <wp:inline>
            <wp:extent cx="3733800" cy="233180"/>
            <wp:effectExtent b="0" l="0" r="0" t="0"/>
            <wp:docPr descr="Перезапуск системы" title="" id="86" name="Picture"/>
            <a:graphic>
              <a:graphicData uri="http://schemas.openxmlformats.org/drawingml/2006/picture">
                <pic:pic>
                  <pic:nvPicPr>
                    <pic:cNvPr descr="image/2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Перезапуск системы</w:t>
      </w:r>
    </w:p>
    <w:bookmarkEnd w:id="88"/>
    <w:bookmarkStart w:id="95" w:name="настрока-раскладки-клавиатуры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Настрока раскладки клавиатуры</w:t>
      </w:r>
    </w:p>
    <w:p>
      <w:pPr>
        <w:pStyle w:val="FirstParagraph"/>
      </w:pPr>
      <w:r>
        <w:t xml:space="preserve">Редактируем конфигурационный файл (рис. 22).</w:t>
      </w:r>
    </w:p>
    <w:p>
      <w:pPr>
        <w:pStyle w:val="CaptionedFigure"/>
      </w:pPr>
      <w:r>
        <w:drawing>
          <wp:inline>
            <wp:extent cx="3733800" cy="233910"/>
            <wp:effectExtent b="0" l="0" r="0" t="0"/>
            <wp:docPr descr="Редактирование конфигурационного файла" title="" id="90" name="Picture"/>
            <a:graphic>
              <a:graphicData uri="http://schemas.openxmlformats.org/drawingml/2006/picture">
                <pic:pic>
                  <pic:nvPicPr>
                    <pic:cNvPr descr="image/2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Редактирование конфигурационного файла</w:t>
      </w:r>
    </w:p>
    <w:p>
      <w:pPr>
        <w:pStyle w:val="BodyText"/>
      </w:pPr>
      <w:r>
        <w:t xml:space="preserve">Редактируем конфигурационный файл для отображения русского языка в будущем и перезапускаем систему (рис. 23).</w:t>
      </w:r>
    </w:p>
    <w:p>
      <w:pPr>
        <w:pStyle w:val="CaptionedFigure"/>
      </w:pPr>
      <w:r>
        <w:drawing>
          <wp:inline>
            <wp:extent cx="3733800" cy="722670"/>
            <wp:effectExtent b="0" l="0" r="0" t="0"/>
            <wp:docPr descr="Редактирование конфигурационного файла №2" title="" id="93" name="Picture"/>
            <a:graphic>
              <a:graphicData uri="http://schemas.openxmlformats.org/drawingml/2006/picture">
                <pic:pic>
                  <pic:nvPicPr>
                    <pic:cNvPr descr="image/2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Редактирование конфигурационного файла №2</w:t>
      </w:r>
    </w:p>
    <w:bookmarkEnd w:id="95"/>
    <w:bookmarkStart w:id="108" w:name="установка-имени-пользователя-и-хост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Установка имени пользователя и хоста</w:t>
      </w:r>
    </w:p>
    <w:p>
      <w:pPr>
        <w:pStyle w:val="FirstParagraph"/>
      </w:pPr>
      <w:r>
        <w:t xml:space="preserve">Задаем имя пользователю и пароль (рис. 24, 25).</w:t>
      </w:r>
    </w:p>
    <w:p>
      <w:pPr>
        <w:pStyle w:val="CaptionedFigure"/>
      </w:pPr>
      <w:r>
        <w:drawing>
          <wp:inline>
            <wp:extent cx="3733800" cy="411600"/>
            <wp:effectExtent b="0" l="0" r="0" t="0"/>
            <wp:docPr descr="Имя пользователя" title="" id="97" name="Picture"/>
            <a:graphic>
              <a:graphicData uri="http://schemas.openxmlformats.org/drawingml/2006/picture">
                <pic:pic>
                  <pic:nvPicPr>
                    <pic:cNvPr descr="image/2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Имя пользователя</w:t>
      </w:r>
    </w:p>
    <w:p>
      <w:pPr>
        <w:pStyle w:val="CaptionedFigure"/>
      </w:pPr>
      <w:r>
        <w:drawing>
          <wp:inline>
            <wp:extent cx="3733800" cy="296007"/>
            <wp:effectExtent b="0" l="0" r="0" t="0"/>
            <wp:docPr descr="Пароль" title="" id="100" name="Picture"/>
            <a:graphic>
              <a:graphicData uri="http://schemas.openxmlformats.org/drawingml/2006/picture">
                <pic:pic>
                  <pic:nvPicPr>
                    <pic:cNvPr descr="image/3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Пароль</w:t>
      </w:r>
    </w:p>
    <w:p>
      <w:pPr>
        <w:pStyle w:val="BodyText"/>
      </w:pPr>
      <w:r>
        <w:t xml:space="preserve">Задаем имя хоста и проверяем, все ли мы сделали правильно (рис. 26, 27).</w:t>
      </w:r>
    </w:p>
    <w:p>
      <w:pPr>
        <w:pStyle w:val="CaptionedFigure"/>
      </w:pPr>
      <w:r>
        <w:drawing>
          <wp:inline>
            <wp:extent cx="3733800" cy="242872"/>
            <wp:effectExtent b="0" l="0" r="0" t="0"/>
            <wp:docPr descr="Имя хоста" title="" id="103" name="Picture"/>
            <a:graphic>
              <a:graphicData uri="http://schemas.openxmlformats.org/drawingml/2006/picture">
                <pic:pic>
                  <pic:nvPicPr>
                    <pic:cNvPr descr="image/3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Имя хоста</w:t>
      </w:r>
    </w:p>
    <w:p>
      <w:pPr>
        <w:pStyle w:val="CaptionedFigure"/>
      </w:pPr>
      <w:r>
        <w:drawing>
          <wp:inline>
            <wp:extent cx="3733800" cy="233910"/>
            <wp:effectExtent b="0" l="0" r="0" t="0"/>
            <wp:docPr descr="Проверка" title="" id="106" name="Picture"/>
            <a:graphic>
              <a:graphicData uri="http://schemas.openxmlformats.org/drawingml/2006/picture">
                <pic:pic>
                  <pic:nvPicPr>
                    <pic:cNvPr descr="image/3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Проверка</w:t>
      </w:r>
    </w:p>
    <w:bookmarkEnd w:id="108"/>
    <w:bookmarkStart w:id="121" w:name="X78714a4f7589be6ef655925b729a035ba6a61fd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Установка необходимого програмного обеспечения</w:t>
      </w:r>
    </w:p>
    <w:p>
      <w:pPr>
        <w:pStyle w:val="FirstParagraph"/>
      </w:pPr>
      <w:r>
        <w:t xml:space="preserve">Устанавливаем pandoc (рис. 28).</w:t>
      </w:r>
    </w:p>
    <w:p>
      <w:pPr>
        <w:pStyle w:val="CaptionedFigure"/>
      </w:pPr>
      <w:r>
        <w:drawing>
          <wp:inline>
            <wp:extent cx="3733800" cy="240700"/>
            <wp:effectExtent b="0" l="0" r="0" t="0"/>
            <wp:docPr descr="Установка pandoc" title="" id="110" name="Picture"/>
            <a:graphic>
              <a:graphicData uri="http://schemas.openxmlformats.org/drawingml/2006/picture">
                <pic:pic>
                  <pic:nvPicPr>
                    <pic:cNvPr descr="image/3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Установка pandoc</w:t>
      </w:r>
    </w:p>
    <w:p>
      <w:pPr>
        <w:pStyle w:val="BodyText"/>
      </w:pPr>
      <w:r>
        <w:t xml:space="preserve">Устанавливаем pandoc-crossref (рис. 29, 30).</w:t>
      </w:r>
    </w:p>
    <w:p>
      <w:pPr>
        <w:pStyle w:val="CaptionedFigure"/>
      </w:pPr>
      <w:r>
        <w:drawing>
          <wp:inline>
            <wp:extent cx="3733800" cy="495347"/>
            <wp:effectExtent b="0" l="0" r="0" t="0"/>
            <wp:docPr descr="Распаковка архива" title="" id="113" name="Picture"/>
            <a:graphic>
              <a:graphicData uri="http://schemas.openxmlformats.org/drawingml/2006/picture">
                <pic:pic>
                  <pic:nvPicPr>
                    <pic:cNvPr descr="image/3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Распаковка архива</w:t>
      </w:r>
    </w:p>
    <w:p>
      <w:pPr>
        <w:pStyle w:val="CaptionedFigure"/>
      </w:pPr>
      <w:r>
        <w:drawing>
          <wp:inline>
            <wp:extent cx="3733800" cy="608925"/>
            <wp:effectExtent b="0" l="0" r="0" t="0"/>
            <wp:docPr descr="Установка pandoc-crossref" title="" id="116" name="Picture"/>
            <a:graphic>
              <a:graphicData uri="http://schemas.openxmlformats.org/drawingml/2006/picture">
                <pic:pic>
                  <pic:nvPicPr>
                    <pic:cNvPr descr="image/35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Установка pandoc-crossref</w:t>
      </w:r>
    </w:p>
    <w:p>
      <w:pPr>
        <w:pStyle w:val="BodyText"/>
      </w:pPr>
      <w:r>
        <w:t xml:space="preserve">Устанавливаем TeXLive (рис. 31).</w:t>
      </w:r>
    </w:p>
    <w:p>
      <w:pPr>
        <w:pStyle w:val="CaptionedFigure"/>
      </w:pPr>
      <w:r>
        <w:drawing>
          <wp:inline>
            <wp:extent cx="3733800" cy="655300"/>
            <wp:effectExtent b="0" l="0" r="0" t="0"/>
            <wp:docPr descr="Установка TeXLive" title="" id="119" name="Picture"/>
            <a:graphic>
              <a:graphicData uri="http://schemas.openxmlformats.org/drawingml/2006/picture">
                <pic:pic>
                  <pic:nvPicPr>
                    <pic:cNvPr descr="image/3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Установка TeXLive</w:t>
      </w:r>
    </w:p>
    <w:bookmarkEnd w:id="121"/>
    <w:bookmarkStart w:id="134" w:name="домашнее-задание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С помощью команды находим все нужные нам параметры (рис. 32, 33, 34, 35).</w:t>
      </w:r>
    </w:p>
    <w:p>
      <w:pPr>
        <w:pStyle w:val="CaptionedFigure"/>
      </w:pPr>
      <w:r>
        <w:drawing>
          <wp:inline>
            <wp:extent cx="3733800" cy="233071"/>
            <wp:effectExtent b="0" l="0" r="0" t="0"/>
            <wp:docPr descr="Linux Version" title="" id="123" name="Picture"/>
            <a:graphic>
              <a:graphicData uri="http://schemas.openxmlformats.org/drawingml/2006/picture">
                <pic:pic>
                  <pic:nvPicPr>
                    <pic:cNvPr descr="image/38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Linux Version</w:t>
      </w:r>
    </w:p>
    <w:p>
      <w:pPr>
        <w:pStyle w:val="CaptionedFigure"/>
      </w:pPr>
      <w:r>
        <w:drawing>
          <wp:inline>
            <wp:extent cx="3733800" cy="276057"/>
            <wp:effectExtent b="0" l="0" r="0" t="0"/>
            <wp:docPr descr="Detected proccesor" title="" id="126" name="Picture"/>
            <a:graphic>
              <a:graphicData uri="http://schemas.openxmlformats.org/drawingml/2006/picture">
                <pic:pic>
                  <pic:nvPicPr>
                    <pic:cNvPr descr="image/3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Detected proccesor</w:t>
      </w:r>
    </w:p>
    <w:p>
      <w:pPr>
        <w:pStyle w:val="CaptionedFigure"/>
      </w:pPr>
      <w:r>
        <w:drawing>
          <wp:inline>
            <wp:extent cx="3733800" cy="234240"/>
            <wp:effectExtent b="0" l="0" r="0" t="0"/>
            <wp:docPr descr="Hypervisor detected" title="" id="129" name="Picture"/>
            <a:graphic>
              <a:graphicData uri="http://schemas.openxmlformats.org/drawingml/2006/picture">
                <pic:pic>
                  <pic:nvPicPr>
                    <pic:cNvPr descr="image/39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Hypervisor detected</w:t>
      </w:r>
    </w:p>
    <w:p>
      <w:pPr>
        <w:pStyle w:val="CaptionedFigure"/>
      </w:pPr>
      <w:r>
        <w:drawing>
          <wp:inline>
            <wp:extent cx="3733800" cy="351361"/>
            <wp:effectExtent b="0" l="0" r="0" t="0"/>
            <wp:docPr descr="CPU0" title="" id="132" name="Picture"/>
            <a:graphic>
              <a:graphicData uri="http://schemas.openxmlformats.org/drawingml/2006/picture">
                <pic:pic>
                  <pic:nvPicPr>
                    <pic:cNvPr descr="image/40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CPU0</w:t>
      </w:r>
    </w:p>
    <w:bookmarkEnd w:id="134"/>
    <w:bookmarkStart w:id="135" w:name="контрольные-вопросы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 - Учётная запись, как правило, содержит сведения, необходимые для опознания пользователя при подключении к системе, сведения для авторизации и учёта</w:t>
      </w:r>
    </w:p>
    <w:p>
      <w:pPr>
        <w:numPr>
          <w:ilvl w:val="0"/>
          <w:numId w:val="1002"/>
        </w:numPr>
      </w:pPr>
      <w:r>
        <w:t xml:space="preserve">Команды терминала:</w:t>
      </w:r>
      <w:r>
        <w:t xml:space="preserve"> </w:t>
      </w:r>
      <w:r>
        <w:t xml:space="preserve">для получения справки по команде? - man: например, man man выдаст руководство по данной команде</w:t>
      </w:r>
    </w:p>
    <w:p>
      <w:pPr>
        <w:pStyle w:val="FirstParagraph"/>
      </w:pPr>
      <w:r>
        <w:t xml:space="preserve">для перемещения по файловой системе? - cd: cd work/study</w:t>
      </w:r>
      <w:r>
        <w:t xml:space="preserve"> </w:t>
      </w:r>
      <w:r>
        <w:t xml:space="preserve">для просмотра содержимого каталога? - ls: ls work/stydy</w:t>
      </w:r>
      <w:r>
        <w:t xml:space="preserve"> </w:t>
      </w:r>
      <w:r>
        <w:t xml:space="preserve">для определения объёма каталога? - du: du /work</w:t>
      </w:r>
      <w:r>
        <w:t xml:space="preserve"> </w:t>
      </w:r>
      <w:r>
        <w:t xml:space="preserve">для создания / удаления каталогов / файлов? - mkdir: mkdir work / rmdir or rm -vr (если каталог не пустой): rmdir work / rm -vr work / rm work</w:t>
      </w:r>
      <w:r>
        <w:t xml:space="preserve"> </w:t>
      </w:r>
      <w:r>
        <w:t xml:space="preserve">для задания определённых прав на файл / каталог? - chmod o-r month.txt</w:t>
      </w:r>
      <w:r>
        <w:t xml:space="preserve"> </w:t>
      </w:r>
      <w:r>
        <w:t xml:space="preserve">для просмотра истории команд? - стрелочки вверх вниз или команда history</w:t>
      </w:r>
    </w:p>
    <w:p>
      <w:pPr>
        <w:numPr>
          <w:ilvl w:val="0"/>
          <w:numId w:val="1003"/>
        </w:numPr>
      </w:pPr>
      <w:r>
        <w:t xml:space="preserve">Что такое файловая система? Приведите примеры с краткой характеристикой. - Файловая система - структура, используемая ОС для организации и управления файлами на устройстве хранения. Примеры: FAT - таблица распределения файлов, NTFS - файловая система новой технологии, ReFS - Resilient File System.</w:t>
      </w:r>
    </w:p>
    <w:p>
      <w:pPr>
        <w:numPr>
          <w:ilvl w:val="0"/>
          <w:numId w:val="1003"/>
        </w:numPr>
      </w:pPr>
      <w:r>
        <w:t xml:space="preserve">Как посмотреть, какие файловые системы подмонтированы в ОС? - Для этого есть команда findmnt</w:t>
      </w:r>
    </w:p>
    <w:p>
      <w:pPr>
        <w:numPr>
          <w:ilvl w:val="0"/>
          <w:numId w:val="1003"/>
        </w:numPr>
      </w:pPr>
      <w:r>
        <w:t xml:space="preserve">Как удалить зависший процесс? - Сочетание клавиш Ctrl + C</w:t>
      </w:r>
    </w:p>
    <w:bookmarkEnd w:id="135"/>
    <w:bookmarkEnd w:id="136"/>
    <w:bookmarkStart w:id="1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приобрела практические навыкиустановки операционной системы на виртуальную машину, настройки минимально необходимых для дальнейшей работы сервисов.</w:t>
      </w:r>
    </w:p>
    <w:bookmarkEnd w:id="137"/>
    <w:bookmarkStart w:id="13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Dash, P. Getting Started with Oracle VM VirtualBox / P. Dash. – Packt Publishing Ltd, 2013. – 86 сс.</w:t>
      </w:r>
    </w:p>
    <w:p>
      <w:pPr>
        <w:numPr>
          <w:ilvl w:val="0"/>
          <w:numId w:val="1004"/>
        </w:numPr>
        <w:pStyle w:val="Compact"/>
      </w:pPr>
      <w:r>
        <w:t xml:space="preserve">Colvin, H. VirtualBox: An Ultimate Guide Book on Virtualization with VirtualBox. VirtualBox / H. Colvin. – CreateSpace Independent Publishing Platform, 2015. – 70 сс.</w:t>
      </w:r>
    </w:p>
    <w:p>
      <w:pPr>
        <w:numPr>
          <w:ilvl w:val="0"/>
          <w:numId w:val="1004"/>
        </w:numPr>
        <w:pStyle w:val="Compact"/>
      </w:pPr>
      <w:r>
        <w:t xml:space="preserve">Vugt, S. van. Red Hat RHCSA/RHCE 7 cert guide : Red Hat Enterprise Linux 7 (EX200 and EX300) : Certification Guide. Red Hat RHCSA/RHCE 7 cert guide / S. van Vugt. – Pearson IT Certification, 2016. – 1008 сс.</w:t>
      </w:r>
    </w:p>
    <w:p>
      <w:pPr>
        <w:numPr>
          <w:ilvl w:val="0"/>
          <w:numId w:val="1004"/>
        </w:numPr>
        <w:pStyle w:val="Compact"/>
      </w:pPr>
      <w:r>
        <w:t xml:space="preserve">Робачевский, А. Операционная система UNIX / А. Робачевский, С. Немнюгин, О. Стесик. – 2-е изд. – Санкт-Петербург : БХВ-Петербург, 2010. – 656 сс.</w:t>
      </w:r>
    </w:p>
    <w:p>
      <w:pPr>
        <w:numPr>
          <w:ilvl w:val="0"/>
          <w:numId w:val="1004"/>
        </w:numPr>
        <w:pStyle w:val="Compact"/>
      </w:pPr>
      <w:r>
        <w:t xml:space="preserve">Немет, Э. Unix и Linux: руководство системного администратора. Unix и Linux / Э. Немет, Г. Снайдер, Т.Р. Хейн, Б. Уэйли. – 4-е изд. – Вильямс, 2014. – 1312 сс.</w:t>
      </w:r>
    </w:p>
    <w:p>
      <w:pPr>
        <w:numPr>
          <w:ilvl w:val="0"/>
          <w:numId w:val="1004"/>
        </w:numPr>
        <w:pStyle w:val="Compact"/>
      </w:pPr>
      <w:r>
        <w:t xml:space="preserve">Колисниченко, Д.Н. Самоучитель системного администратора Linux : Системный администратор / Д.Н. Колисниченко. – Санкт-Петербург : БХВ-Петербург, 2011. – 544 сс.</w:t>
      </w:r>
    </w:p>
    <w:p>
      <w:pPr>
        <w:numPr>
          <w:ilvl w:val="0"/>
          <w:numId w:val="1004"/>
        </w:numPr>
        <w:pStyle w:val="Compact"/>
      </w:pPr>
      <w:r>
        <w:t xml:space="preserve">Robbins, A. Bash Pocket Reference / A. Robbins. – O’Reilly Media, 2016. – 156 сс.</w:t>
      </w:r>
    </w:p>
    <w:bookmarkStart w:id="138" w:name="refs"/>
    <w:bookmarkEnd w:id="138"/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5" Target="media/rId25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8" Target="media/rId28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5" Target="media/rId125.png" /><Relationship Type="http://schemas.openxmlformats.org/officeDocument/2006/relationships/image" Id="rId122" Target="media/rId122.png" /><Relationship Type="http://schemas.openxmlformats.org/officeDocument/2006/relationships/image" Id="rId128" Target="media/rId128.png" /><Relationship Type="http://schemas.openxmlformats.org/officeDocument/2006/relationships/image" Id="rId31" Target="media/rId31.png" /><Relationship Type="http://schemas.openxmlformats.org/officeDocument/2006/relationships/image" Id="rId131" Target="media/rId1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2024-03-02T13:38:49Z</dcterms:created>
  <dcterms:modified xsi:type="dcterms:W3CDTF">2024-03-02T13:38:49Z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