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pStyle w:val="Title"/>
        <w:jc w:val="center"/>
      </w:pPr>
      <w:r>
        <w:t>股票量化回测系统</w:t>
      </w:r>
    </w:p>
    <w:p>
      <w:pPr>
        <w:jc w:val="center"/>
      </w:pPr>
      <w:r>
        <w:rPr>
          <w:b/>
          <w:sz w:val="40"/>
        </w:rPr>
        <w:t>项 目 计 划 书</w:t>
      </w:r>
    </w:p>
    <w:p/>
    <w:p>
      <w:pPr>
        <w:jc w:val="center"/>
      </w:pPr>
      <w:r>
        <w:t>版本：V2.0</w:t>
      </w:r>
    </w:p>
    <w:p>
      <w:pPr>
        <w:jc w:val="center"/>
      </w:pPr>
      <w:r>
        <w:t>日期：2026年7月</w:t>
      </w:r>
    </w:p>
    <w:p>
      <w:r>
        <w:br w:type="page"/>
      </w:r>
    </w:p>
    <w:p>
      <w:pPr>
        <w:pStyle w:val="Heading1"/>
        <w:jc w:val="center"/>
      </w:pPr>
      <w:r>
        <w:t>目  录</w:t>
      </w:r>
    </w:p>
    <w:p>
      <w:pPr>
        <w:jc w:val="center"/>
      </w:pPr>
      <w:r>
        <w:rPr>
          <w:color w:val="808080"/>
        </w:rPr>
        <w:t>（打开文档后按 Ctrl+A → F9 刷新目录以自动生成页码）</w:t>
      </w:r>
    </w:p>
    <w:p/>
    <w:p>
      <w:pPr>
        <w:tabs>
          <w:tab w:pos="7937" w:val="right" w:leader="dot"/>
        </w:tabs>
      </w:pPr>
      <w:r>
        <w:rPr>
          <w:sz w:val="24"/>
        </w:rPr>
        <w:t>一、项目概述</w:t>
      </w:r>
      <w:r>
        <w:tab/>
      </w:r>
      <w:r>
        <w:rPr>
          <w:sz w:val="24"/>
        </w:rPr>
        <w:t>3</w:t>
      </w:r>
    </w:p>
    <w:p>
      <w:pPr>
        <w:tabs>
          <w:tab w:pos="7937" w:val="right" w:leader="dot"/>
        </w:tabs>
      </w:pPr>
      <w:r>
        <w:rPr>
          <w:sz w:val="24"/>
        </w:rPr>
        <w:t>二、系统总体架构</w:t>
      </w:r>
      <w:r>
        <w:tab/>
      </w:r>
      <w:r>
        <w:rPr>
          <w:sz w:val="24"/>
        </w:rPr>
        <w:t>4</w:t>
      </w:r>
    </w:p>
    <w:p>
      <w:pPr>
        <w:tabs>
          <w:tab w:pos="7937" w:val="right" w:leader="dot"/>
        </w:tabs>
      </w:pPr>
      <w:r>
        <w:rPr>
          <w:sz w:val="24"/>
        </w:rPr>
        <w:t>三、核心功能模块详述</w:t>
      </w:r>
      <w:r>
        <w:tab/>
      </w:r>
      <w:r>
        <w:rPr>
          <w:sz w:val="24"/>
        </w:rPr>
        <w:t>5</w:t>
      </w:r>
    </w:p>
    <w:p>
      <w:pPr>
        <w:tabs>
          <w:tab w:pos="7937" w:val="right" w:leader="dot"/>
        </w:tabs>
      </w:pPr>
      <w:r>
        <w:rPr>
          <w:sz w:val="24"/>
        </w:rPr>
        <w:t xml:space="preserve">    3.1 实时股票数据获取系统</w:t>
      </w:r>
      <w:r>
        <w:tab/>
      </w:r>
      <w:r>
        <w:rPr>
          <w:sz w:val="24"/>
        </w:rPr>
        <w:t>5</w:t>
      </w:r>
    </w:p>
    <w:p>
      <w:pPr>
        <w:tabs>
          <w:tab w:pos="7937" w:val="right" w:leader="dot"/>
        </w:tabs>
      </w:pPr>
      <w:r>
        <w:rPr>
          <w:sz w:val="24"/>
        </w:rPr>
        <w:t xml:space="preserve">    3.2 选股系统（自然语言驱动）</w:t>
      </w:r>
      <w:r>
        <w:tab/>
      </w:r>
      <w:r>
        <w:rPr>
          <w:sz w:val="24"/>
        </w:rPr>
        <w:t>6</w:t>
      </w:r>
    </w:p>
    <w:p>
      <w:pPr>
        <w:tabs>
          <w:tab w:pos="7937" w:val="right" w:leader="dot"/>
        </w:tabs>
      </w:pPr>
      <w:r>
        <w:rPr>
          <w:sz w:val="24"/>
        </w:rPr>
        <w:t xml:space="preserve">    3.3 回测系统（策略验证引擎）</w:t>
      </w:r>
      <w:r>
        <w:tab/>
      </w:r>
      <w:r>
        <w:rPr>
          <w:sz w:val="24"/>
        </w:rPr>
        <w:t>8</w:t>
      </w:r>
    </w:p>
    <w:p>
      <w:pPr>
        <w:tabs>
          <w:tab w:pos="7937" w:val="right" w:leader="dot"/>
        </w:tabs>
      </w:pPr>
      <w:r>
        <w:rPr>
          <w:sz w:val="24"/>
        </w:rPr>
        <w:t xml:space="preserve">    3.4 模拟持仓系统（策略执行引擎）</w:t>
      </w:r>
      <w:r>
        <w:tab/>
      </w:r>
      <w:r>
        <w:rPr>
          <w:sz w:val="24"/>
        </w:rPr>
        <w:t>12</w:t>
      </w:r>
    </w:p>
    <w:p>
      <w:pPr>
        <w:tabs>
          <w:tab w:pos="7937" w:val="right" w:leader="dot"/>
        </w:tabs>
      </w:pPr>
      <w:r>
        <w:rPr>
          <w:sz w:val="24"/>
        </w:rPr>
        <w:t xml:space="preserve">    3.5 回测记录系统</w:t>
      </w:r>
      <w:r>
        <w:tab/>
      </w:r>
      <w:r>
        <w:rPr>
          <w:sz w:val="24"/>
        </w:rPr>
        <w:t>14</w:t>
      </w:r>
    </w:p>
    <w:p>
      <w:pPr>
        <w:tabs>
          <w:tab w:pos="7937" w:val="right" w:leader="dot"/>
        </w:tabs>
      </w:pPr>
      <w:r>
        <w:rPr>
          <w:sz w:val="24"/>
        </w:rPr>
        <w:t xml:space="preserve">    3.6 邮件提醒系统</w:t>
      </w:r>
      <w:r>
        <w:tab/>
      </w:r>
      <w:r>
        <w:rPr>
          <w:sz w:val="24"/>
        </w:rPr>
        <w:t>15</w:t>
      </w:r>
    </w:p>
    <w:p>
      <w:pPr>
        <w:tabs>
          <w:tab w:pos="7937" w:val="right" w:leader="dot"/>
        </w:tabs>
      </w:pPr>
      <w:r>
        <w:rPr>
          <w:sz w:val="24"/>
        </w:rPr>
        <w:t xml:space="preserve">    3.7 事件总线（Event Bus）</w:t>
      </w:r>
      <w:r>
        <w:tab/>
      </w:r>
      <w:r>
        <w:rPr>
          <w:sz w:val="24"/>
        </w:rPr>
        <w:t>16</w:t>
      </w:r>
    </w:p>
    <w:p>
      <w:pPr>
        <w:tabs>
          <w:tab w:pos="7937" w:val="right" w:leader="dot"/>
        </w:tabs>
      </w:pPr>
      <w:r>
        <w:rPr>
          <w:sz w:val="24"/>
        </w:rPr>
        <w:t>四、技术选型</w:t>
      </w:r>
      <w:r>
        <w:tab/>
      </w:r>
      <w:r>
        <w:rPr>
          <w:sz w:val="24"/>
        </w:rPr>
        <w:t>17</w:t>
      </w:r>
    </w:p>
    <w:p>
      <w:pPr>
        <w:tabs>
          <w:tab w:pos="7937" w:val="right" w:leader="dot"/>
        </w:tabs>
      </w:pPr>
      <w:r>
        <w:rPr>
          <w:sz w:val="24"/>
        </w:rPr>
        <w:t>五、开发排期</w:t>
      </w:r>
      <w:r>
        <w:tab/>
      </w:r>
      <w:r>
        <w:rPr>
          <w:sz w:val="24"/>
        </w:rPr>
        <w:t>18</w:t>
      </w:r>
    </w:p>
    <w:p>
      <w:pPr>
        <w:tabs>
          <w:tab w:pos="7937" w:val="right" w:leader="dot"/>
        </w:tabs>
      </w:pPr>
      <w:r>
        <w:rPr>
          <w:sz w:val="24"/>
        </w:rPr>
        <w:t>六、风险与应对</w:t>
      </w:r>
      <w:r>
        <w:tab/>
      </w:r>
      <w:r>
        <w:rPr>
          <w:sz w:val="24"/>
        </w:rPr>
        <w:t>19</w:t>
      </w:r>
    </w:p>
    <w:p>
      <w:r>
        <w:br w:type="page"/>
      </w:r>
    </w:p>
    <w:p>
      <w:pPr>
        <w:pStyle w:val="Heading1"/>
      </w:pPr>
      <w:r>
        <w:t>一、项目概述</w:t>
      </w:r>
    </w:p>
    <w:p>
      <w:pPr>
        <w:pStyle w:val="Heading2"/>
      </w:pPr>
      <w:r>
        <w:t>1.1 项目背景</w:t>
      </w:r>
    </w:p>
    <w:p>
      <w:r>
        <w:t>随着中国资本市场的日益成熟与量化交易技术的快速发展，个人投资者与机构投资者对系统化、自动化的投资工具需求愈发迫切。传统的股票分析方法依赖人工盯盘与经验判断，难以应对市场波动与海量数据的挑战。构建一套完整的股票量化回测系统，能够帮助投资者在历史数据中验证策略有效性，降低实盘试错成本，提升投资决策的科学性与系统性。</w:t>
      </w:r>
    </w:p>
    <w:p>
      <w:pPr>
        <w:pStyle w:val="Heading2"/>
      </w:pPr>
      <w:r>
        <w:t>1.2 项目目标</w:t>
      </w:r>
    </w:p>
    <w:p>
      <w:r>
        <w:t>本项目旨在开发一套全功能的股票量化交易平台，涵盖数据获取、策略回测、模拟实盘执行、交易记录及通知提醒等核心能力。平台采用"策略验证→策略部署"的双引擎架构——回测系统负责在历史数据上验证策略可行性，模拟持仓系统负责将验证通过的策略部署到实时市场中进行模拟实盘运行。</w:t>
      </w:r>
    </w:p>
    <w:p>
      <w:pPr>
        <w:pStyle w:val="ListBullet"/>
      </w:pPr>
      <w:r>
        <w:t>构建稳定可靠的实时股票数据获取管道，覆盖A股全市场行情数据。</w:t>
      </w:r>
    </w:p>
    <w:p>
      <w:pPr>
        <w:pStyle w:val="ListBullet"/>
      </w:pPr>
      <w:r>
        <w:t>开发基于轮仓机制的策略回测引擎，验证策略在历史数据上的有效性。</w:t>
      </w:r>
    </w:p>
    <w:p>
      <w:pPr>
        <w:pStyle w:val="ListBullet"/>
      </w:pPr>
      <w:r>
        <w:t>实现自然语言驱动的选股系统，由 AI 解析用户意图并生成筛选条件。</w:t>
      </w:r>
    </w:p>
    <w:p>
      <w:pPr>
        <w:pStyle w:val="ListBullet"/>
      </w:pPr>
      <w:r>
        <w:t>建立独立运行的模拟持仓系统，将回测验证的策略部署到实时市场中执行。</w:t>
      </w:r>
    </w:p>
    <w:p>
      <w:pPr>
        <w:pStyle w:val="ListBullet"/>
      </w:pPr>
      <w:r>
        <w:t>建立结构化的回测记录数据库，支持策略对比与一键部署到持仓系统。</w:t>
      </w:r>
    </w:p>
    <w:p>
      <w:pPr>
        <w:pStyle w:val="ListBullet"/>
      </w:pPr>
      <w:r>
        <w:t>集成邮件提醒系统，在关键事件发生时主动推送通知。</w:t>
      </w:r>
    </w:p>
    <w:p>
      <w:pPr>
        <w:pStyle w:val="ListBullet"/>
      </w:pPr>
      <w:r>
        <w:t>引入事件总线机制，实现各系统间的松耦合通信。</w:t>
      </w:r>
    </w:p>
    <w:p>
      <w:pPr>
        <w:pStyle w:val="Heading2"/>
      </w:pPr>
      <w:r>
        <w:t>1.3 目标用户</w:t>
      </w:r>
    </w:p>
    <w:p>
      <w:pPr>
        <w:pStyle w:val="ListBullet"/>
      </w:pPr>
      <w:r>
        <w:t>个人投资者：希望在实盘前验证策略有效性的散户投资者。</w:t>
      </w:r>
    </w:p>
    <w:p>
      <w:pPr>
        <w:pStyle w:val="ListBullet"/>
      </w:pPr>
      <w:r>
        <w:t>量化研究员：需要快速迭代策略模型的初级量化从业者。</w:t>
      </w:r>
    </w:p>
    <w:p>
      <w:pPr>
        <w:pStyle w:val="ListBullet"/>
      </w:pPr>
      <w:r>
        <w:t>金融产品经理：需要了解量化回测流程的产品设计人员。</w:t>
      </w:r>
    </w:p>
    <w:p>
      <w:r>
        <w:br w:type="page"/>
      </w:r>
    </w:p>
    <w:p>
      <w:pPr>
        <w:pStyle w:val="Heading1"/>
      </w:pPr>
      <w:r>
        <w:t>二、系统总体架构</w:t>
      </w:r>
    </w:p>
    <w:p>
      <w:pPr>
        <w:pStyle w:val="Heading2"/>
      </w:pPr>
      <w:r>
        <w:t>2.1 系统架构图（文字描述）</w:t>
      </w:r>
    </w:p>
    <w:p>
      <w:r>
        <w:t>本系统采用分层 + 事件驱动的混合架构设计。各系统职责分明、独立部署，通过统一数据服务层获取数据，通过事件总线进行松耦合通信。</w:t>
      </w:r>
    </w:p>
    <w:tbl>
      <w:tblPr>
        <w:tblStyle w:val="TableGrid"/>
        <w:tblW w:type="auto" w:w="0"/>
        <w:jc w:val="center"/>
        <w:tblLook w:firstColumn="1" w:firstRow="1" w:lastColumn="0" w:lastRow="0" w:noHBand="0" w:noVBand="1" w:val="04A0"/>
      </w:tblPr>
      <w:tblGrid>
        <w:gridCol w:w="2767"/>
        <w:gridCol w:w="2767"/>
        <w:gridCol w:w="2767"/>
      </w:tblGrid>
      <w:tr>
        <w:tc>
          <w:tcPr>
            <w:tcW w:type="dxa" w:w="2767"/>
            <w:shd w:fill="4472C4"/>
          </w:tcPr>
          <w:p>
            <w:r>
              <w:rPr>
                <w:b/>
                <w:color w:val="FFFFFF"/>
              </w:rPr>
              <w:t>层次/角色</w:t>
            </w:r>
          </w:p>
        </w:tc>
        <w:tc>
          <w:tcPr>
            <w:tcW w:type="dxa" w:w="2767"/>
            <w:shd w:fill="4472C4"/>
          </w:tcPr>
          <w:p>
            <w:r>
              <w:rPr>
                <w:b/>
                <w:color w:val="FFFFFF"/>
              </w:rPr>
              <w:t>模块</w:t>
            </w:r>
          </w:p>
        </w:tc>
        <w:tc>
          <w:tcPr>
            <w:tcW w:type="dxa" w:w="2767"/>
            <w:shd w:fill="4472C4"/>
          </w:tcPr>
          <w:p>
            <w:r>
              <w:rPr>
                <w:b/>
                <w:color w:val="FFFFFF"/>
              </w:rPr>
              <w:t>说明</w:t>
            </w:r>
          </w:p>
        </w:tc>
      </w:tr>
      <w:tr>
        <w:tc>
          <w:tcPr>
            <w:tcW w:type="dxa" w:w="2767"/>
          </w:tcPr>
          <w:p>
            <w:r>
              <w:t>策略验证层</w:t>
            </w:r>
          </w:p>
        </w:tc>
        <w:tc>
          <w:tcPr>
            <w:tcW w:type="dxa" w:w="2767"/>
          </w:tcPr>
          <w:p>
            <w:r>
              <w:t>回测系统</w:t>
            </w:r>
          </w:p>
        </w:tc>
        <w:tc>
          <w:tcPr>
            <w:tcW w:type="dxa" w:w="2767"/>
          </w:tcPr>
          <w:p>
            <w:r>
              <w:t>使用历史数据验证策略有效性，内部模拟交易，不依赖持仓系统</w:t>
            </w:r>
          </w:p>
        </w:tc>
      </w:tr>
      <w:tr>
        <w:tc>
          <w:tcPr>
            <w:tcW w:type="dxa" w:w="2767"/>
          </w:tcPr>
          <w:p>
            <w:r>
              <w:t>策略执行层</w:t>
            </w:r>
          </w:p>
        </w:tc>
        <w:tc>
          <w:tcPr>
            <w:tcW w:type="dxa" w:w="2767"/>
          </w:tcPr>
          <w:p>
            <w:r>
              <w:t>模拟持仓系统</w:t>
            </w:r>
          </w:p>
        </w:tc>
        <w:tc>
          <w:tcPr>
            <w:tcW w:type="dxa" w:w="2767"/>
          </w:tcPr>
          <w:p>
            <w:r>
              <w:t>将回测验证通过的策略部署到实时市场运行，独立模拟实盘买卖</w:t>
            </w:r>
          </w:p>
        </w:tc>
      </w:tr>
      <w:tr>
        <w:tc>
          <w:tcPr>
            <w:tcW w:type="dxa" w:w="2767"/>
          </w:tcPr>
          <w:p>
            <w:r>
              <w:t>策略辅助层</w:t>
            </w:r>
          </w:p>
        </w:tc>
        <w:tc>
          <w:tcPr>
            <w:tcW w:type="dxa" w:w="2767"/>
          </w:tcPr>
          <w:p>
            <w:r>
              <w:t>选股系统 + 大模型分析系统</w:t>
            </w:r>
          </w:p>
        </w:tc>
        <w:tc>
          <w:tcPr>
            <w:tcW w:type="dxa" w:w="2767"/>
          </w:tcPr>
          <w:p>
            <w:r>
              <w:t>自然语言选股，为回测和持仓系统提供标的筛选结果</w:t>
            </w:r>
          </w:p>
        </w:tc>
      </w:tr>
      <w:tr>
        <w:tc>
          <w:tcPr>
            <w:tcW w:type="dxa" w:w="2767"/>
          </w:tcPr>
          <w:p>
            <w:r>
              <w:t>数据服务层</w:t>
            </w:r>
          </w:p>
        </w:tc>
        <w:tc>
          <w:tcPr>
            <w:tcW w:type="dxa" w:w="2767"/>
          </w:tcPr>
          <w:p>
            <w:r>
              <w:t>实时股票数据获取系统</w:t>
            </w:r>
          </w:p>
        </w:tc>
        <w:tc>
          <w:tcPr>
            <w:tcW w:type="dxa" w:w="2767"/>
          </w:tcPr>
          <w:p>
            <w:r>
              <w:t>采集行情/财务数据，统一对外输出（历史数据→回测，实时数据→持仓）</w:t>
            </w:r>
          </w:p>
        </w:tc>
      </w:tr>
      <w:tr>
        <w:tc>
          <w:tcPr>
            <w:tcW w:type="dxa" w:w="2767"/>
          </w:tcPr>
          <w:p>
            <w:r>
              <w:t>基础服务层</w:t>
            </w:r>
          </w:p>
        </w:tc>
        <w:tc>
          <w:tcPr>
            <w:tcW w:type="dxa" w:w="2767"/>
          </w:tcPr>
          <w:p>
            <w:r>
              <w:t>回测记录系统 + 事件总线 + 邮件提醒</w:t>
            </w:r>
          </w:p>
        </w:tc>
        <w:tc>
          <w:tcPr>
            <w:tcW w:type="dxa" w:w="2767"/>
          </w:tcPr>
          <w:p>
            <w:r>
              <w:t>数据持久化、系统间通信、消息通知</w:t>
            </w:r>
          </w:p>
        </w:tc>
      </w:tr>
    </w:tbl>
    <w:p/>
    <w:p>
      <w:pPr>
        <w:pStyle w:val="Heading2"/>
      </w:pPr>
      <w:r>
        <w:t>2.2 核心数据流</w:t>
      </w:r>
    </w:p>
    <w:p>
      <w:r>
        <w:t>系统采用两条独立的数据链路，分别服务于策略验证和策略执行：</w:t>
      </w:r>
    </w:p>
    <w:p>
      <w:pPr>
        <w:pStyle w:val="Heading3"/>
      </w:pPr>
      <w:r>
        <w:t>（1）策略验证链路（历史数据）</w:t>
      </w:r>
    </w:p>
    <w:p>
      <w:r>
        <w:t>数据获取系统 [历史K线] → 回测系统 [读取数据 + 调用选股系统获取筛选条件] → 内部模拟交易 → 回测记录系统 [保存结果] → 用户评估后 [一键部署] 到模拟持仓系统</w:t>
      </w:r>
    </w:p>
    <w:p>
      <w:pPr>
        <w:pStyle w:val="Heading3"/>
      </w:pPr>
      <w:r>
        <w:t>（2）策略执行链路（实时数据）</w:t>
      </w:r>
    </w:p>
    <w:p>
      <w:r>
        <w:t>数据获取系统 [实时行情] → 模拟持仓系统 [接收部署的策略参数 + 调用选股系统实时选股] → 实时模拟交易 → 持仓状态更新 → 事件总线 → 邮件提醒</w:t>
      </w:r>
    </w:p>
    <w:p/>
    <w:p>
      <w:pPr>
        <w:pStyle w:val="Heading3"/>
      </w:pPr>
      <w:r>
        <w:t>2.3 关键设计原则</w:t>
      </w:r>
    </w:p>
    <w:p>
      <w:pPr>
        <w:pStyle w:val="ListBullet"/>
      </w:pPr>
      <w:r>
        <w:t>回测系统独立运行：回测不读写持仓系统的任何状态，确保回测结果不受干扰。</w:t>
      </w:r>
    </w:p>
    <w:p>
      <w:pPr>
        <w:pStyle w:val="ListBullet"/>
      </w:pPr>
      <w:r>
        <w:t>策略参数即契约：回测验证通过的策略参数（选股条件、持仓限制、止盈止损等）形成标准化的策略配置文件，持仓系统加载后可直接执行。</w:t>
      </w:r>
    </w:p>
    <w:p>
      <w:pPr>
        <w:pStyle w:val="ListBullet"/>
      </w:pPr>
      <w:r>
        <w:t>统一数据服务层：所有系统通过统一接口获取数据，回测系统请求历史数据，持仓系统请求实时数据，由数据服务层统一调度。</w:t>
      </w:r>
    </w:p>
    <w:p>
      <w:pPr>
        <w:pStyle w:val="ListBullet"/>
      </w:pPr>
      <w:r>
        <w:t>事件总线通信：系统间通过事件总线发布/订阅消息，实现松耦合，便于后续扩展。</w:t>
      </w:r>
    </w:p>
    <w:p>
      <w:r>
        <w:br w:type="page"/>
      </w:r>
    </w:p>
    <w:p>
      <w:pPr>
        <w:pStyle w:val="Heading1"/>
      </w:pPr>
      <w:r>
        <w:t>三、核心功能模块详述</w:t>
      </w:r>
    </w:p>
    <w:p>
      <w:pPr>
        <w:pStyle w:val="Heading2"/>
      </w:pPr>
      <w:r>
        <w:t>3.1 实时股票数据获取系统</w:t>
      </w:r>
    </w:p>
    <w:p>
      <w:pPr>
        <w:pStyle w:val="Heading3"/>
      </w:pPr>
      <w:r>
        <w:t>3.1.1 功能概述</w:t>
      </w:r>
    </w:p>
    <w:p>
      <w:r>
        <w:t>实时股票数据获取系统是整个平台的数据基石。该系统负责从多个数据源采集A股实时行情、历史K线、财务指标、盘口数据等信息，经过清洗、去重、对齐后，以统一的数据格式通过数据服务层对外输出——历史数据供给回测系统，实时数据供给模拟持仓系统。</w:t>
      </w:r>
    </w:p>
    <w:p>
      <w:pPr>
        <w:pStyle w:val="Heading3"/>
      </w:pPr>
      <w:r>
        <w:t>3.1.2 核心功能</w:t>
      </w:r>
    </w:p>
    <w:p>
      <w:r>
        <w:rPr>
          <w:b/>
        </w:rPr>
        <w:t>▪ 多源数据接入：</w:t>
      </w:r>
      <w:r>
        <w:t>支持东方财富、通达信、Tushare、AKShare 等多个数据源的并行接入，具备源切换与自动容错能力。</w:t>
      </w:r>
    </w:p>
    <w:p>
      <w:r>
        <w:rPr>
          <w:b/>
        </w:rPr>
        <w:t>▪ 实时行情订阅：</w:t>
      </w:r>
      <w:r>
        <w:t>支持股票实时行情（最新价、涨跌幅、成交量、成交额、换手率等）的定时轮询或WebSocket订阅模式。</w:t>
      </w:r>
    </w:p>
    <w:p>
      <w:r>
        <w:rPr>
          <w:b/>
        </w:rPr>
        <w:t>▪ 历史K线数据：</w:t>
      </w:r>
      <w:r>
        <w:t>支持日K、周K、月K及分钟级K线数据的批量拉取与本地缓存，覆盖上市以来的全部历史数据。</w:t>
      </w:r>
    </w:p>
    <w:p>
      <w:r>
        <w:rPr>
          <w:b/>
        </w:rPr>
        <w:t>▪ 财务数据：</w:t>
      </w:r>
      <w:r>
        <w:t>定期拉取上市公司财务报告数据（营收、净利润、ROE、资产负债率等关键指标）。</w:t>
      </w:r>
    </w:p>
    <w:p>
      <w:r>
        <w:rPr>
          <w:b/>
        </w:rPr>
        <w:t>▪ 数据清洗与对齐：</w:t>
      </w:r>
      <w:r>
        <w:t>对原始数据进行缺失值处理、复权计算、停牌标记等清洗操作，确保数据质量。</w:t>
      </w:r>
    </w:p>
    <w:p>
      <w:r>
        <w:rPr>
          <w:b/>
        </w:rPr>
        <w:t>▪ 增量更新机制：</w:t>
      </w:r>
      <w:r>
        <w:t>交易日盘中定时增量更新，盘后全量校验，避免重复请求与数据遗漏。</w:t>
      </w:r>
    </w:p>
    <w:p>
      <w:r>
        <w:rPr>
          <w:b/>
        </w:rPr>
        <w:t>▪ 统一数据接口：</w:t>
      </w:r>
      <w:r>
        <w:t>封装数据查询层，对外提供统一的 get_history_data() 和 get_realtime_data() 接口，下游系统无需关心数据来源。</w:t>
      </w:r>
    </w:p>
    <w:p>
      <w:pPr>
        <w:pStyle w:val="Heading3"/>
      </w:pPr>
      <w:r>
        <w:t>3.1.3 技术要点</w:t>
      </w:r>
    </w:p>
    <w:p>
      <w:pPr>
        <w:pStyle w:val="ListBullet"/>
      </w:pPr>
      <w:r>
        <w:t>使用 Python 作为主要开发语言，结合 Pandas 进行数据处理。</w:t>
      </w:r>
    </w:p>
    <w:p>
      <w:pPr>
        <w:pStyle w:val="ListBullet"/>
      </w:pPr>
      <w:r>
        <w:t>数据存储采用 SQLite + HDF5 双层架构：SQLite 存储元数据与配置，HDF5 存储大规模时序数据。</w:t>
      </w:r>
    </w:p>
    <w:p>
      <w:pPr>
        <w:pStyle w:val="ListBullet"/>
      </w:pPr>
      <w:r>
        <w:t>定时任务调度采用 APScheduler，支持交易日历识别与节假日跳过。</w:t>
      </w:r>
    </w:p>
    <w:p>
      <w:pPr>
        <w:pStyle w:val="ListBullet"/>
      </w:pPr>
      <w:r>
        <w:t>数据源接口封装为统一抽象层，新增数据源只需实现标准接口即可。</w:t>
      </w:r>
    </w:p>
    <w:p>
      <w:pPr>
        <w:pStyle w:val="ListBullet"/>
      </w:pPr>
      <w:r>
        <w:t>历史数据与实时数据分开存储，避免读写冲突。</w:t>
      </w:r>
    </w:p>
    <w:p>
      <w:r>
        <w:br w:type="page"/>
      </w:r>
    </w:p>
    <w:p>
      <w:pPr>
        <w:pStyle w:val="Heading2"/>
      </w:pPr>
      <w:r>
        <w:t>3.2 选股系统（自然语言驱动）</w:t>
      </w:r>
    </w:p>
    <w:p>
      <w:pPr>
        <w:pStyle w:val="Heading3"/>
      </w:pPr>
      <w:r>
        <w:t>3.2.1 功能概述</w:t>
      </w:r>
    </w:p>
    <w:p>
      <w:r>
        <w:t>选股系统是用户进行投资标的筛选的核心工具。与传统选股器不同，本系统采用"自然语言驱动"模式——用户只需以日常语言描述选股需求，系统通过大模型（LLM）自动解析用户的意图，将其转化为结构化的筛选条件，再执行数据查询并返回结果。选股系统同时服务于回测系统（周期性选股）和模拟持仓系统（实时选股），是策略的核心驱动源。</w:t>
      </w:r>
    </w:p>
    <w:p>
      <w:pPr>
        <w:pStyle w:val="Heading3"/>
      </w:pPr>
      <w:r>
        <w:t>3.2.2 核心功能</w:t>
      </w:r>
    </w:p>
    <w:p>
      <w:pPr>
        <w:pStyle w:val="Heading4"/>
      </w:pPr>
      <w:r>
        <w:t>（1）自然语言选股</w:t>
      </w:r>
    </w:p>
    <w:p>
      <w:r>
        <w:t>用户直接在输入框中用自然语言描述选股想法，例如：</w:t>
      </w:r>
    </w:p>
    <w:p>
      <w:r>
        <w:rPr>
          <w:i/>
          <w:color w:val="0066CC"/>
        </w:rPr>
        <w:t xml:space="preserve">   💬 "选出市盈率低于20倍、ROE大于15%且近5日涨幅不超过10%的股票"</w:t>
      </w:r>
    </w:p>
    <w:p>
      <w:r>
        <w:rPr>
          <w:i/>
          <w:color w:val="0066CC"/>
        </w:rPr>
        <w:t xml:space="preserve">   💬 "找出现价在20日均线上方、MACD刚刚金叉且成交量放大的股票"</w:t>
      </w:r>
    </w:p>
    <w:p>
      <w:r>
        <w:rPr>
          <w:i/>
          <w:color w:val="0066CC"/>
        </w:rPr>
        <w:t xml:space="preserve">   💬 "筛选出市值在100亿到500亿之间、过去三年营收增长率均超过20%的成长股"</w:t>
      </w:r>
    </w:p>
    <w:p>
      <w:r>
        <w:rPr>
          <w:i/>
          <w:color w:val="0066CC"/>
        </w:rPr>
        <w:t xml:space="preserve">   💬 "帮我找找最近一周换手率超过5%、股价处于布林带中轨上方的股票"</w:t>
      </w:r>
    </w:p>
    <w:p/>
    <w:p>
      <w:pPr>
        <w:pStyle w:val="Heading4"/>
      </w:pPr>
      <w:r>
        <w:t>（2）AI 自然语言转结构化条件</w:t>
      </w:r>
    </w:p>
    <w:p>
      <w:r>
        <w:t>系统对接外部大模型（LLM），将用户的自然语言描述自动解析为结构化的筛选条件。整个转化过程包括以下步骤：</w:t>
      </w:r>
    </w:p>
    <w:p>
      <w:pPr>
        <w:pStyle w:val="ListBullet"/>
      </w:pPr>
      <w:r>
        <w:t>意图识别：大模型分析用户输入，识别涉及的数据维度（基本面/技术面/行情面/资金面）及对应的具体指标。</w:t>
      </w:r>
    </w:p>
    <w:p>
      <w:pPr>
        <w:pStyle w:val="ListBullet"/>
      </w:pPr>
      <w:r>
        <w:t>条件抽取：从自然语言中提取数值条件、比较关系（大于/小于/介于/等于）及逻辑组合（AND/OR）。</w:t>
      </w:r>
    </w:p>
    <w:p>
      <w:pPr>
        <w:pStyle w:val="ListBullet"/>
      </w:pPr>
      <w:r>
        <w:t>表达式生成：将抽取的条件组合为标准化的筛选表达式（JSON格式），供后端执行引擎直接使用。</w:t>
      </w:r>
    </w:p>
    <w:p>
      <w:pPr>
        <w:pStyle w:val="ListBullet"/>
      </w:pPr>
      <w:r>
        <w:t>结果排序提取：识别用户的排序意图（如"按市盈率从低到高排序""选涨幅最大的前10只"），生成排序指令。</w:t>
      </w:r>
    </w:p>
    <w:p>
      <w:pPr>
        <w:pStyle w:val="Heading4"/>
      </w:pPr>
      <w:r>
        <w:t>（3）人机协作确认机制</w:t>
      </w:r>
    </w:p>
    <w:p>
      <w:r>
        <w:t>AI 解析结果不会直接执行，而是先以结构化形式呈现给用户确认：</w:t>
      </w:r>
    </w:p>
    <w:p>
      <w:pPr>
        <w:pStyle w:val="ListBullet"/>
      </w:pPr>
      <w:r>
        <w:t>展示 AI 解析出的筛选条件清单（以卡片或列表形式呈现），让用户直观看到"AI 理解成了什么"。</w:t>
      </w:r>
    </w:p>
    <w:p>
      <w:pPr>
        <w:pStyle w:val="ListBullet"/>
      </w:pPr>
      <w:r>
        <w:t>用户可手动调整、增删、修改解析出的任意条件项，实现"AI 辅助 + 人工微调"的最佳协作模式。</w:t>
      </w:r>
    </w:p>
    <w:p>
      <w:pPr>
        <w:pStyle w:val="ListBullet"/>
      </w:pPr>
      <w:r>
        <w:t>用户确认无误后，一键执行选股，系统返回筛选结果列表。</w:t>
      </w:r>
    </w:p>
    <w:p>
      <w:pPr>
        <w:pStyle w:val="ListBullet"/>
      </w:pPr>
      <w:r>
        <w:t>历史解析记录可保存，用户下次可直接复用或微调。</w:t>
      </w:r>
    </w:p>
    <w:p>
      <w:pPr>
        <w:pStyle w:val="Heading4"/>
      </w:pPr>
      <w:r>
        <w:t>（4）传统模式兼容</w:t>
      </w:r>
    </w:p>
    <w:p>
      <w:r>
        <w:t>除自然语言模式外，系统保留传统的手动条件配置模式，支持用户直接以表单形式逐项设置筛选条件，满足不同习惯用户的需求。两种模式可随时切换。</w:t>
      </w:r>
    </w:p>
    <w:p>
      <w:pPr>
        <w:pStyle w:val="Heading4"/>
      </w:pPr>
      <w:r>
        <w:t>（5）策略模板与历史复用</w:t>
      </w:r>
    </w:p>
    <w:p>
      <w:r>
        <w:rPr>
          <w:b/>
        </w:rPr>
        <w:t>▪ 内置策略模板：</w:t>
      </w:r>
      <w:r>
        <w:t>预置低估值策略、高增长策略、均线多头排列等常用选股模板，用户可直接套用或在其基础上微调。</w:t>
      </w:r>
    </w:p>
    <w:p>
      <w:r>
        <w:rPr>
          <w:b/>
        </w:rPr>
        <w:t>▪ 自然语言模板库：</w:t>
      </w:r>
      <w:r>
        <w:t>收集展示优质的自然语言选股描述样例，用户可一键使用并修改。</w:t>
      </w:r>
    </w:p>
    <w:p>
      <w:r>
        <w:rPr>
          <w:b/>
        </w:rPr>
        <w:t>▪ 历史选股记录：</w:t>
      </w:r>
      <w:r>
        <w:t>保存用户每次执行的选股条件（含自然语言原文与 AI 解析结果），支持快速复用。</w:t>
      </w:r>
    </w:p>
    <w:p>
      <w:r>
        <w:rPr>
          <w:b/>
        </w:rPr>
        <w:t>▪ 排除当前持仓：</w:t>
      </w:r>
      <w:r>
        <w:t>选股时提供"排除当前持仓"开关（默认开启），避免重复买入同一只股票。</w:t>
      </w:r>
    </w:p>
    <w:p>
      <w:pPr>
        <w:pStyle w:val="Heading3"/>
      </w:pPr>
      <w:r>
        <w:t>3.2.3 大模型分析系统（LLM 对接层）</w:t>
      </w:r>
    </w:p>
    <w:p>
      <w:r>
        <w:t>大模型分析系统是连接用户自然语言输入与后端结构化筛选引擎的桥梁。系统通过统一的大模型接口层，对接外部大模型服务，实现自然语言到筛选条件的智能转换。</w:t>
      </w:r>
    </w:p>
    <w:p>
      <w:pPr>
        <w:pStyle w:val="Heading4"/>
      </w:pPr>
      <w:r>
        <w:t>（1）架构设计</w:t>
      </w:r>
    </w:p>
    <w:p>
      <w:pPr>
        <w:pStyle w:val="ListBullet"/>
      </w:pPr>
      <w:r>
        <w:t>统一接口层：定义标准的 LLM 调用接口（与模型无关），支持切换不同的外部大模型服务。</w:t>
      </w:r>
    </w:p>
    <w:p>
      <w:pPr>
        <w:pStyle w:val="ListBullet"/>
      </w:pPr>
      <w:r>
        <w:t>Prompt 工程模板：设计专门针对选股场景的 Prompt 模板，包含选股规则说明、字段定义、输出格式约束等，引导大模型输出标准化的结构化结果。</w:t>
      </w:r>
    </w:p>
    <w:p>
      <w:pPr>
        <w:pStyle w:val="ListBullet"/>
      </w:pPr>
      <w:r>
        <w:t>输出解析器：将大模型返回的原始文本解析为程序可执行的 JSON 条件结构，包含字段名、运算符、阈值及逻辑组合关系。</w:t>
      </w:r>
    </w:p>
    <w:p>
      <w:pPr>
        <w:pStyle w:val="ListBullet"/>
      </w:pPr>
      <w:r>
        <w:t>校验与回退机制：当大模型返回结果不符合预期格式时，自动重试或提示用户重新描述。</w:t>
      </w:r>
    </w:p>
    <w:p>
      <w:pPr>
        <w:pStyle w:val="Heading4"/>
      </w:pPr>
      <w:r>
        <w:t>（2）支持的外部大模型</w:t>
      </w:r>
    </w:p>
    <w:p>
      <w:r>
        <w:t>系统设计为模型无关的架构，支持对接以下外部大模型服务：</w:t>
      </w:r>
    </w:p>
    <w:p>
      <w:pPr>
        <w:pStyle w:val="ListBullet"/>
      </w:pPr>
      <w:r>
        <w:t>OpenAI GPT 系列（GPT-4o / GPT-4-turbo 等），通过官方 API 接入。</w:t>
      </w:r>
    </w:p>
    <w:p>
      <w:pPr>
        <w:pStyle w:val="ListBullet"/>
      </w:pPr>
      <w:r>
        <w:t>DeepSeek（深度求索），通过 API 接入，国内访问低延迟。</w:t>
      </w:r>
    </w:p>
    <w:p>
      <w:pPr>
        <w:pStyle w:val="ListBullet"/>
      </w:pPr>
      <w:r>
        <w:t>通义千问（阿里云）、文心一言（百度）等国内主流大模型。</w:t>
      </w:r>
    </w:p>
    <w:p>
      <w:pPr>
        <w:pStyle w:val="ListBullet"/>
      </w:pPr>
      <w:r>
        <w:t>兼容 OpenAI API 格式的第三方模型服务（如 Ollama 自部署模型）。</w:t>
      </w:r>
    </w:p>
    <w:p>
      <w:pPr>
        <w:pStyle w:val="ListBullet"/>
      </w:pPr>
      <w:r>
        <w:t>用户可自由配置使用的模型、API Key 及访问地址。</w:t>
      </w:r>
    </w:p>
    <w:p>
      <w:pPr>
        <w:pStyle w:val="Heading4"/>
      </w:pPr>
      <w:r>
        <w:t>（3）Prompt 示例（选股场景）</w:t>
      </w:r>
    </w:p>
    <w:p>
      <w:pPr>
        <w:ind w:left="567"/>
      </w:pPr>
      <w:r>
        <w:rPr>
          <w:rFonts w:ascii="Consolas" w:hAnsi="Consolas"/>
          <w:sz w:val="20"/>
        </w:rPr>
        <w:t>系统指令："你是一个专业的股票筛选助手。用户会输入自然语言描述选股条件，你需要将其解析为结构化的筛选条件JSON。可选字段包括：pe_ttm、pb、roe、revenue_growth、net_profit_growth、market_cap、ma_{n}（n日均线）、macd_cross（金叉/死叉）、turnover_rate、volume_ratio等。输出格式：{"conditions": [{"field":"...", "operator":"&gt;|&lt;|between", "value": ...}], "logic":"AND|OR", "sort_by":"...", "sort_order":"asc|desc", "limit": ...}"</w:t>
        <w:br/>
        <w:br/>
        <w:t>用户输入："选出市盈率低于20倍且ROE大于15%的股票，按市盈率从低到高排序，取前20只"</w:t>
        <w:br/>
        <w:br/>
        <w:t>模型输出：{"conditions":[{"field":"pe_ttm","operator":"&lt;","value":20},{"field":"roe","operator":"&gt;","value":15}],"logic":"AND","sort_by":"pe_ttm","sort_order":"asc","limit":20}</w:t>
      </w:r>
    </w:p>
    <w:p>
      <w:pPr>
        <w:pStyle w:val="Heading3"/>
      </w:pPr>
      <w:r>
        <w:t>3.2.4 与回测系统、持仓系统的协作关系</w:t>
      </w:r>
    </w:p>
    <w:p>
      <w:r>
        <w:t>选股系统同时服务于回测系统和模拟持仓系统，但服务方式不同：</w:t>
      </w:r>
    </w:p>
    <w:tbl>
      <w:tblPr>
        <w:tblStyle w:val="TableGrid"/>
        <w:tblW w:type="auto" w:w="0"/>
        <w:jc w:val="center"/>
        <w:tblLook w:firstColumn="1" w:firstRow="1" w:lastColumn="0" w:lastRow="0" w:noHBand="0" w:noVBand="1" w:val="04A0"/>
      </w:tblPr>
      <w:tblGrid>
        <w:gridCol w:w="2075"/>
        <w:gridCol w:w="2075"/>
        <w:gridCol w:w="2075"/>
        <w:gridCol w:w="2075"/>
      </w:tblGrid>
      <w:tr>
        <w:tc>
          <w:tcPr>
            <w:tcW w:type="dxa" w:w="2075"/>
            <w:shd w:fill="4472C4"/>
          </w:tcPr>
          <w:p>
            <w:r>
              <w:rPr>
                <w:b/>
                <w:color w:val="FFFFFF"/>
              </w:rPr>
              <w:t>服务对象</w:t>
            </w:r>
          </w:p>
        </w:tc>
        <w:tc>
          <w:tcPr>
            <w:tcW w:type="dxa" w:w="2075"/>
            <w:shd w:fill="4472C4"/>
          </w:tcPr>
          <w:p>
            <w:r>
              <w:rPr>
                <w:b/>
                <w:color w:val="FFFFFF"/>
              </w:rPr>
              <w:t>数据源</w:t>
            </w:r>
          </w:p>
        </w:tc>
        <w:tc>
          <w:tcPr>
            <w:tcW w:type="dxa" w:w="2075"/>
            <w:shd w:fill="4472C4"/>
          </w:tcPr>
          <w:p>
            <w:r>
              <w:rPr>
                <w:b/>
                <w:color w:val="FFFFFF"/>
              </w:rPr>
              <w:t>调用时机</w:t>
            </w:r>
          </w:p>
        </w:tc>
        <w:tc>
          <w:tcPr>
            <w:tcW w:type="dxa" w:w="2075"/>
            <w:shd w:fill="4472C4"/>
          </w:tcPr>
          <w:p>
            <w:r>
              <w:rPr>
                <w:b/>
                <w:color w:val="FFFFFF"/>
              </w:rPr>
              <w:t>输出用途</w:t>
            </w:r>
          </w:p>
        </w:tc>
      </w:tr>
      <w:tr>
        <w:tc>
          <w:tcPr>
            <w:tcW w:type="dxa" w:w="2075"/>
          </w:tcPr>
          <w:p>
            <w:r>
              <w:t>回测系统</w:t>
            </w:r>
          </w:p>
        </w:tc>
        <w:tc>
          <w:tcPr>
            <w:tcW w:type="dxa" w:w="2075"/>
          </w:tcPr>
          <w:p>
            <w:r>
              <w:t>历史数据</w:t>
            </w:r>
          </w:p>
        </w:tc>
        <w:tc>
          <w:tcPr>
            <w:tcW w:type="dxa" w:w="2075"/>
          </w:tcPr>
          <w:p>
            <w:r>
              <w:t>每周期调仓日</w:t>
            </w:r>
          </w:p>
        </w:tc>
        <w:tc>
          <w:tcPr>
            <w:tcW w:type="dxa" w:w="2075"/>
          </w:tcPr>
          <w:p>
            <w:r>
              <w:t>回测模拟买入的标的</w:t>
            </w:r>
          </w:p>
        </w:tc>
      </w:tr>
      <w:tr>
        <w:tc>
          <w:tcPr>
            <w:tcW w:type="dxa" w:w="2075"/>
          </w:tcPr>
          <w:p>
            <w:r>
              <w:t>模拟持仓系统</w:t>
            </w:r>
          </w:p>
        </w:tc>
        <w:tc>
          <w:tcPr>
            <w:tcW w:type="dxa" w:w="2075"/>
          </w:tcPr>
          <w:p>
            <w:r>
              <w:t>实时数据</w:t>
            </w:r>
          </w:p>
        </w:tc>
        <w:tc>
          <w:tcPr>
            <w:tcW w:type="dxa" w:w="2075"/>
          </w:tcPr>
          <w:p>
            <w:r>
              <w:t>每日盘前/盘中</w:t>
            </w:r>
          </w:p>
        </w:tc>
        <w:tc>
          <w:tcPr>
            <w:tcW w:type="dxa" w:w="2075"/>
          </w:tcPr>
          <w:p>
            <w:r>
              <w:t>实时模拟买卖的标的</w:t>
            </w:r>
          </w:p>
        </w:tc>
      </w:tr>
    </w:tbl>
    <w:p>
      <w:r>
        <w:br w:type="page"/>
      </w:r>
    </w:p>
    <w:p>
      <w:pPr>
        <w:pStyle w:val="Heading2"/>
      </w:pPr>
      <w:r>
        <w:t>3.3 回测系统（策略验证引擎）</w:t>
      </w:r>
    </w:p>
    <w:p>
      <w:pPr>
        <w:pStyle w:val="Heading3"/>
      </w:pPr>
      <w:r>
        <w:t>3.3.1 功能概述</w:t>
      </w:r>
    </w:p>
    <w:p>
      <w:r>
        <w:t>回测系统是本平台最核心的模块之一，负责在历史数据上验证策略的可行性与盈利能力。本系统采用轮仓（轮动调仓）机制，允许用户在历史市场数据上运行基于选股条件的策略，检验其能否在历史行情中盈利。回测系统完全独立运行，内部模拟交易过程，不依赖模拟持仓系统的任何状态和数据。</w:t>
      </w:r>
    </w:p>
    <w:p>
      <w:r>
        <w:t>回测验证通过的策略，其全部参数可以被一键部署到模拟持仓系统，在实时市场中继续执行——形成"历史验证 → 实时执行"的完整闭环。</w:t>
      </w:r>
    </w:p>
    <w:p>
      <w:pPr>
        <w:pStyle w:val="Heading3"/>
      </w:pPr>
      <w:r>
        <w:t>3.3.2 回测核心机制（固定规则）</w:t>
      </w:r>
    </w:p>
    <w:p>
      <w:pPr>
        <w:pStyle w:val="Heading4"/>
      </w:pPr>
      <w:r>
        <w:t>（1）持仓机制：轮仓</w:t>
      </w:r>
    </w:p>
    <w:p>
      <w:r>
        <w:t>回测采用轮仓（轮动调仓）机制运行。在每个调仓周期，系统执行以下完整步骤：</w:t>
      </w:r>
    </w:p>
    <w:p>
      <w:pPr>
        <w:pStyle w:val="ListBullet"/>
      </w:pPr>
      <w:r>
        <w:t>① 调用选股系统，按用户设定的选股条件筛选当前周期符合条件的股票（排除当前持仓中已持有的股票）。</w:t>
      </w:r>
    </w:p>
    <w:p>
      <w:pPr>
        <w:pStyle w:val="ListBullet"/>
      </w:pPr>
      <w:r>
        <w:t>② 检查当前持仓中是否有股票不再满足选股条件，如有则纳入"条件不符卖出队列"（优先处理）。</w:t>
      </w:r>
    </w:p>
    <w:p>
      <w:pPr>
        <w:pStyle w:val="ListBullet"/>
      </w:pPr>
      <w:r>
        <w:t>③ 检查当前持仓中是否有股票触发了止盈/止损/持股到期/技术卖出条件，如有则纳入"规则卖出队列"。</w:t>
      </w:r>
    </w:p>
    <w:p>
      <w:pPr>
        <w:pStyle w:val="ListBullet"/>
      </w:pPr>
      <w:r>
        <w:t>④ 执行卖出：按"单日卖出数量"限制，依次卖出（条件不符优先于规则卖出）。</w:t>
      </w:r>
    </w:p>
    <w:p>
      <w:pPr>
        <w:pStyle w:val="ListBullet"/>
      </w:pPr>
      <w:r>
        <w:t>⑤ 执行买入：从选股结果第一名开始依次买入，直到达到持仓上限，受"单日买入数量"限制。</w:t>
      </w:r>
    </w:p>
    <w:p>
      <w:pPr>
        <w:pStyle w:val="ListBullet"/>
      </w:pPr>
      <w:r>
        <w:t>⑥ 当选股结果数量不足持仓上限时，以实际选股数量为准——只允许少买，不允许多买。</w:t>
      </w:r>
    </w:p>
    <w:p>
      <w:pPr>
        <w:pStyle w:val="Heading4"/>
      </w:pPr>
      <w:r>
        <w:t>（2）买入时机：次日开盘买入</w:t>
      </w:r>
    </w:p>
    <w:p>
      <w:r>
        <w:t>当系统选出目标股票后，不在当日执行买入操作，而是在下一个交易日的开盘价执行买入。这一设计更贴近真实交易场景，避免了"未来函数"问题，确保回测结果的真实性。</w:t>
      </w:r>
    </w:p>
    <w:p>
      <w:pPr>
        <w:pStyle w:val="Heading3"/>
      </w:pPr>
      <w:r>
        <w:t>3.3.3 用户可配置参数</w:t>
      </w:r>
    </w:p>
    <w:tbl>
      <w:tblPr>
        <w:tblStyle w:val="TableGrid"/>
        <w:tblW w:type="auto" w:w="0"/>
        <w:jc w:val="center"/>
        <w:tblLook w:firstColumn="1" w:firstRow="1" w:lastColumn="0" w:lastRow="0" w:noHBand="0" w:noVBand="1" w:val="04A0"/>
      </w:tblPr>
      <w:tblGrid>
        <w:gridCol w:w="2075"/>
        <w:gridCol w:w="2075"/>
        <w:gridCol w:w="2075"/>
        <w:gridCol w:w="2075"/>
      </w:tblGrid>
      <w:tr>
        <w:tc>
          <w:tcPr>
            <w:tcW w:type="dxa" w:w="2075"/>
            <w:shd w:fill="4472C4"/>
          </w:tcPr>
          <w:p>
            <w:r>
              <w:rPr>
                <w:b/>
                <w:color w:val="FFFFFF"/>
              </w:rPr>
              <w:t>参数类别</w:t>
            </w:r>
          </w:p>
        </w:tc>
        <w:tc>
          <w:tcPr>
            <w:tcW w:type="dxa" w:w="2075"/>
            <w:shd w:fill="4472C4"/>
          </w:tcPr>
          <w:p>
            <w:r>
              <w:rPr>
                <w:b/>
                <w:color w:val="FFFFFF"/>
              </w:rPr>
              <w:t>参数名称</w:t>
            </w:r>
          </w:p>
        </w:tc>
        <w:tc>
          <w:tcPr>
            <w:tcW w:type="dxa" w:w="2075"/>
            <w:shd w:fill="4472C4"/>
          </w:tcPr>
          <w:p>
            <w:r>
              <w:rPr>
                <w:b/>
                <w:color w:val="FFFFFF"/>
              </w:rPr>
              <w:t>说明</w:t>
            </w:r>
          </w:p>
        </w:tc>
        <w:tc>
          <w:tcPr>
            <w:tcW w:type="dxa" w:w="2075"/>
            <w:shd w:fill="4472C4"/>
          </w:tcPr>
          <w:p>
            <w:r>
              <w:rPr>
                <w:b/>
                <w:color w:val="FFFFFF"/>
              </w:rPr>
              <w:t>填写方式</w:t>
            </w:r>
          </w:p>
        </w:tc>
      </w:tr>
      <w:tr>
        <w:tc>
          <w:tcPr>
            <w:tcW w:type="dxa" w:w="2075"/>
          </w:tcPr>
          <w:p>
            <w:r>
              <w:t>回测时间</w:t>
            </w:r>
          </w:p>
        </w:tc>
        <w:tc>
          <w:tcPr>
            <w:tcW w:type="dxa" w:w="2075"/>
          </w:tcPr>
          <w:p>
            <w:r>
              <w:t>回测起止日期</w:t>
            </w:r>
          </w:p>
        </w:tc>
        <w:tc>
          <w:tcPr>
            <w:tcW w:type="dxa" w:w="2075"/>
          </w:tcPr>
          <w:p>
            <w:r>
              <w:t>回测覆盖的历史时间段</w:t>
              <w:br/>
              <w:t>例如：2024-01-01 至 2026-06-30</w:t>
              <w:br/>
              <w:t>支持按年/月/日精确指定</w:t>
            </w:r>
          </w:p>
        </w:tc>
        <w:tc>
          <w:tcPr>
            <w:tcW w:type="dxa" w:w="2075"/>
          </w:tcPr>
          <w:p>
            <w:r>
              <w:t>用户选择起止日期</w:t>
            </w:r>
          </w:p>
        </w:tc>
      </w:tr>
      <w:tr>
        <w:tc>
          <w:tcPr>
            <w:tcW w:type="dxa" w:w="2075"/>
          </w:tcPr>
          <w:p>
            <w:r>
              <w:t>选股条件</w:t>
            </w:r>
          </w:p>
        </w:tc>
        <w:tc>
          <w:tcPr>
            <w:tcW w:type="dxa" w:w="2075"/>
          </w:tcPr>
          <w:p>
            <w:r>
              <w:t>选股条件</w:t>
            </w:r>
          </w:p>
        </w:tc>
        <w:tc>
          <w:tcPr>
            <w:tcW w:type="dxa" w:w="2075"/>
          </w:tcPr>
          <w:p>
            <w:r>
              <w:t>用户以自然语言描述选股想法，AI 自动解析为结构化筛选条件</w:t>
              <w:br/>
              <w:t>例如："选出市盈率低于20倍、ROE大于15%的股票"</w:t>
            </w:r>
          </w:p>
        </w:tc>
        <w:tc>
          <w:tcPr>
            <w:tcW w:type="dxa" w:w="2075"/>
          </w:tcPr>
          <w:p>
            <w:r>
              <w:t>自然语言输入（AI解析）</w:t>
            </w:r>
          </w:p>
        </w:tc>
      </w:tr>
      <w:tr>
        <w:tc>
          <w:tcPr>
            <w:tcW w:type="dxa" w:w="2075"/>
          </w:tcPr>
          <w:p>
            <w:r>
              <w:t>持仓限制</w:t>
            </w:r>
          </w:p>
        </w:tc>
        <w:tc>
          <w:tcPr>
            <w:tcW w:type="dxa" w:w="2075"/>
          </w:tcPr>
          <w:p>
            <w:r>
              <w:t>持仓个股数量</w:t>
            </w:r>
          </w:p>
        </w:tc>
        <w:tc>
          <w:tcPr>
            <w:tcW w:type="dxa" w:w="2075"/>
          </w:tcPr>
          <w:p>
            <w:r>
              <w:t>回测过程中最多持有的股票数量</w:t>
              <w:br/>
              <w:t>例如：5只、10只等</w:t>
            </w:r>
          </w:p>
        </w:tc>
        <w:tc>
          <w:tcPr>
            <w:tcW w:type="dxa" w:w="2075"/>
          </w:tcPr>
          <w:p>
            <w:r>
              <w:t>用户填写数字</w:t>
            </w:r>
          </w:p>
        </w:tc>
      </w:tr>
      <w:tr>
        <w:tc>
          <w:tcPr>
            <w:tcW w:type="dxa" w:w="2075"/>
          </w:tcPr>
          <w:p>
            <w:r>
              <w:t>买入限制</w:t>
            </w:r>
          </w:p>
        </w:tc>
        <w:tc>
          <w:tcPr>
            <w:tcW w:type="dxa" w:w="2075"/>
          </w:tcPr>
          <w:p>
            <w:r>
              <w:t>单日买入数量</w:t>
            </w:r>
          </w:p>
        </w:tc>
        <w:tc>
          <w:tcPr>
            <w:tcW w:type="dxa" w:w="2075"/>
          </w:tcPr>
          <w:p>
            <w:r>
              <w:t>每个交易日最多允许买入的股票数量</w:t>
              <w:br/>
              <w:t>例如：每日最多买入2只</w:t>
            </w:r>
          </w:p>
        </w:tc>
        <w:tc>
          <w:tcPr>
            <w:tcW w:type="dxa" w:w="2075"/>
          </w:tcPr>
          <w:p>
            <w:r>
              <w:t>用户填写数字</w:t>
            </w:r>
          </w:p>
        </w:tc>
      </w:tr>
      <w:tr>
        <w:tc>
          <w:tcPr>
            <w:tcW w:type="dxa" w:w="2075"/>
          </w:tcPr>
          <w:p>
            <w:r>
              <w:t>卖出限制</w:t>
            </w:r>
          </w:p>
        </w:tc>
        <w:tc>
          <w:tcPr>
            <w:tcW w:type="dxa" w:w="2075"/>
          </w:tcPr>
          <w:p>
            <w:r>
              <w:t>单日卖出数量</w:t>
            </w:r>
          </w:p>
        </w:tc>
        <w:tc>
          <w:tcPr>
            <w:tcW w:type="dxa" w:w="2075"/>
          </w:tcPr>
          <w:p>
            <w:r>
              <w:t>每个交易日最多允许卖出的股票数量</w:t>
              <w:br/>
              <w:t>例如：每日最多卖出3只</w:t>
            </w:r>
          </w:p>
        </w:tc>
        <w:tc>
          <w:tcPr>
            <w:tcW w:type="dxa" w:w="2075"/>
          </w:tcPr>
          <w:p>
            <w:r>
              <w:t>用户填写数字</w:t>
            </w:r>
          </w:p>
        </w:tc>
      </w:tr>
      <w:tr>
        <w:tc>
          <w:tcPr>
            <w:tcW w:type="dxa" w:w="2075"/>
          </w:tcPr>
          <w:p>
            <w:r>
              <w:t>止盈条件</w:t>
            </w:r>
          </w:p>
        </w:tc>
        <w:tc>
          <w:tcPr>
            <w:tcW w:type="dxa" w:w="2075"/>
          </w:tcPr>
          <w:p>
            <w:r>
              <w:t>止盈触发阈值</w:t>
            </w:r>
          </w:p>
        </w:tc>
        <w:tc>
          <w:tcPr>
            <w:tcW w:type="dxa" w:w="2075"/>
          </w:tcPr>
          <w:p>
            <w:r>
              <w:t>持仓收益率≥？%时进入"持有观察区"</w:t>
              <w:br/>
              <w:t>（固定规则：进入后坚定持有，直到回落）</w:t>
            </w:r>
          </w:p>
        </w:tc>
        <w:tc>
          <w:tcPr>
            <w:tcW w:type="dxa" w:w="2075"/>
          </w:tcPr>
          <w:p>
            <w:r>
              <w:t>用户填写百分比</w:t>
            </w:r>
          </w:p>
        </w:tc>
      </w:tr>
      <w:tr>
        <w:tc>
          <w:tcPr>
            <w:tcW w:type="dxa" w:w="2075"/>
          </w:tcPr>
          <w:p>
            <w:r>
              <w:t>止盈条件</w:t>
            </w:r>
          </w:p>
        </w:tc>
        <w:tc>
          <w:tcPr>
            <w:tcW w:type="dxa" w:w="2075"/>
          </w:tcPr>
          <w:p>
            <w:r>
              <w:t>止盈回落幅度</w:t>
            </w:r>
          </w:p>
        </w:tc>
        <w:tc>
          <w:tcPr>
            <w:tcW w:type="dxa" w:w="2075"/>
          </w:tcPr>
          <w:p>
            <w:r>
              <w:t>在持有观察区内，收益率从最高点回落？%时触发止盈卖出</w:t>
              <w:br/>
              <w:t>例如：回落5%时卖出</w:t>
            </w:r>
          </w:p>
        </w:tc>
        <w:tc>
          <w:tcPr>
            <w:tcW w:type="dxa" w:w="2075"/>
          </w:tcPr>
          <w:p>
            <w:r>
              <w:t>用户填写百分比</w:t>
            </w:r>
          </w:p>
        </w:tc>
      </w:tr>
      <w:tr>
        <w:tc>
          <w:tcPr>
            <w:tcW w:type="dxa" w:w="2075"/>
          </w:tcPr>
          <w:p>
            <w:r>
              <w:t>止损条件</w:t>
            </w:r>
          </w:p>
        </w:tc>
        <w:tc>
          <w:tcPr>
            <w:tcW w:type="dxa" w:w="2075"/>
          </w:tcPr>
          <w:p>
            <w:r>
              <w:t>止损阈值</w:t>
            </w:r>
          </w:p>
        </w:tc>
        <w:tc>
          <w:tcPr>
            <w:tcW w:type="dxa" w:w="2075"/>
          </w:tcPr>
          <w:p>
            <w:r>
              <w:t>当持仓收益率≤-？%时触发止损卖出</w:t>
              <w:br/>
              <w:t>例如：收益率≤-8%时卖出</w:t>
            </w:r>
          </w:p>
        </w:tc>
        <w:tc>
          <w:tcPr>
            <w:tcW w:type="dxa" w:w="2075"/>
          </w:tcPr>
          <w:p>
            <w:r>
              <w:t>用户填写百分比</w:t>
            </w:r>
          </w:p>
        </w:tc>
      </w:tr>
      <w:tr>
        <w:tc>
          <w:tcPr>
            <w:tcW w:type="dxa" w:w="2075"/>
          </w:tcPr>
          <w:p>
            <w:r>
              <w:t>卖出条件</w:t>
            </w:r>
          </w:p>
        </w:tc>
        <w:tc>
          <w:tcPr>
            <w:tcW w:type="dxa" w:w="2075"/>
          </w:tcPr>
          <w:p>
            <w:r>
              <w:t>持股天数</w:t>
            </w:r>
          </w:p>
        </w:tc>
        <w:tc>
          <w:tcPr>
            <w:tcW w:type="dxa" w:w="2075"/>
          </w:tcPr>
          <w:p>
            <w:r>
              <w:t>持股达到指定天数后强制卖出</w:t>
            </w:r>
          </w:p>
        </w:tc>
        <w:tc>
          <w:tcPr>
            <w:tcW w:type="dxa" w:w="2075"/>
          </w:tcPr>
          <w:p>
            <w:r>
              <w:t>用户填写数字</w:t>
            </w:r>
          </w:p>
        </w:tc>
      </w:tr>
      <w:tr>
        <w:tc>
          <w:tcPr>
            <w:tcW w:type="dxa" w:w="2075"/>
          </w:tcPr>
          <w:p>
            <w:r>
              <w:t>卖出条件</w:t>
            </w:r>
          </w:p>
        </w:tc>
        <w:tc>
          <w:tcPr>
            <w:tcW w:type="dxa" w:w="2075"/>
          </w:tcPr>
          <w:p>
            <w:r>
              <w:t>技术卖出条件</w:t>
            </w:r>
          </w:p>
        </w:tc>
        <w:tc>
          <w:tcPr>
            <w:tcW w:type="dxa" w:w="2075"/>
          </w:tcPr>
          <w:p>
            <w:r>
              <w:t>满足特定技术条件时卖出（如MACD死叉、跌破20日均线等）</w:t>
              <w:br/>
              <w:t>支持多条件组合</w:t>
            </w:r>
          </w:p>
        </w:tc>
        <w:tc>
          <w:tcPr>
            <w:tcW w:type="dxa" w:w="2075"/>
          </w:tcPr>
          <w:p>
            <w:r>
              <w:t>用户选择/填写</w:t>
            </w:r>
          </w:p>
        </w:tc>
      </w:tr>
    </w:tbl>
    <w:p/>
    <w:p>
      <w:pPr>
        <w:pStyle w:val="Heading3"/>
      </w:pPr>
      <w:r>
        <w:t>3.3.4 【优化】资金分配模型</w:t>
      </w:r>
    </w:p>
    <w:p>
      <w:r>
        <w:t>回测系统中的资金如何在多只持仓股票间分配，直接影响回测结果的真实性。系统提供以下资金分配模型供用户选择：</w:t>
      </w:r>
    </w:p>
    <w:p>
      <w:r>
        <w:rPr>
          <w:b/>
        </w:rPr>
        <w:t>▪ 等权重分配：</w:t>
      </w:r>
      <w:r>
        <w:t>将可用资金平均分配给每只持仓股票，每只股票分配同等金额。这是最简单且最常用的方式。</w:t>
      </w:r>
    </w:p>
    <w:p>
      <w:r>
        <w:rPr>
          <w:b/>
        </w:rPr>
        <w:t>▪ 按评分权重分配：</w:t>
      </w:r>
      <w:r>
        <w:t>根据选股系统对每只股票的评分（选股排序依据），评分高的股票分配更多资金。</w:t>
      </w:r>
    </w:p>
    <w:p>
      <w:r>
        <w:rPr>
          <w:b/>
        </w:rPr>
        <w:t>▪ 固定金额买入：</w:t>
      </w:r>
      <w:r>
        <w:t>每只股票每次买入固定金额（如每只买入1万元），简单直观。</w:t>
      </w:r>
    </w:p>
    <w:p>
      <w:r>
        <w:rPr>
          <w:b/>
        </w:rPr>
        <w:t>▪ 凯利公式：</w:t>
      </w:r>
      <w:r>
        <w:t>基于凯利公式动态计算每笔交易的最佳仓位比例，仅适用于有明确胜率和盈亏比的策略。</w:t>
      </w:r>
    </w:p>
    <w:p>
      <w:pPr>
        <w:pStyle w:val="Heading3"/>
      </w:pPr>
      <w:r>
        <w:t>3.3.5 回测流程总览</w:t>
      </w:r>
    </w:p>
    <w:p/>
    <w:p>
      <w:pPr>
        <w:pStyle w:val="Heading3"/>
      </w:pPr>
      <w:r>
        <w:t>3.3.6 止盈/止损逻辑详述</w:t>
      </w:r>
    </w:p>
    <w:p>
      <w:pPr>
        <w:pStyle w:val="Heading4"/>
      </w:pPr>
      <w:r>
        <w:t>止盈逻辑（固定规则）</w:t>
      </w:r>
    </w:p>
    <w:p>
      <w:r>
        <w:t>止盈规则采用"坚定持有 + 回落止盈"的机制：</w:t>
      </w:r>
    </w:p>
    <w:p>
      <w:pPr>
        <w:pStyle w:val="ListBullet"/>
      </w:pPr>
      <w:r>
        <w:t>当某只持仓股票的收益率首次达到用户设定的止盈触发阈值（如≥20%）时，该股票进入"持有观察区"。</w:t>
      </w:r>
    </w:p>
    <w:p>
      <w:pPr>
        <w:pStyle w:val="ListBullet"/>
      </w:pPr>
      <w:r>
        <w:t>进入观察区后，系统记录该股票的最高收益率（峰值）。</w:t>
      </w:r>
    </w:p>
    <w:p>
      <w:pPr>
        <w:pStyle w:val="ListBullet"/>
      </w:pPr>
      <w:r>
        <w:t>在观察区内，只要收益率未从峰值回落超过设定的回落幅度（如5%），系统坚定持有，不做任何操作。</w:t>
      </w:r>
    </w:p>
    <w:p>
      <w:pPr>
        <w:pStyle w:val="ListBullet"/>
      </w:pPr>
      <w:r>
        <w:t>当收益率从峰值回落幅度超过设定的回落阈值时，触发止盈卖出指令，在下一个可执行交易日卖出。</w:t>
      </w:r>
    </w:p>
    <w:p>
      <w:pPr>
        <w:pStyle w:val="Heading4"/>
      </w:pPr>
      <w:r>
        <w:t>止损逻辑（固定规则）</w:t>
      </w:r>
    </w:p>
    <w:p>
      <w:r>
        <w:t>止损规则采用"硬止损"机制：</w:t>
      </w:r>
    </w:p>
    <w:p>
      <w:pPr>
        <w:pStyle w:val="ListBullet"/>
      </w:pPr>
      <w:r>
        <w:t>系统持续监控每只持仓股票的收益率。</w:t>
      </w:r>
    </w:p>
    <w:p>
      <w:pPr>
        <w:pStyle w:val="ListBullet"/>
      </w:pPr>
      <w:r>
        <w:t>当某只股票的收益率首次跌破用户设定的止损阈值（如≤-8%）时，触发止损卖出指令。</w:t>
      </w:r>
    </w:p>
    <w:p>
      <w:pPr>
        <w:pStyle w:val="ListBullet"/>
      </w:pPr>
      <w:r>
        <w:t>止损指令在下一个可执行交易日以开盘价执行。</w:t>
      </w:r>
    </w:p>
    <w:p>
      <w:pPr>
        <w:pStyle w:val="ListBullet"/>
      </w:pPr>
      <w:r>
        <w:t>止损优先级高于买入和常规卖出，确保风险可控。</w:t>
      </w:r>
    </w:p>
    <w:p>
      <w:pPr>
        <w:pStyle w:val="Heading3"/>
      </w:pPr>
      <w:r>
        <w:t>3.3.7 回测输出结果</w:t>
      </w:r>
    </w:p>
    <w:p>
      <w:r>
        <w:t>回测运行结束后，系统输出以下内容：</w:t>
      </w:r>
    </w:p>
    <w:p>
      <w:pPr>
        <w:pStyle w:val="Heading4"/>
      </w:pPr>
      <w:r>
        <w:t>（1）回测总体评价（核心绩效指标）</w:t>
      </w:r>
    </w:p>
    <w:p>
      <w:pPr>
        <w:pStyle w:val="ListBullet"/>
      </w:pPr>
      <w:r>
        <w:t>胜率（Win Rate）：盈利交易次数占总交易次数的百分比。</w:t>
      </w:r>
    </w:p>
    <w:p>
      <w:pPr>
        <w:pStyle w:val="ListBullet"/>
      </w:pPr>
      <w:r>
        <w:t>最大回撤率（Max Drawdown）：账户净值从峰值到谷底的最大回落幅度。</w:t>
      </w:r>
    </w:p>
    <w:p>
      <w:pPr>
        <w:pStyle w:val="ListBullet"/>
      </w:pPr>
      <w:r>
        <w:t>年化收益率（Annualized Return）：将总收益率换算为年化后的收益率。</w:t>
      </w:r>
    </w:p>
    <w:p>
      <w:pPr>
        <w:pStyle w:val="ListBullet"/>
      </w:pPr>
      <w:r>
        <w:t>夏普比率（Sharpe Ratio）：每承受一单位总风险所产生的超额回报。</w:t>
      </w:r>
    </w:p>
    <w:p>
      <w:pPr>
        <w:pStyle w:val="Heading4"/>
      </w:pPr>
      <w:r>
        <w:t>（2）逐笔交易明细</w:t>
      </w:r>
    </w:p>
    <w:p>
      <w:r>
        <w:t>系统记录每只股票的完整交易履历：</w:t>
      </w:r>
    </w:p>
    <w:tbl>
      <w:tblPr>
        <w:tblStyle w:val="TableGrid"/>
        <w:tblW w:type="auto" w:w="0"/>
        <w:jc w:val="center"/>
        <w:tblLook w:firstColumn="1" w:firstRow="1" w:lastColumn="0" w:lastRow="0" w:noHBand="0" w:noVBand="1" w:val="04A0"/>
      </w:tblPr>
      <w:tblGrid>
        <w:gridCol w:w="1383"/>
        <w:gridCol w:w="1383"/>
        <w:gridCol w:w="1383"/>
        <w:gridCol w:w="1383"/>
        <w:gridCol w:w="1383"/>
        <w:gridCol w:w="1383"/>
      </w:tblGrid>
      <w:tr>
        <w:tc>
          <w:tcPr>
            <w:tcW w:type="dxa" w:w="1383"/>
            <w:shd w:fill="4472C4"/>
          </w:tcPr>
          <w:p>
            <w:r>
              <w:rPr>
                <w:b/>
                <w:color w:val="FFFFFF"/>
              </w:rPr>
              <w:t>股票代码</w:t>
            </w:r>
          </w:p>
        </w:tc>
        <w:tc>
          <w:tcPr>
            <w:tcW w:type="dxa" w:w="1383"/>
            <w:shd w:fill="4472C4"/>
          </w:tcPr>
          <w:p>
            <w:r>
              <w:rPr>
                <w:b/>
                <w:color w:val="FFFFFF"/>
              </w:rPr>
              <w:t>买入日期</w:t>
            </w:r>
          </w:p>
        </w:tc>
        <w:tc>
          <w:tcPr>
            <w:tcW w:type="dxa" w:w="1383"/>
            <w:shd w:fill="4472C4"/>
          </w:tcPr>
          <w:p>
            <w:r>
              <w:rPr>
                <w:b/>
                <w:color w:val="FFFFFF"/>
              </w:rPr>
              <w:t>买入价格</w:t>
            </w:r>
          </w:p>
        </w:tc>
        <w:tc>
          <w:tcPr>
            <w:tcW w:type="dxa" w:w="1383"/>
            <w:shd w:fill="4472C4"/>
          </w:tcPr>
          <w:p>
            <w:r>
              <w:rPr>
                <w:b/>
                <w:color w:val="FFFFFF"/>
              </w:rPr>
              <w:t>卖出日期</w:t>
            </w:r>
          </w:p>
        </w:tc>
        <w:tc>
          <w:tcPr>
            <w:tcW w:type="dxa" w:w="1383"/>
            <w:shd w:fill="4472C4"/>
          </w:tcPr>
          <w:p>
            <w:r>
              <w:rPr>
                <w:b/>
                <w:color w:val="FFFFFF"/>
              </w:rPr>
              <w:t>卖出价格</w:t>
            </w:r>
          </w:p>
        </w:tc>
        <w:tc>
          <w:tcPr>
            <w:tcW w:type="dxa" w:w="1383"/>
            <w:shd w:fill="4472C4"/>
          </w:tcPr>
          <w:p>
            <w:r>
              <w:rPr>
                <w:b/>
                <w:color w:val="FFFFFF"/>
              </w:rPr>
              <w:t>收益率</w:t>
            </w:r>
          </w:p>
        </w:tc>
      </w:tr>
      <w:tr>
        <w:tc>
          <w:tcPr>
            <w:tcW w:type="dxa" w:w="1383"/>
          </w:tcPr>
          <w:p>
            <w:r>
              <w:rPr>
                <w:color w:val="808080"/>
              </w:rPr>
              <w:t>600519</w:t>
            </w:r>
          </w:p>
        </w:tc>
        <w:tc>
          <w:tcPr>
            <w:tcW w:type="dxa" w:w="1383"/>
          </w:tcPr>
          <w:p>
            <w:r>
              <w:rPr>
                <w:color w:val="808080"/>
              </w:rPr>
              <w:t>2026-01-05</w:t>
            </w:r>
          </w:p>
        </w:tc>
        <w:tc>
          <w:tcPr>
            <w:tcW w:type="dxa" w:w="1383"/>
          </w:tcPr>
          <w:p>
            <w:r>
              <w:rPr>
                <w:color w:val="808080"/>
              </w:rPr>
              <w:t>1850.00</w:t>
            </w:r>
          </w:p>
        </w:tc>
        <w:tc>
          <w:tcPr>
            <w:tcW w:type="dxa" w:w="1383"/>
          </w:tcPr>
          <w:p>
            <w:r>
              <w:rPr>
                <w:color w:val="808080"/>
              </w:rPr>
              <w:t>2026-03-15</w:t>
            </w:r>
          </w:p>
        </w:tc>
        <w:tc>
          <w:tcPr>
            <w:tcW w:type="dxa" w:w="1383"/>
          </w:tcPr>
          <w:p>
            <w:r>
              <w:rPr>
                <w:color w:val="808080"/>
              </w:rPr>
              <w:t>2100.00</w:t>
            </w:r>
          </w:p>
        </w:tc>
        <w:tc>
          <w:tcPr>
            <w:tcW w:type="dxa" w:w="1383"/>
          </w:tcPr>
          <w:p>
            <w:r>
              <w:rPr>
                <w:color w:val="808080"/>
              </w:rPr>
              <w:t>+13.51%</w:t>
            </w:r>
          </w:p>
        </w:tc>
      </w:tr>
    </w:tbl>
    <w:p/>
    <w:p>
      <w:pPr>
        <w:pStyle w:val="Heading4"/>
      </w:pPr>
      <w:r>
        <w:t>（3）保存与部署按钮</w:t>
      </w:r>
    </w:p>
    <w:p>
      <w:r>
        <w:t>回测结果展示页面提供两个按钮：</w:t>
      </w:r>
    </w:p>
    <w:p>
      <w:pPr>
        <w:pStyle w:val="ListBullet"/>
      </w:pPr>
      <w:r>
        <w:t>"保存回测记录"按钮：将回测参数、绩效指标、交易明细持久化到回测记录系统。</w:t>
      </w:r>
    </w:p>
    <w:p>
      <w:pPr>
        <w:pStyle w:val="ListBullet"/>
      </w:pPr>
      <w:r>
        <w:t>"部署到持仓系统"按钮：将当前验证通过的策略参数（选股条件、持仓限制、止盈止损参数等）打包为标准策略配置文件，一键推送到模拟持仓系统执行。</w:t>
      </w:r>
    </w:p>
    <w:p>
      <w:r>
        <w:br w:type="page"/>
      </w:r>
    </w:p>
    <w:p>
      <w:pPr>
        <w:pStyle w:val="Heading2"/>
      </w:pPr>
      <w:r>
        <w:t>3.4 模拟持仓系统（策略执行引擎）</w:t>
      </w:r>
    </w:p>
    <w:p>
      <w:pPr>
        <w:pStyle w:val="Heading3"/>
      </w:pPr>
      <w:r>
        <w:t>3.4.1 功能概述</w:t>
      </w:r>
    </w:p>
    <w:p>
      <w:r>
        <w:t>模拟持仓系统是平台的策略执行引擎，与回测系统完全独立。它的职责是：接收从回测系统部署过来的验证通过的策略参数，在实时市场数据驱动下，独立执行模拟实盘交易。</w:t>
      </w:r>
    </w:p>
    <w:p>
      <w:r>
        <w:t>如果说回测系统是"模拟考试"，那么模拟持仓系统就是"模拟实战"——它不依赖回测系统的任何状态，而是加载策略配置文件后独立运行，根据实时行情数据进行真实的模拟买卖操作。</w:t>
      </w:r>
    </w:p>
    <w:p>
      <w:pPr>
        <w:pStyle w:val="Heading3"/>
      </w:pPr>
      <w:r>
        <w:t>3.4.2 核心功能</w:t>
      </w:r>
    </w:p>
    <w:p>
      <w:pPr>
        <w:pStyle w:val="Heading4"/>
      </w:pPr>
      <w:r>
        <w:t>（1）策略部署与加载</w:t>
      </w:r>
    </w:p>
    <w:p>
      <w:r>
        <w:rPr>
          <w:b/>
        </w:rPr>
        <w:t>▪ 策略接收：</w:t>
      </w:r>
      <w:r>
        <w:t>接收从回测记录系统推送来的策略配置文件（JSON格式），包含完整的选股条件、持仓参数、止盈止损参数、资金分配模型等。</w:t>
      </w:r>
    </w:p>
    <w:p>
      <w:r>
        <w:rPr>
          <w:b/>
        </w:rPr>
        <w:t>▪ 参数校验：</w:t>
      </w:r>
      <w:r>
        <w:t>加载策略时自动校验参数完整性，缺失参数使用默认值填充，异常参数给出警告。</w:t>
      </w:r>
    </w:p>
    <w:p>
      <w:r>
        <w:rPr>
          <w:b/>
        </w:rPr>
        <w:t>▪ 多策略支持：</w:t>
      </w:r>
      <w:r>
        <w:t>支持同时加载多套策略到不同的模拟账户，互不干扰，方便横向对比。</w:t>
      </w:r>
    </w:p>
    <w:p>
      <w:r>
        <w:rPr>
          <w:b/>
        </w:rPr>
        <w:t>▪ 在线/离线切换：</w:t>
      </w:r>
      <w:r>
        <w:t>支持暂停策略执行、修改参数后恢复运行，无需重新部署。</w:t>
      </w:r>
    </w:p>
    <w:p>
      <w:pPr>
        <w:pStyle w:val="Heading4"/>
      </w:pPr>
      <w:r>
        <w:t>（2）实时交易执行</w:t>
      </w:r>
    </w:p>
    <w:p>
      <w:r>
        <w:rPr>
          <w:b/>
        </w:rPr>
        <w:t>▪ 轮仓执行：</w:t>
      </w:r>
      <w:r>
        <w:t>每个交易日按策略配置的周期执行轮仓——调用选股系统实时选股 → 卖出不符合条件的持仓 → 买入新标的，逻辑与回测系统一致但使用实时数据。</w:t>
      </w:r>
    </w:p>
    <w:p>
      <w:r>
        <w:rPr>
          <w:b/>
        </w:rPr>
        <w:t>▪ 实时止盈止损：</w:t>
      </w:r>
      <w:r>
        <w:t>盘中持续监控每只持仓股票的实时收益率，一旦触发止盈/止损条件，立即生成卖出指令。</w:t>
      </w:r>
    </w:p>
    <w:p>
      <w:r>
        <w:rPr>
          <w:b/>
        </w:rPr>
        <w:t>▪ 持股天数追踪：</w:t>
      </w:r>
      <w:r>
        <w:t>记录每只股票的持仓天数，到期自动触发卖出。</w:t>
      </w:r>
    </w:p>
    <w:p>
      <w:r>
        <w:rPr>
          <w:b/>
        </w:rPr>
        <w:t>▪ 技术条件监控：</w:t>
      </w:r>
      <w:r>
        <w:t>盘中实时计算技术指标（MACD、均线等），满足卖出条件时触发卖出。</w:t>
      </w:r>
    </w:p>
    <w:p>
      <w:pPr>
        <w:pStyle w:val="Heading4"/>
      </w:pPr>
      <w:r>
        <w:t>（3）持仓状态管理</w:t>
      </w:r>
    </w:p>
    <w:p>
      <w:r>
        <w:rPr>
          <w:b/>
        </w:rPr>
        <w:t>▪ 持仓明细：</w:t>
      </w:r>
      <w:r>
        <w:t>记录每只股票的持仓数量、买入均价、当前市价、浮动盈亏与盈亏比例，实时更新。</w:t>
      </w:r>
    </w:p>
    <w:p>
      <w:r>
        <w:rPr>
          <w:b/>
        </w:rPr>
        <w:t>▪ 资金曲线：</w:t>
      </w:r>
      <w:r>
        <w:t>基于日频数据生成账户净值曲线，直观展示账户整体表现。</w:t>
      </w:r>
    </w:p>
    <w:p>
      <w:r>
        <w:rPr>
          <w:b/>
        </w:rPr>
        <w:t>▪ 风险监控：</w:t>
      </w:r>
      <w:r>
        <w:t>实时监控持仓集中度、组合波动率等风险指标，超阈值时通过事件总线触发预警。</w:t>
      </w:r>
    </w:p>
    <w:p>
      <w:r>
        <w:rPr>
          <w:b/>
        </w:rPr>
        <w:t>▪ 分红/送股处理：</w:t>
      </w:r>
      <w:r>
        <w:t>自动处理上市公司分红、送转股、配股等事件，保持持仓数据的准确性。</w:t>
      </w:r>
    </w:p>
    <w:p>
      <w:r>
        <w:rPr>
          <w:b/>
        </w:rPr>
        <w:t>▪ 多账户支持：</w:t>
      </w:r>
      <w:r>
        <w:t>支持创建多个模拟账户，部署不同策略，独立运行互不干扰。</w:t>
      </w:r>
    </w:p>
    <w:p>
      <w:pPr>
        <w:pStyle w:val="Heading3"/>
      </w:pPr>
      <w:r>
        <w:t>3.4.3 与回测系统的关系</w:t>
      </w:r>
    </w:p>
    <w:p>
      <w:r>
        <w:t>模拟持仓系统与回测系统的关系可以用以下三点概括：</w:t>
      </w:r>
    </w:p>
    <w:p>
      <w:pPr>
        <w:pStyle w:val="ListBullet"/>
      </w:pPr>
      <w:r>
        <w:t>策略同源：两者使用完全相同的策略参数（选股条件、持仓限制、止盈止损等），确保策略的一致性。</w:t>
      </w:r>
    </w:p>
    <w:p>
      <w:pPr>
        <w:pStyle w:val="ListBullet"/>
      </w:pPr>
      <w:r>
        <w:t>数据异源：回测系统使用历史数据验证，持仓系统使用实时数据执行，互不干扰。</w:t>
      </w:r>
    </w:p>
    <w:p>
      <w:pPr>
        <w:pStyle w:val="ListBullet"/>
      </w:pPr>
      <w:r>
        <w:t>独立运行：持仓系统不依赖回测系统的任何状态，部署后独立运行。回测系统也不读写持仓系统的数据，保证回测结果不受污染。</w:t>
      </w:r>
    </w:p>
    <w:p>
      <w:r>
        <w:br w:type="page"/>
      </w:r>
    </w:p>
    <w:p>
      <w:pPr>
        <w:pStyle w:val="Heading2"/>
      </w:pPr>
      <w:r>
        <w:t>3.5 回测记录系统</w:t>
      </w:r>
    </w:p>
    <w:p>
      <w:pPr>
        <w:pStyle w:val="Heading3"/>
      </w:pPr>
      <w:r>
        <w:t>3.5.1 功能概述</w:t>
      </w:r>
    </w:p>
    <w:p>
      <w:r>
        <w:t>回测记录系统负责将每一次回测的完整参数、运行日志与绩效结果持久化存储。用户可以通过该系统浏览历史回测记录、对比不同策略的表现、复现历史回测场景，并一键将通过验证的策略部署到模拟持仓系统。</w:t>
      </w:r>
    </w:p>
    <w:p>
      <w:pPr>
        <w:pStyle w:val="Heading3"/>
      </w:pPr>
      <w:r>
        <w:t>3.5.2 存储内容</w:t>
      </w:r>
    </w:p>
    <w:tbl>
      <w:tblPr>
        <w:tblStyle w:val="TableGrid"/>
        <w:tblW w:type="auto" w:w="0"/>
        <w:jc w:val="center"/>
        <w:tblLook w:firstColumn="1" w:firstRow="1" w:lastColumn="0" w:lastRow="0" w:noHBand="0" w:noVBand="1" w:val="04A0"/>
      </w:tblPr>
      <w:tblGrid>
        <w:gridCol w:w="4150"/>
        <w:gridCol w:w="4150"/>
      </w:tblGrid>
      <w:tr>
        <w:tc>
          <w:tcPr>
            <w:tcW w:type="dxa" w:w="4150"/>
            <w:shd w:fill="4472C4"/>
          </w:tcPr>
          <w:p>
            <w:r>
              <w:rPr>
                <w:b/>
                <w:color w:val="FFFFFF"/>
              </w:rPr>
              <w:t>数据类型</w:t>
            </w:r>
          </w:p>
        </w:tc>
        <w:tc>
          <w:tcPr>
            <w:tcW w:type="dxa" w:w="4150"/>
            <w:shd w:fill="4472C4"/>
          </w:tcPr>
          <w:p>
            <w:r>
              <w:rPr>
                <w:b/>
                <w:color w:val="FFFFFF"/>
              </w:rPr>
              <w:t>具体内容</w:t>
            </w:r>
          </w:p>
        </w:tc>
      </w:tr>
      <w:tr>
        <w:tc>
          <w:tcPr>
            <w:tcW w:type="dxa" w:w="4150"/>
          </w:tcPr>
          <w:p>
            <w:r>
              <w:t>回测参数</w:t>
            </w:r>
          </w:p>
        </w:tc>
        <w:tc>
          <w:tcPr>
            <w:tcW w:type="dxa" w:w="4150"/>
          </w:tcPr>
          <w:p>
            <w:r>
              <w:t>回测起止时间、自然语言选股原文 + AI解析结果、持仓个股数量、单日买卖上限、止盈阈值/回落幅度、止损阈值、持股天数、技术卖出条件、资金分配模型、初始资金</w:t>
            </w:r>
          </w:p>
        </w:tc>
      </w:tr>
      <w:tr>
        <w:tc>
          <w:tcPr>
            <w:tcW w:type="dxa" w:w="4150"/>
          </w:tcPr>
          <w:p>
            <w:r>
              <w:t>绩效指标</w:t>
            </w:r>
          </w:p>
        </w:tc>
        <w:tc>
          <w:tcPr>
            <w:tcW w:type="dxa" w:w="4150"/>
          </w:tcPr>
          <w:p>
            <w:r>
              <w:t>胜率、最大回撤率、年化收益率、夏普比率</w:t>
            </w:r>
          </w:p>
        </w:tc>
      </w:tr>
      <w:tr>
        <w:tc>
          <w:tcPr>
            <w:tcW w:type="dxa" w:w="4150"/>
          </w:tcPr>
          <w:p>
            <w:r>
              <w:t>交易明细</w:t>
            </w:r>
          </w:p>
        </w:tc>
        <w:tc>
          <w:tcPr>
            <w:tcW w:type="dxa" w:w="4150"/>
          </w:tcPr>
          <w:p>
            <w:r>
              <w:t>每只股票的代码、买入日期、买入价格、卖出日期、卖出价格、收益率</w:t>
            </w:r>
          </w:p>
        </w:tc>
      </w:tr>
    </w:tbl>
    <w:p/>
    <w:p>
      <w:pPr>
        <w:pStyle w:val="Heading3"/>
      </w:pPr>
      <w:r>
        <w:t>3.5.3 核心功能</w:t>
      </w:r>
    </w:p>
    <w:p>
      <w:r>
        <w:rPr>
          <w:b/>
        </w:rPr>
        <w:t>▪ 历史记录浏览：</w:t>
      </w:r>
      <w:r>
        <w:t>以列表形式展示所有已保存的回测记录，按日期倒序排列，一眼可看到每次回测的核心绩效指标。</w:t>
      </w:r>
    </w:p>
    <w:p>
      <w:r>
        <w:rPr>
          <w:b/>
        </w:rPr>
        <w:t>▪ 详情查看：</w:t>
      </w:r>
      <w:r>
        <w:t>点击单条记录可查看完整的回测参数、绩效指标和逐笔交易明细。</w:t>
      </w:r>
    </w:p>
    <w:p>
      <w:r>
        <w:rPr>
          <w:b/>
        </w:rPr>
        <w:t>▪ 对比分析：</w:t>
      </w:r>
      <w:r>
        <w:t>支持多组回测记录的同屏对比，以表格和图表形式呈现绩效指标的差异。</w:t>
      </w:r>
    </w:p>
    <w:p>
      <w:r>
        <w:rPr>
          <w:b/>
        </w:rPr>
        <w:t>▪ 一键部署到持仓系统：</w:t>
      </w:r>
      <w:r>
        <w:t>对于表现满意的策略，点击"部署到持仓系统"按钮，系统将策略参数打包为标准配置文件，推送到模拟持仓系统立即开始执行。</w:t>
      </w:r>
    </w:p>
    <w:p>
      <w:r>
        <w:rPr>
          <w:b/>
        </w:rPr>
        <w:t>▪ 报告导出：</w:t>
      </w:r>
      <w:r>
        <w:t>支持将回测报告导出为 PDF 或 HTML 格式，便于分享与存档。</w:t>
      </w:r>
    </w:p>
    <w:p>
      <w:r>
        <w:rPr>
          <w:b/>
        </w:rPr>
        <w:t>▪ 策略迭代追踪：</w:t>
      </w:r>
      <w:r>
        <w:t>记录同一策略不同版本的迭代历史，追踪参数优化前后的绩效变化。</w:t>
      </w:r>
    </w:p>
    <w:p>
      <w:r>
        <w:br w:type="page"/>
      </w:r>
    </w:p>
    <w:p>
      <w:pPr>
        <w:pStyle w:val="Heading2"/>
      </w:pPr>
      <w:r>
        <w:t>3.6 邮件提醒系统</w:t>
      </w:r>
    </w:p>
    <w:p>
      <w:pPr>
        <w:pStyle w:val="Heading3"/>
      </w:pPr>
      <w:r>
        <w:t>3.6.1 功能概述</w:t>
      </w:r>
    </w:p>
    <w:p>
      <w:r>
        <w:t>邮件提醒系统作为平台的消息通知中枢，通过订阅事件总线上的各类事件，在关键事件发生时以邮件形式主动推送给用户。用户无需持续关注系统界面，即可第一时间获知重要信息。</w:t>
      </w:r>
    </w:p>
    <w:p>
      <w:pPr>
        <w:pStyle w:val="Heading3"/>
      </w:pPr>
      <w:r>
        <w:t>3.6.2 事件订阅与通知</w:t>
      </w:r>
    </w:p>
    <w:p>
      <w:r>
        <w:t>邮件提醒系统通过事件总线订阅以下事件：</w:t>
      </w:r>
    </w:p>
    <w:tbl>
      <w:tblPr>
        <w:tblStyle w:val="TableGrid"/>
        <w:tblW w:type="auto" w:w="0"/>
        <w:jc w:val="center"/>
        <w:tblLook w:firstColumn="1" w:firstRow="1" w:lastColumn="0" w:lastRow="0" w:noHBand="0" w:noVBand="1" w:val="04A0"/>
      </w:tblPr>
      <w:tblGrid>
        <w:gridCol w:w="2767"/>
        <w:gridCol w:w="2767"/>
        <w:gridCol w:w="2767"/>
      </w:tblGrid>
      <w:tr>
        <w:tc>
          <w:tcPr>
            <w:tcW w:type="dxa" w:w="2767"/>
            <w:shd w:fill="4472C4"/>
          </w:tcPr>
          <w:p>
            <w:r>
              <w:rPr>
                <w:b/>
                <w:color w:val="FFFFFF"/>
              </w:rPr>
              <w:t>事件</w:t>
            </w:r>
          </w:p>
        </w:tc>
        <w:tc>
          <w:tcPr>
            <w:tcW w:type="dxa" w:w="2767"/>
            <w:shd w:fill="4472C4"/>
          </w:tcPr>
          <w:p>
            <w:r>
              <w:rPr>
                <w:b/>
                <w:color w:val="FFFFFF"/>
              </w:rPr>
              <w:t>来源系统</w:t>
            </w:r>
          </w:p>
        </w:tc>
        <w:tc>
          <w:tcPr>
            <w:tcW w:type="dxa" w:w="2767"/>
            <w:shd w:fill="4472C4"/>
          </w:tcPr>
          <w:p>
            <w:r>
              <w:rPr>
                <w:b/>
                <w:color w:val="FFFFFF"/>
              </w:rPr>
              <w:t>通知内容</w:t>
            </w:r>
          </w:p>
        </w:tc>
      </w:tr>
      <w:tr>
        <w:tc>
          <w:tcPr>
            <w:tcW w:type="dxa" w:w="2767"/>
          </w:tcPr>
          <w:p>
            <w:r>
              <w:t>回测完成</w:t>
            </w:r>
          </w:p>
        </w:tc>
        <w:tc>
          <w:tcPr>
            <w:tcW w:type="dxa" w:w="2767"/>
          </w:tcPr>
          <w:p>
            <w:r>
              <w:t>回测系统</w:t>
            </w:r>
          </w:p>
        </w:tc>
        <w:tc>
          <w:tcPr>
            <w:tcW w:type="dxa" w:w="2767"/>
          </w:tcPr>
          <w:p>
            <w:r>
              <w:t>绩效摘要（胜率、最大回撤、年化收益率、夏普比率）+ 报告链接</w:t>
            </w:r>
          </w:p>
        </w:tc>
      </w:tr>
      <w:tr>
        <w:tc>
          <w:tcPr>
            <w:tcW w:type="dxa" w:w="2767"/>
          </w:tcPr>
          <w:p>
            <w:r>
              <w:t>持仓异动预警</w:t>
            </w:r>
          </w:p>
        </w:tc>
        <w:tc>
          <w:tcPr>
            <w:tcW w:type="dxa" w:w="2767"/>
          </w:tcPr>
          <w:p>
            <w:r>
              <w:t>模拟持仓系统</w:t>
            </w:r>
          </w:p>
        </w:tc>
        <w:tc>
          <w:tcPr>
            <w:tcW w:type="dxa" w:w="2767"/>
          </w:tcPr>
          <w:p>
            <w:r>
              <w:t>触发止盈/止损的股票名称及收益率、组合回撤预警</w:t>
            </w:r>
          </w:p>
        </w:tc>
      </w:tr>
      <w:tr>
        <w:tc>
          <w:tcPr>
            <w:tcW w:type="dxa" w:w="2767"/>
          </w:tcPr>
          <w:p>
            <w:r>
              <w:t>选股结果已更新</w:t>
            </w:r>
          </w:p>
        </w:tc>
        <w:tc>
          <w:tcPr>
            <w:tcW w:type="dxa" w:w="2767"/>
          </w:tcPr>
          <w:p>
            <w:r>
              <w:t>选股系统</w:t>
            </w:r>
          </w:p>
        </w:tc>
        <w:tc>
          <w:tcPr>
            <w:tcW w:type="dxa" w:w="2767"/>
          </w:tcPr>
          <w:p>
            <w:r>
              <w:t>当日选股结果链接或摘要</w:t>
            </w:r>
          </w:p>
        </w:tc>
      </w:tr>
      <w:tr>
        <w:tc>
          <w:tcPr>
            <w:tcW w:type="dxa" w:w="2767"/>
          </w:tcPr>
          <w:p>
            <w:r>
              <w:t>策略信号触发</w:t>
            </w:r>
          </w:p>
        </w:tc>
        <w:tc>
          <w:tcPr>
            <w:tcW w:type="dxa" w:w="2767"/>
          </w:tcPr>
          <w:p>
            <w:r>
              <w:t>模拟持仓系统</w:t>
            </w:r>
          </w:p>
        </w:tc>
        <w:tc>
          <w:tcPr>
            <w:tcW w:type="dxa" w:w="2767"/>
          </w:tcPr>
          <w:p>
            <w:r>
              <w:t>买入/卖出信号详情（股票、价格、信号类型）</w:t>
            </w:r>
          </w:p>
        </w:tc>
      </w:tr>
      <w:tr>
        <w:tc>
          <w:tcPr>
            <w:tcW w:type="dxa" w:w="2767"/>
          </w:tcPr>
          <w:p>
            <w:r>
              <w:t>定时报告</w:t>
            </w:r>
          </w:p>
        </w:tc>
        <w:tc>
          <w:tcPr>
            <w:tcW w:type="dxa" w:w="2767"/>
          </w:tcPr>
          <w:p>
            <w:r>
              <w:t>事件总线（定时器）</w:t>
            </w:r>
          </w:p>
        </w:tc>
        <w:tc>
          <w:tcPr>
            <w:tcW w:type="dxa" w:w="2767"/>
          </w:tcPr>
          <w:p>
            <w:r>
              <w:t>每日/每周持仓概览、市场行情简报</w:t>
            </w:r>
          </w:p>
        </w:tc>
      </w:tr>
      <w:tr>
        <w:tc>
          <w:tcPr>
            <w:tcW w:type="dxa" w:w="2767"/>
          </w:tcPr>
          <w:p>
            <w:r>
              <w:t>策略部署完成</w:t>
            </w:r>
          </w:p>
        </w:tc>
        <w:tc>
          <w:tcPr>
            <w:tcW w:type="dxa" w:w="2767"/>
          </w:tcPr>
          <w:p>
            <w:r>
              <w:t>回测记录系统</w:t>
            </w:r>
          </w:p>
        </w:tc>
        <w:tc>
          <w:tcPr>
            <w:tcW w:type="dxa" w:w="2767"/>
          </w:tcPr>
          <w:p>
            <w:r>
              <w:t>策略已成功部署到模拟持仓系统</w:t>
            </w:r>
          </w:p>
        </w:tc>
      </w:tr>
    </w:tbl>
    <w:p/>
    <w:p>
      <w:pPr>
        <w:pStyle w:val="Heading3"/>
      </w:pPr>
      <w:r>
        <w:t>3.6.3 技术实现</w:t>
      </w:r>
    </w:p>
    <w:p>
      <w:pPr>
        <w:pStyle w:val="ListBullet"/>
      </w:pPr>
      <w:r>
        <w:t>使用 SMTP 协议发送邮件，支持 QQ邮箱、163邮箱、Gmail 等主流邮箱服务。</w:t>
      </w:r>
    </w:p>
    <w:p>
      <w:pPr>
        <w:pStyle w:val="ListBullet"/>
      </w:pPr>
      <w:r>
        <w:t>邮件内容以 HTML 格式渲染，支持表格、图表等富文本内容嵌入。</w:t>
      </w:r>
    </w:p>
    <w:p>
      <w:pPr>
        <w:pStyle w:val="ListBullet"/>
      </w:pPr>
      <w:r>
        <w:t>支持多收件人配置，可设置多个通知邮箱。</w:t>
      </w:r>
    </w:p>
    <w:p>
      <w:pPr>
        <w:pStyle w:val="ListBullet"/>
      </w:pPr>
      <w:r>
        <w:t>邮件发送异步执行，不阻塞主业务流程。</w:t>
      </w:r>
    </w:p>
    <w:p>
      <w:pPr>
        <w:pStyle w:val="ListBullet"/>
      </w:pPr>
      <w:r>
        <w:t>提供测试邮件发送功能，方便用户验证配置正确性。</w:t>
      </w:r>
    </w:p>
    <w:p>
      <w:r>
        <w:br w:type="page"/>
      </w:r>
    </w:p>
    <w:p>
      <w:pPr>
        <w:pStyle w:val="Heading2"/>
      </w:pPr>
      <w:r>
        <w:t>3.7 事件总线（Event Bus）</w:t>
      </w:r>
    </w:p>
    <w:p>
      <w:pPr>
        <w:pStyle w:val="Heading3"/>
      </w:pPr>
      <w:r>
        <w:t>3.7.1 功能概述</w:t>
      </w:r>
    </w:p>
    <w:p>
      <w:r>
        <w:t>事件总线是各系统间松耦合通信的枢纽。所有系统只向总线发布事件，不需要知道谁在消费事件；所有消费者只订阅自己关心的事件，不需要知道事件从何而来。这一设计使得系统易于扩展和维护。</w:t>
      </w:r>
    </w:p>
    <w:p>
      <w:pPr>
        <w:pStyle w:val="Heading3"/>
      </w:pPr>
      <w:r>
        <w:t>3.7.2 核心事件定义</w:t>
      </w:r>
    </w:p>
    <w:p>
      <w:pPr>
        <w:pStyle w:val="ListBullet"/>
      </w:pPr>
      <w:r>
        <w:t>backtest.completed：回测完成事件，携带回测ID和绩效摘要。</w:t>
      </w:r>
    </w:p>
    <w:p>
      <w:pPr>
        <w:pStyle w:val="ListBullet"/>
      </w:pPr>
      <w:r>
        <w:t>hold.alarm：持仓预警事件，携带预警类型和详情。</w:t>
      </w:r>
    </w:p>
    <w:p>
      <w:pPr>
        <w:pStyle w:val="ListBullet"/>
      </w:pPr>
      <w:r>
        <w:t>stock_pick.updated：选股结果更新事件，携带选股摘要。</w:t>
      </w:r>
    </w:p>
    <w:p>
      <w:pPr>
        <w:pStyle w:val="ListBullet"/>
      </w:pPr>
      <w:r>
        <w:t>trade.signal：交易信号事件，携带买卖信号详情。</w:t>
      </w:r>
    </w:p>
    <w:p>
      <w:pPr>
        <w:pStyle w:val="ListBullet"/>
      </w:pPr>
      <w:r>
        <w:t>strategy.deployed：策略部署事件，携带策略ID和目标系统。</w:t>
      </w:r>
    </w:p>
    <w:p>
      <w:pPr>
        <w:pStyle w:val="ListBullet"/>
      </w:pPr>
      <w:r>
        <w:t>schedule.daily_report：定时日报事件，由定时触发器发布。</w:t>
      </w:r>
    </w:p>
    <w:p>
      <w:pPr>
        <w:pStyle w:val="Heading3"/>
      </w:pPr>
      <w:r>
        <w:t>3.7.3 技术实现</w:t>
      </w:r>
    </w:p>
    <w:p>
      <w:pPr>
        <w:pStyle w:val="ListBullet"/>
      </w:pPr>
      <w:r>
        <w:t>采用发布/订阅（Pub/Sub）模式，支持多消费者。</w:t>
      </w:r>
    </w:p>
    <w:p>
      <w:pPr>
        <w:pStyle w:val="ListBullet"/>
      </w:pPr>
      <w:r>
        <w:t>事件格式标准化：每个事件包含 event_type、timestamp、source、payload 四个字段。</w:t>
      </w:r>
    </w:p>
    <w:p>
      <w:pPr>
        <w:pStyle w:val="ListBullet"/>
      </w:pPr>
      <w:r>
        <w:t>支持同步和异步两种消费模式。</w:t>
      </w:r>
    </w:p>
    <w:p>
      <w:pPr>
        <w:pStyle w:val="ListBullet"/>
      </w:pPr>
      <w:r>
        <w:t>事件日志持久化，便于问题排查和审计。</w:t>
      </w:r>
    </w:p>
    <w:p>
      <w:r>
        <w:br w:type="page"/>
      </w:r>
    </w:p>
    <w:p>
      <w:pPr>
        <w:pStyle w:val="Heading1"/>
      </w:pPr>
      <w:r>
        <w:t>四、技术选型</w:t>
      </w:r>
    </w:p>
    <w:p>
      <w:pPr>
        <w:pStyle w:val="Heading2"/>
      </w:pPr>
      <w:r>
        <w:t>4.1 技术栈概览</w:t>
      </w:r>
    </w:p>
    <w:tbl>
      <w:tblPr>
        <w:tblStyle w:val="TableGrid"/>
        <w:tblW w:type="auto" w:w="0"/>
        <w:jc w:val="center"/>
        <w:tblLook w:firstColumn="1" w:firstRow="1" w:lastColumn="0" w:lastRow="0" w:noHBand="0" w:noVBand="1" w:val="04A0"/>
      </w:tblPr>
      <w:tblGrid>
        <w:gridCol w:w="2767"/>
        <w:gridCol w:w="2767"/>
        <w:gridCol w:w="2767"/>
      </w:tblGrid>
      <w:tr>
        <w:tc>
          <w:tcPr>
            <w:tcW w:type="dxa" w:w="2767"/>
            <w:shd w:fill="4472C4"/>
          </w:tcPr>
          <w:p>
            <w:r>
              <w:rPr>
                <w:b/>
                <w:color w:val="FFFFFF"/>
              </w:rPr>
              <w:t>层级</w:t>
            </w:r>
          </w:p>
        </w:tc>
        <w:tc>
          <w:tcPr>
            <w:tcW w:type="dxa" w:w="2767"/>
            <w:shd w:fill="4472C4"/>
          </w:tcPr>
          <w:p>
            <w:r>
              <w:rPr>
                <w:b/>
                <w:color w:val="FFFFFF"/>
              </w:rPr>
              <w:t>技术/工具</w:t>
            </w:r>
          </w:p>
        </w:tc>
        <w:tc>
          <w:tcPr>
            <w:tcW w:type="dxa" w:w="2767"/>
            <w:shd w:fill="4472C4"/>
          </w:tcPr>
          <w:p>
            <w:r>
              <w:rPr>
                <w:b/>
                <w:color w:val="FFFFFF"/>
              </w:rPr>
              <w:t>选型理由</w:t>
            </w:r>
          </w:p>
        </w:tc>
      </w:tr>
      <w:tr>
        <w:tc>
          <w:tcPr>
            <w:tcW w:type="dxa" w:w="2767"/>
          </w:tcPr>
          <w:p>
            <w:r>
              <w:t>开发语言</w:t>
            </w:r>
          </w:p>
        </w:tc>
        <w:tc>
          <w:tcPr>
            <w:tcW w:type="dxa" w:w="2767"/>
          </w:tcPr>
          <w:p>
            <w:r>
              <w:t>Python 3.12+</w:t>
            </w:r>
          </w:p>
        </w:tc>
        <w:tc>
          <w:tcPr>
            <w:tcW w:type="dxa" w:w="2767"/>
          </w:tcPr>
          <w:p>
            <w:r>
              <w:t>量化生态丰富，Pandas/NumPy 数据分析库成熟，开发效率高</w:t>
            </w:r>
          </w:p>
        </w:tc>
      </w:tr>
      <w:tr>
        <w:tc>
          <w:tcPr>
            <w:tcW w:type="dxa" w:w="2767"/>
          </w:tcPr>
          <w:p>
            <w:r>
              <w:t>数据获取</w:t>
            </w:r>
          </w:p>
        </w:tc>
        <w:tc>
          <w:tcPr>
            <w:tcW w:type="dxa" w:w="2767"/>
          </w:tcPr>
          <w:p>
            <w:r>
              <w:t>AKShare / Tushare / 通达信API</w:t>
            </w:r>
          </w:p>
        </w:tc>
        <w:tc>
          <w:tcPr>
            <w:tcW w:type="dxa" w:w="2767"/>
          </w:tcPr>
          <w:p>
            <w:r>
              <w:t>免费开源，数据覆盖全，社区活跃</w:t>
            </w:r>
          </w:p>
        </w:tc>
      </w:tr>
      <w:tr>
        <w:tc>
          <w:tcPr>
            <w:tcW w:type="dxa" w:w="2767"/>
          </w:tcPr>
          <w:p>
            <w:r>
              <w:t>数据分析</w:t>
            </w:r>
          </w:p>
        </w:tc>
        <w:tc>
          <w:tcPr>
            <w:tcW w:type="dxa" w:w="2767"/>
          </w:tcPr>
          <w:p>
            <w:r>
              <w:t>Pandas / NumPy</w:t>
            </w:r>
          </w:p>
        </w:tc>
        <w:tc>
          <w:tcPr>
            <w:tcW w:type="dxa" w:w="2767"/>
          </w:tcPr>
          <w:p>
            <w:r>
              <w:t>业界标准时序数据分析工具</w:t>
            </w:r>
          </w:p>
        </w:tc>
      </w:tr>
      <w:tr>
        <w:tc>
          <w:tcPr>
            <w:tcW w:type="dxa" w:w="2767"/>
          </w:tcPr>
          <w:p>
            <w:r>
              <w:t>数据存储</w:t>
            </w:r>
          </w:p>
        </w:tc>
        <w:tc>
          <w:tcPr>
            <w:tcW w:type="dxa" w:w="2767"/>
          </w:tcPr>
          <w:p>
            <w:r>
              <w:t>SQLite / HDF5 / CSV</w:t>
            </w:r>
          </w:p>
        </w:tc>
        <w:tc>
          <w:tcPr>
            <w:tcW w:type="dxa" w:w="2767"/>
          </w:tcPr>
          <w:p>
            <w:r>
              <w:t>轻量级，无需部署数据库服务，适合单机使用</w:t>
            </w:r>
          </w:p>
        </w:tc>
      </w:tr>
      <w:tr>
        <w:tc>
          <w:tcPr>
            <w:tcW w:type="dxa" w:w="2767"/>
          </w:tcPr>
          <w:p>
            <w:r>
              <w:t>大模型服务</w:t>
            </w:r>
          </w:p>
        </w:tc>
        <w:tc>
          <w:tcPr>
            <w:tcW w:type="dxa" w:w="2767"/>
          </w:tcPr>
          <w:p>
            <w:r>
              <w:t>OpenAI API / DeepSeek API / 通义千问 API</w:t>
            </w:r>
          </w:p>
        </w:tc>
        <w:tc>
          <w:tcPr>
            <w:tcW w:type="dxa" w:w="2767"/>
          </w:tcPr>
          <w:p>
            <w:r>
              <w:t>自然语言选股解析，统一接口层支持多模型切换</w:t>
            </w:r>
          </w:p>
        </w:tc>
      </w:tr>
      <w:tr>
        <w:tc>
          <w:tcPr>
            <w:tcW w:type="dxa" w:w="2767"/>
          </w:tcPr>
          <w:p>
            <w:r>
              <w:t>任务调度</w:t>
            </w:r>
          </w:p>
        </w:tc>
        <w:tc>
          <w:tcPr>
            <w:tcW w:type="dxa" w:w="2767"/>
          </w:tcPr>
          <w:p>
            <w:r>
              <w:t>APScheduler</w:t>
            </w:r>
          </w:p>
        </w:tc>
        <w:tc>
          <w:tcPr>
            <w:tcW w:type="dxa" w:w="2767"/>
          </w:tcPr>
          <w:p>
            <w:r>
              <w:t>功能完善，支持 Cron 表达式与交易日历</w:t>
            </w:r>
          </w:p>
        </w:tc>
      </w:tr>
      <w:tr>
        <w:tc>
          <w:tcPr>
            <w:tcW w:type="dxa" w:w="2767"/>
          </w:tcPr>
          <w:p>
            <w:r>
              <w:t>事件总线</w:t>
            </w:r>
          </w:p>
        </w:tc>
        <w:tc>
          <w:tcPr>
            <w:tcW w:type="dxa" w:w="2767"/>
          </w:tcPr>
          <w:p>
            <w:r>
              <w:t>自定义实现（基于 threading + queue）</w:t>
            </w:r>
          </w:p>
        </w:tc>
        <w:tc>
          <w:tcPr>
            <w:tcW w:type="dxa" w:w="2767"/>
          </w:tcPr>
          <w:p>
            <w:r>
              <w:t>轻量级，无需引入消息中间件，适合单机部署</w:t>
            </w:r>
          </w:p>
        </w:tc>
      </w:tr>
      <w:tr>
        <w:tc>
          <w:tcPr>
            <w:tcW w:type="dxa" w:w="2767"/>
          </w:tcPr>
          <w:p>
            <w:r>
              <w:t>邮件服务</w:t>
            </w:r>
          </w:p>
        </w:tc>
        <w:tc>
          <w:tcPr>
            <w:tcW w:type="dxa" w:w="2767"/>
          </w:tcPr>
          <w:p>
            <w:r>
              <w:t>smtplib + Jinja2</w:t>
            </w:r>
          </w:p>
        </w:tc>
        <w:tc>
          <w:tcPr>
            <w:tcW w:type="dxa" w:w="2767"/>
          </w:tcPr>
          <w:p>
            <w:r>
              <w:t>原生支持，模板引擎实现灵活的内容定制</w:t>
            </w:r>
          </w:p>
        </w:tc>
      </w:tr>
      <w:tr>
        <w:tc>
          <w:tcPr>
            <w:tcW w:type="dxa" w:w="2767"/>
          </w:tcPr>
          <w:p>
            <w:r>
              <w:t>Web 框架</w:t>
            </w:r>
          </w:p>
        </w:tc>
        <w:tc>
          <w:tcPr>
            <w:tcW w:type="dxa" w:w="2767"/>
          </w:tcPr>
          <w:p>
            <w:r>
              <w:t>Flask / Streamlit</w:t>
            </w:r>
          </w:p>
        </w:tc>
        <w:tc>
          <w:tcPr>
            <w:tcW w:type="dxa" w:w="2767"/>
          </w:tcPr>
          <w:p>
            <w:r>
              <w:t>轻量级 Web 框架，快速搭建控制台界面</w:t>
            </w:r>
          </w:p>
        </w:tc>
      </w:tr>
      <w:tr>
        <w:tc>
          <w:tcPr>
            <w:tcW w:type="dxa" w:w="2767"/>
          </w:tcPr>
          <w:p>
            <w:r>
              <w:t>可视化</w:t>
            </w:r>
          </w:p>
        </w:tc>
        <w:tc>
          <w:tcPr>
            <w:tcW w:type="dxa" w:w="2767"/>
          </w:tcPr>
          <w:p>
            <w:r>
              <w:t>Matplotlib / Plotly</w:t>
            </w:r>
          </w:p>
        </w:tc>
        <w:tc>
          <w:tcPr>
            <w:tcW w:type="dxa" w:w="2767"/>
          </w:tcPr>
          <w:p>
            <w:r>
              <w:t>回测图表生成，支持静态与交互式图表</w:t>
            </w:r>
          </w:p>
        </w:tc>
      </w:tr>
    </w:tbl>
    <w:p>
      <w:pPr>
        <w:pStyle w:val="Heading2"/>
      </w:pPr>
      <w:r>
        <w:t>4.2 运行环境</w:t>
      </w:r>
    </w:p>
    <w:p>
      <w:pPr>
        <w:pStyle w:val="ListBullet"/>
      </w:pPr>
      <w:r>
        <w:t>操作系统：Windows 10/11 / macOS / Linux（跨平台兼容）</w:t>
      </w:r>
    </w:p>
    <w:p>
      <w:pPr>
        <w:pStyle w:val="ListBullet"/>
      </w:pPr>
      <w:r>
        <w:t>Python 版本：3.12 及以上</w:t>
      </w:r>
    </w:p>
    <w:p>
      <w:pPr>
        <w:pStyle w:val="ListBullet"/>
      </w:pPr>
      <w:r>
        <w:t>推荐硬件：8GB+ 内存，100GB+ 可用磁盘空间（用于存储历史行情数据）</w:t>
      </w:r>
    </w:p>
    <w:p>
      <w:r>
        <w:br w:type="page"/>
      </w:r>
    </w:p>
    <w:p>
      <w:pPr>
        <w:pStyle w:val="Heading1"/>
      </w:pPr>
      <w:r>
        <w:t>五、开发排期</w:t>
      </w:r>
    </w:p>
    <w:p>
      <w:pPr>
        <w:pStyle w:val="Heading2"/>
      </w:pPr>
      <w:r>
        <w:t>5.1 阶段规划</w:t>
      </w:r>
    </w:p>
    <w:p>
      <w:r>
        <w:t>项目采用迭代开发模式，共分为四个阶段，预计总工期为 12~14 周。</w:t>
      </w:r>
    </w:p>
    <w:tbl>
      <w:tblPr>
        <w:tblStyle w:val="TableGrid"/>
        <w:tblW w:type="auto" w:w="0"/>
        <w:jc w:val="center"/>
        <w:tblLook w:firstColumn="1" w:firstRow="1" w:lastColumn="0" w:lastRow="0" w:noHBand="0" w:noVBand="1" w:val="04A0"/>
      </w:tblPr>
      <w:tblGrid>
        <w:gridCol w:w="2075"/>
        <w:gridCol w:w="2075"/>
        <w:gridCol w:w="2075"/>
        <w:gridCol w:w="2075"/>
      </w:tblGrid>
      <w:tr>
        <w:tc>
          <w:tcPr>
            <w:tcW w:type="dxa" w:w="2075"/>
            <w:shd w:fill="4472C4"/>
          </w:tcPr>
          <w:p>
            <w:r>
              <w:rPr>
                <w:b/>
                <w:color w:val="FFFFFF"/>
              </w:rPr>
              <w:t>阶段</w:t>
            </w:r>
          </w:p>
        </w:tc>
        <w:tc>
          <w:tcPr>
            <w:tcW w:type="dxa" w:w="2075"/>
            <w:shd w:fill="4472C4"/>
          </w:tcPr>
          <w:p>
            <w:r>
              <w:rPr>
                <w:b/>
                <w:color w:val="FFFFFF"/>
              </w:rPr>
              <w:t>内容</w:t>
            </w:r>
          </w:p>
        </w:tc>
        <w:tc>
          <w:tcPr>
            <w:tcW w:type="dxa" w:w="2075"/>
            <w:shd w:fill="4472C4"/>
          </w:tcPr>
          <w:p>
            <w:r>
              <w:rPr>
                <w:b/>
                <w:color w:val="FFFFFF"/>
              </w:rPr>
              <w:t>预计工期</w:t>
            </w:r>
          </w:p>
        </w:tc>
        <w:tc>
          <w:tcPr>
            <w:tcW w:type="dxa" w:w="2075"/>
            <w:shd w:fill="4472C4"/>
          </w:tcPr>
          <w:p>
            <w:r>
              <w:rPr>
                <w:b/>
                <w:color w:val="FFFFFF"/>
              </w:rPr>
              <w:t>交付物</w:t>
            </w:r>
          </w:p>
        </w:tc>
      </w:tr>
      <w:tr>
        <w:tc>
          <w:tcPr>
            <w:tcW w:type="dxa" w:w="2075"/>
          </w:tcPr>
          <w:p>
            <w:r>
              <w:t>第一阶段</w:t>
            </w:r>
          </w:p>
        </w:tc>
        <w:tc>
          <w:tcPr>
            <w:tcW w:type="dxa" w:w="2075"/>
          </w:tcPr>
          <w:p>
            <w:r>
              <w:t>数据获取系统搭建 + 统一数据服务层</w:t>
            </w:r>
          </w:p>
        </w:tc>
        <w:tc>
          <w:tcPr>
            <w:tcW w:type="dxa" w:w="2075"/>
          </w:tcPr>
          <w:p>
            <w:r>
              <w:t>2~3 周</w:t>
            </w:r>
          </w:p>
        </w:tc>
        <w:tc>
          <w:tcPr>
            <w:tcW w:type="dxa" w:w="2075"/>
          </w:tcPr>
          <w:p>
            <w:r>
              <w:t>数据采集模块、统一数据接口</w:t>
            </w:r>
          </w:p>
        </w:tc>
      </w:tr>
      <w:tr>
        <w:tc>
          <w:tcPr>
            <w:tcW w:type="dxa" w:w="2075"/>
          </w:tcPr>
          <w:p>
            <w:r>
              <w:t>第二阶段</w:t>
            </w:r>
          </w:p>
        </w:tc>
        <w:tc>
          <w:tcPr>
            <w:tcW w:type="dxa" w:w="2075"/>
          </w:tcPr>
          <w:p>
            <w:r>
              <w:t>自然语言选股系统 + LLM 对接 + 回测引擎（含轮仓、资金分配、止盈止损）</w:t>
            </w:r>
          </w:p>
        </w:tc>
        <w:tc>
          <w:tcPr>
            <w:tcW w:type="dxa" w:w="2075"/>
          </w:tcPr>
          <w:p>
            <w:r>
              <w:t>4~5 周</w:t>
            </w:r>
          </w:p>
        </w:tc>
        <w:tc>
          <w:tcPr>
            <w:tcW w:type="dxa" w:w="2075"/>
          </w:tcPr>
          <w:p>
            <w:r>
              <w:t>选股器、回测引擎核心功能</w:t>
            </w:r>
          </w:p>
        </w:tc>
      </w:tr>
      <w:tr>
        <w:tc>
          <w:tcPr>
            <w:tcW w:type="dxa" w:w="2075"/>
          </w:tcPr>
          <w:p>
            <w:r>
              <w:t>第三阶段</w:t>
            </w:r>
          </w:p>
        </w:tc>
        <w:tc>
          <w:tcPr>
            <w:tcW w:type="dxa" w:w="2075"/>
          </w:tcPr>
          <w:p>
            <w:r>
              <w:t>模拟持仓系统 + 回测记录系统 + 策略部署机制</w:t>
            </w:r>
          </w:p>
        </w:tc>
        <w:tc>
          <w:tcPr>
            <w:tcW w:type="dxa" w:w="2075"/>
          </w:tcPr>
          <w:p>
            <w:r>
              <w:t>3~4 周</w:t>
            </w:r>
          </w:p>
        </w:tc>
        <w:tc>
          <w:tcPr>
            <w:tcW w:type="dxa" w:w="2075"/>
          </w:tcPr>
          <w:p>
            <w:r>
              <w:t>持仓管理、记录查询、一键部署</w:t>
            </w:r>
          </w:p>
        </w:tc>
      </w:tr>
      <w:tr>
        <w:tc>
          <w:tcPr>
            <w:tcW w:type="dxa" w:w="2075"/>
          </w:tcPr>
          <w:p>
            <w:r>
              <w:t>第四阶段</w:t>
            </w:r>
          </w:p>
        </w:tc>
        <w:tc>
          <w:tcPr>
            <w:tcW w:type="dxa" w:w="2075"/>
          </w:tcPr>
          <w:p>
            <w:r>
              <w:t>事件总线 + 邮件提醒 + Web 界面集成 + 系统联调</w:t>
            </w:r>
          </w:p>
        </w:tc>
        <w:tc>
          <w:tcPr>
            <w:tcW w:type="dxa" w:w="2075"/>
          </w:tcPr>
          <w:p>
            <w:r>
              <w:t>2~3 周</w:t>
            </w:r>
          </w:p>
        </w:tc>
        <w:tc>
          <w:tcPr>
            <w:tcW w:type="dxa" w:w="2075"/>
          </w:tcPr>
          <w:p>
            <w:r>
              <w:t>完整可运行的系统</w:t>
            </w:r>
          </w:p>
        </w:tc>
      </w:tr>
      <w:tr>
        <w:tc>
          <w:tcPr>
            <w:tcW w:type="dxa" w:w="2075"/>
          </w:tcPr>
          <w:p>
            <w:r>
              <w:t>后续迭代</w:t>
            </w:r>
          </w:p>
        </w:tc>
        <w:tc>
          <w:tcPr>
            <w:tcW w:type="dxa" w:w="2075"/>
          </w:tcPr>
          <w:p>
            <w:r>
              <w:t>性能优化、策略库扩充、用户反馈调整</w:t>
            </w:r>
          </w:p>
        </w:tc>
        <w:tc>
          <w:tcPr>
            <w:tcW w:type="dxa" w:w="2075"/>
          </w:tcPr>
          <w:p>
            <w:r>
              <w:t>持续</w:t>
            </w:r>
          </w:p>
        </w:tc>
        <w:tc>
          <w:tcPr>
            <w:tcW w:type="dxa" w:w="2075"/>
          </w:tcPr>
          <w:p>
            <w:r>
              <w:t>优化版本</w:t>
            </w:r>
          </w:p>
        </w:tc>
      </w:tr>
    </w:tbl>
    <w:p/>
    <w:p>
      <w:pPr>
        <w:pStyle w:val="Heading2"/>
      </w:pPr>
      <w:r>
        <w:t>5.2 里程碑节点</w:t>
      </w:r>
    </w:p>
    <w:p>
      <w:pPr>
        <w:pStyle w:val="ListBullet"/>
      </w:pPr>
      <w:r>
        <w:t>M1（第3周末）：数据获取系统上线，统一数据接口可用。</w:t>
      </w:r>
    </w:p>
    <w:p>
      <w:pPr>
        <w:pStyle w:val="ListBullet"/>
      </w:pPr>
      <w:r>
        <w:t>M2（第7周末）：回测引擎可用，支持自然语言选股 + 轮仓 + 止盈止损 + 资金分配。</w:t>
      </w:r>
    </w:p>
    <w:p>
      <w:pPr>
        <w:pStyle w:val="ListBullet"/>
      </w:pPr>
      <w:r>
        <w:t>M3（第11周末）：持仓系统独立运行，回测→持仓一键部署链路打通。</w:t>
      </w:r>
    </w:p>
    <w:p>
      <w:pPr>
        <w:pStyle w:val="ListBullet"/>
      </w:pPr>
      <w:r>
        <w:t>M4（第14周末）：事件总线 + 邮件提醒 + Web 界面完成，系统达到 V1.0 发布标准。</w:t>
      </w:r>
    </w:p>
    <w:p>
      <w:r>
        <w:br w:type="page"/>
      </w:r>
    </w:p>
    <w:p>
      <w:pPr>
        <w:pStyle w:val="Heading1"/>
      </w:pPr>
      <w:r>
        <w:t>六、风险与应对</w:t>
      </w:r>
    </w:p>
    <w:tbl>
      <w:tblPr>
        <w:tblStyle w:val="TableGrid"/>
        <w:tblW w:type="auto" w:w="0"/>
        <w:jc w:val="center"/>
        <w:tblLook w:firstColumn="1" w:firstRow="1" w:lastColumn="0" w:lastRow="0" w:noHBand="0" w:noVBand="1" w:val="04A0"/>
      </w:tblPr>
      <w:tblGrid>
        <w:gridCol w:w="2767"/>
        <w:gridCol w:w="2767"/>
        <w:gridCol w:w="2767"/>
      </w:tblGrid>
      <w:tr>
        <w:tc>
          <w:tcPr>
            <w:tcW w:type="dxa" w:w="2767"/>
            <w:shd w:fill="4472C4"/>
          </w:tcPr>
          <w:p>
            <w:r>
              <w:rPr>
                <w:b/>
                <w:color w:val="FFFFFF"/>
              </w:rPr>
              <w:t>风险项</w:t>
            </w:r>
          </w:p>
        </w:tc>
        <w:tc>
          <w:tcPr>
            <w:tcW w:type="dxa" w:w="2767"/>
            <w:shd w:fill="4472C4"/>
          </w:tcPr>
          <w:p>
            <w:r>
              <w:rPr>
                <w:b/>
                <w:color w:val="FFFFFF"/>
              </w:rPr>
              <w:t>可能影响</w:t>
            </w:r>
          </w:p>
        </w:tc>
        <w:tc>
          <w:tcPr>
            <w:tcW w:type="dxa" w:w="2767"/>
            <w:shd w:fill="4472C4"/>
          </w:tcPr>
          <w:p>
            <w:r>
              <w:rPr>
                <w:b/>
                <w:color w:val="FFFFFF"/>
              </w:rPr>
              <w:t>应对措施</w:t>
            </w:r>
          </w:p>
        </w:tc>
      </w:tr>
      <w:tr>
        <w:tc>
          <w:tcPr>
            <w:tcW w:type="dxa" w:w="2767"/>
          </w:tcPr>
          <w:p>
            <w:r>
              <w:t>数据源不稳定或接口变更</w:t>
            </w:r>
          </w:p>
        </w:tc>
        <w:tc>
          <w:tcPr>
            <w:tcW w:type="dxa" w:w="2767"/>
          </w:tcPr>
          <w:p>
            <w:r>
              <w:t>数据获取中断，影响系统正常运行</w:t>
            </w:r>
          </w:p>
        </w:tc>
        <w:tc>
          <w:tcPr>
            <w:tcW w:type="dxa" w:w="2767"/>
          </w:tcPr>
          <w:p>
            <w:r>
              <w:t>多数据源并行接入，自动切换；接口变更时快速适配</w:t>
            </w:r>
          </w:p>
        </w:tc>
      </w:tr>
      <w:tr>
        <w:tc>
          <w:tcPr>
            <w:tcW w:type="dxa" w:w="2767"/>
          </w:tcPr>
          <w:p>
            <w:r>
              <w:t>历史数据量过大，性能瓶颈</w:t>
            </w:r>
          </w:p>
        </w:tc>
        <w:tc>
          <w:tcPr>
            <w:tcW w:type="dxa" w:w="2767"/>
          </w:tcPr>
          <w:p>
            <w:r>
              <w:t>回测速度慢，影响用户体验</w:t>
            </w:r>
          </w:p>
        </w:tc>
        <w:tc>
          <w:tcPr>
            <w:tcW w:type="dxa" w:w="2767"/>
          </w:tcPr>
          <w:p>
            <w:r>
              <w:t>采用 HDF5 高效存储格式；支持分批回测与并行计算</w:t>
            </w:r>
          </w:p>
        </w:tc>
      </w:tr>
      <w:tr>
        <w:tc>
          <w:tcPr>
            <w:tcW w:type="dxa" w:w="2767"/>
          </w:tcPr>
          <w:p>
            <w:r>
              <w:t>LLM 解析结果不稳定</w:t>
            </w:r>
          </w:p>
        </w:tc>
        <w:tc>
          <w:tcPr>
            <w:tcW w:type="dxa" w:w="2767"/>
          </w:tcPr>
          <w:p>
            <w:r>
              <w:t>选股条件解析出错，影响后续流程</w:t>
            </w:r>
          </w:p>
        </w:tc>
        <w:tc>
          <w:tcPr>
            <w:tcW w:type="dxa" w:w="2767"/>
          </w:tcPr>
          <w:p>
            <w:r>
              <w:t>人机确认机制兜底；提供重试和手工修正入口；Prompt 持续优化</w:t>
            </w:r>
          </w:p>
        </w:tc>
      </w:tr>
      <w:tr>
        <w:tc>
          <w:tcPr>
            <w:tcW w:type="dxa" w:w="2767"/>
          </w:tcPr>
          <w:p>
            <w:r>
              <w:t>轮仓逻辑复杂，调试困难</w:t>
            </w:r>
          </w:p>
        </w:tc>
        <w:tc>
          <w:tcPr>
            <w:tcW w:type="dxa" w:w="2767"/>
          </w:tcPr>
          <w:p>
            <w:r>
              <w:t>回测结果异常，难以定位问题</w:t>
            </w:r>
          </w:p>
        </w:tc>
        <w:tc>
          <w:tcPr>
            <w:tcW w:type="dxa" w:w="2767"/>
          </w:tcPr>
          <w:p>
            <w:r>
              <w:t>提供详细回测日志（含每周期调仓明细）；支持分步调试模式</w:t>
            </w:r>
          </w:p>
        </w:tc>
      </w:tr>
      <w:tr>
        <w:tc>
          <w:tcPr>
            <w:tcW w:type="dxa" w:w="2767"/>
          </w:tcPr>
          <w:p>
            <w:r>
              <w:t>选股条件设置不当导致结果为空</w:t>
            </w:r>
          </w:p>
        </w:tc>
        <w:tc>
          <w:tcPr>
            <w:tcW w:type="dxa" w:w="2767"/>
          </w:tcPr>
          <w:p>
            <w:r>
              <w:t>回测或持仓系统无法执行</w:t>
            </w:r>
          </w:p>
        </w:tc>
        <w:tc>
          <w:tcPr>
            <w:tcW w:type="dxa" w:w="2767"/>
          </w:tcPr>
          <w:p>
            <w:r>
              <w:t>提示选股结果不足并给出建议；提供放宽条件的快速入口</w:t>
            </w:r>
          </w:p>
        </w:tc>
      </w:tr>
      <w:tr>
        <w:tc>
          <w:tcPr>
            <w:tcW w:type="dxa" w:w="2767"/>
          </w:tcPr>
          <w:p>
            <w:r>
              <w:t>邮件被误判为垃圾邮件</w:t>
            </w:r>
          </w:p>
        </w:tc>
        <w:tc>
          <w:tcPr>
            <w:tcW w:type="dxa" w:w="2767"/>
          </w:tcPr>
          <w:p>
            <w:r>
              <w:t>用户无法及时收到通知</w:t>
            </w:r>
          </w:p>
        </w:tc>
        <w:tc>
          <w:tcPr>
            <w:tcW w:type="dxa" w:w="2767"/>
          </w:tcPr>
          <w:p>
            <w:r>
              <w:t>支持主流邮箱的SMTP配置优化；建议用户添加白名单</w:t>
            </w:r>
          </w:p>
        </w:tc>
      </w:tr>
    </w:tbl>
    <w:p/>
    <w:p>
      <w:pPr>
        <w:pStyle w:val="Heading1"/>
      </w:pPr>
      <w:r>
        <w:t>结  语</w:t>
      </w:r>
    </w:p>
    <w:p>
      <w:r>
        <w:t>本计划书系统梳理了股票量化回测平台的总体架构与各核心功能模块的设计思路。平台采用"策略验证（回测）→ 策略执行（持仓）"的双引擎架构，两者独立运行、策略同源，形成了从历史验证到实时执行的完整闭环。自然语言驱动的选股系统、事件总线的松耦合通信机制，以及策略的一键部署能力，共同构成了一套实用、灵活、可扩展的量化投资辅助工具。</w:t>
      </w:r>
    </w:p>
    <w:p>
      <w:r>
        <w:t>本计划书为 V2.0 版本，后续将根据需求变化与开发进展持续更新完善。</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Arial" w:hAnsi="Arial"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Arial" w:hAnsi="Arial"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Arial" w:hAnsi="Arial" w:eastAsia="黑体"/>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Arial" w:hAnsi="Arial" w:eastAsia="黑体"/>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