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the coefficient does not set the</w:t>
      </w:r>
      <w:r>
        <w:t xml:space="preserve"> </w:t>
      </w:r>
      <w:r>
        <w:t xml:space="preserve">level on its own. The two average-zone monitors differ by nearly a factor of two, and node 231 clears the highest old-zone monitor by only 0.019 mg L</w:t>
      </w:r>
      <w:r>
        <w:rPr>
          <w:vertAlign w:val="superscript"/>
        </w:rPr>
        <w:t xml:space="preserve">-1</w:t>
      </w:r>
      <w:r>
        <w:t xml:space="preserve">, because residence time</w:t>
      </w:r>
      <w:r>
        <w:t xml:space="preserve"> </w:t>
      </w:r>
      <w:r>
        <w:t xml:space="preserve">and position also modulate the accumulated decay. In the noise-free reference trajectory, 21 of the 92 junctions cross below the 0.2 mg L</w:t>
      </w:r>
      <w:r>
        <w:rPr>
          <w:vertAlign w:val="superscript"/>
        </w:rPr>
        <w:t xml:space="preserve">-1</w:t>
      </w:r>
      <w:r>
        <w:t xml:space="preserve"> </w:t>
      </w:r>
      <w:r>
        <w:t xml:space="preserve">threshold at least once in the window. That is a property of the truth,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2026-08-11T23:17:54Z</dcterms:created>
  <dcterms:modified xsi:type="dcterms:W3CDTF">2026-08-11T23:17:54Z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