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offsets or drift bias the inferred parameters while remaining hard to diagnose from</w:t>
      </w:r>
      <w:r>
        <w:t xml:space="preserve"> </w:t>
      </w:r>
      <w:r>
        <w:t xml:space="preserve">fit quality, and online free-chlorine sensors degrade in exactly that way</w:t>
      </w:r>
      <w:r>
        <w:t xml:space="preserve"> </w:t>
      </w:r>
      <w:r>
        <w:t xml:space="preserve">(Hutton</w:t>
      </w:r>
      <w:r>
        <w:t xml:space="preserve"> </w:t>
      </w:r>
      <w:r>
        <w:rPr>
          <w:i/>
          <w:iCs/>
        </w:rPr>
        <w:t xml:space="preserve">et al.</w:t>
      </w:r>
      <w:r>
        <w:t xml:space="preserve">, 2014; 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 between pipes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inferred coefficients represent the underlying</w:t>
      </w:r>
      <w:r>
        <w:t xml:space="preserve"> </w:t>
      </w:r>
      <w:r>
        <w:t xml:space="preserve">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and against the limiting case without</w:t>
      </w:r>
      <w:r>
        <w:t xml:space="preserve"> </w:t>
      </w:r>
      <w:r>
        <w:t xml:space="preserve">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2026-08-11T16:51:53Z</dcterms:created>
  <dcterms:modified xsi:type="dcterms:W3CDTF">2026-08-11T16:51:53Z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