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w:t>
      </w:r>
      <w:r>
        <w:t xml:space="preserve"> </w:t>
      </w:r>
      <w:r>
        <w:t xml:space="preserve">informal weighting previously applied to the same system on identical observations and candidate</w:t>
      </w:r>
      <w:r>
        <w:t xml:space="preserve"> </w:t>
      </w:r>
      <w:r>
        <w:t xml:space="preserve">draws; identifiability is triangulated across prior contraction, displaced priors, Fisher</w:t>
      </w:r>
      <w:r>
        <w:t xml:space="preserve"> </w:t>
      </w:r>
      <w:r>
        <w:t xml:space="preserve">information, profile likelihood and repeated-noise calibration; and measurement, nuisance and</w:t>
      </w:r>
      <w:r>
        <w:t xml:space="preserve"> </w:t>
      </w:r>
      <w:r>
        <w:t xml:space="preserve">structural errors are placed on common scales before propagation to prediction and low-chlorine</w:t>
      </w:r>
      <w:r>
        <w:t xml:space="preserve"> </w:t>
      </w:r>
      <w:r>
        <w:t xml:space="preserve">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Treating bulk decay and monitor offsets as</w:t>
      </w:r>
      <w:r>
        <w:t xml:space="preserve"> </w:t>
      </w:r>
      <w:r>
        <w:t xml:space="preserve">jointly unknown withdrew practical identifiability from the average and new coefficients.</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best achievable aggregate residual never exceeded the realised</w:t>
      </w:r>
      <w:r>
        <w:t xml:space="preserve"> </w:t>
      </w:r>
      <w:r>
        <w:t xml:space="preserve">observation-noise RMSE by 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w:t>
      </w:r>
      <w:r>
        <w:t xml:space="preserve"> </w:t>
      </w:r>
      <w:r>
        <w:t xml:space="preserve">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w:t>
      </w:r>
      <w:r>
        <w:t xml:space="preserve"> </w:t>
      </w:r>
      <w:r>
        <w:t xml:space="preserve">m day</w:t>
      </w:r>
      <w:r>
        <w:rPr>
          <w:vertAlign w:val="superscript"/>
        </w:rPr>
        <w:t xml:space="preserve">-1</w:t>
      </w:r>
      <w:r>
        <w:t xml:space="preserve">, the wall reaction coupled to mass transfer from the bulk so that diameter and flow</w:t>
      </w:r>
      <w:r>
        <w:t xml:space="preserve"> </w:t>
      </w:r>
      <w:r>
        <w:t xml:space="preserve">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Those groups are usually fitted by global search, with genetic and</w:t>
      </w:r>
      <w:r>
        <w:t xml:space="preserve"> </w:t>
      </w:r>
      <w:r>
        <w:t xml:space="preserve">particle-swarm algorithms minimising concentration misfit</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which returns a point estimate rather than a statement about how</w:t>
      </w:r>
      <w:r>
        <w:t xml:space="preserve"> </w:t>
      </w:r>
      <w:r>
        <w:t xml:space="preserve">well the data constrain it.</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w:t>
      </w:r>
      <w:r>
        <w:t xml:space="preserve"> </w:t>
      </w:r>
      <w:r>
        <w:t xml:space="preserve">reduce the effective information in monitored series, and readings at a reporting boundary are</w:t>
      </w:r>
      <w:r>
        <w:t xml:space="preserve"> </w:t>
      </w:r>
      <w:r>
        <w:t xml:space="preserve">censored rather than exact. Systematic sensor offsets or drift bias the inferred parameters while</w:t>
      </w:r>
      <w:r>
        <w:t xml:space="preserve"> </w:t>
      </w:r>
      <w:r>
        <w:t xml:space="preserve">remaining difficult to diagnose from fit quality. Bulk decay is often estimated separately and</w:t>
      </w:r>
      <w:r>
        <w:t xml:space="preserve"> </w:t>
      </w:r>
      <w:r>
        <w:t xml:space="preserve">held fixed during wall-decay calibration, so an error in it is absorbed by the wall coefficients,</w:t>
      </w:r>
      <w:r>
        <w:t xml:space="preserve"> </w:t>
      </w:r>
      <w:r>
        <w:t xml:space="preserve">and any grouped representation is an approximation when reactivity varies between pipes. A close</w:t>
      </w:r>
      <w:r>
        <w:t xml:space="preserve"> </w:t>
      </w:r>
      <w:r>
        <w:t xml:space="preserve">fit to monitored concentrations therefore does not establish that the inferred coefficients</w:t>
      </w:r>
      <w:r>
        <w:t xml:space="preserve"> </w:t>
      </w:r>
      <w:r>
        <w:t xml:space="preserve">represent the underlying reaction process.</w:t>
      </w:r>
    </w:p>
    <w:p>
      <w:pPr>
        <w:pStyle w:val="BodyText"/>
      </w:pPr>
      <w:r>
        <w:t xml:space="preserve">Uncertainty here has been approached by assimilating observations in real time, updating states</w:t>
      </w:r>
      <w:r>
        <w:t xml:space="preserve"> </w:t>
      </w:r>
      <w:r>
        <w:t xml:space="preserve">and parameters together</w:t>
      </w:r>
      <w:r>
        <w:t xml:space="preserve"> </w:t>
      </w:r>
      <w:r>
        <w:t xml:space="preserve">(Hutton</w:t>
      </w:r>
      <w:r>
        <w:t xml:space="preserve"> </w:t>
      </w:r>
      <w:r>
        <w:rPr>
          <w:i/>
          <w:iCs/>
        </w:rPr>
        <w:t xml:space="preserve">et al.</w:t>
      </w:r>
      <w:r>
        <w:t xml:space="preserve">, 2014; Rajakumar</w:t>
      </w:r>
      <w:r>
        <w:t xml:space="preserve"> </w:t>
      </w:r>
      <w:r>
        <w:rPr>
          <w:i/>
          <w:iCs/>
        </w:rPr>
        <w:t xml:space="preserve">et al.</w:t>
      </w:r>
      <w:r>
        <w:t xml:space="preserve">, 2019)</w:t>
      </w:r>
      <w:r>
        <w:t xml:space="preserve">, by treating</w:t>
      </w:r>
      <w:r>
        <w:t xml:space="preserve"> </w:t>
      </w:r>
      <w:r>
        <w:t xml:space="preserve">input error explicitly in water-quality calibration</w:t>
      </w:r>
      <w:r>
        <w:t xml:space="preserve"> </w:t>
      </w:r>
      <w:r>
        <w:t xml:space="preserve">(Wu, Marshall &amp; Sharma, 2022)</w:t>
      </w:r>
      <w:r>
        <w:t xml:space="preserve">, and by formal Bayesian</w:t>
      </w:r>
      <w:r>
        <w:t xml:space="preserve"> </w:t>
      </w:r>
      <w:r>
        <w:t xml:space="preserve">inference on disinfectant decay parameters</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w:t>
      </w:r>
      <w:r>
        <w:t xml:space="preserve"> </w:t>
      </w:r>
      <w:r>
        <w:t xml:space="preserve">combine behavioural thresholds with informal likelihood measures whose statistical</w:t>
      </w:r>
      <w:r>
        <w:t xml:space="preserve"> </w:t>
      </w:r>
      <w:r>
        <w:t xml:space="preserve">interpretation depends on their relationship to the assumed error process</w:t>
      </w:r>
      <w:r>
        <w:t xml:space="preserve"> </w:t>
      </w:r>
      <w:r>
        <w:t xml:space="preserve">(Beven &amp; Binley, 1992)</w:t>
      </w:r>
      <w:r>
        <w:t xml:space="preserve">, and</w:t>
      </w:r>
      <w:r>
        <w:t xml:space="preserve"> </w:t>
      </w:r>
      <w:r>
        <w:t xml:space="preserve">critiques have shown that a measure not representing the sampling distribution of model errors</w:t>
      </w:r>
      <w:r>
        <w:t xml:space="preserve"> </w:t>
      </w:r>
      <w:r>
        <w:t xml:space="preserve">need not deliver formally calibrated parameter or prediction 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a controlled comparison of a formal censored Gaussian</w:t>
      </w:r>
      <w:r>
        <w:t xml:space="preserve"> </w:t>
      </w:r>
      <w:r>
        <w:t xml:space="preserve">likelihood against the specific informal weighting previously applied to this system, on</w:t>
      </w:r>
      <w:r>
        <w:t xml:space="preserve"> </w:t>
      </w:r>
      <w:r>
        <w:t xml:space="preserve">identical observations and candidate draws; an identifiability assessment triangulated across</w:t>
      </w:r>
      <w:r>
        <w:t xml:space="preserve"> </w:t>
      </w:r>
      <w:r>
        <w:t xml:space="preserve">posterior contraction, displaced priors, Fisher information, continuous profile likelihood and</w:t>
      </w:r>
      <w:r>
        <w:t xml:space="preserve"> </w:t>
      </w:r>
      <w:r>
        <w:t xml:space="preserve">repeated-noise calibration; a separation of precision loss from parameter displacement across</w:t>
      </w:r>
      <w:r>
        <w:t xml:space="preserve"> </w:t>
      </w:r>
      <w:r>
        <w:t xml:space="preserve">measurement, nuisance and structural perturbations on common reference scales; and an explicit</w:t>
      </w:r>
      <w:r>
        <w:t xml:space="preserve"> </w:t>
      </w:r>
      <w:r>
        <w:t xml:space="preserve">distinction between parameter identification, predictive 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what the unmet diagnostics bound</w:t>
      </w:r>
      <w:r>
        <w:t xml:space="preserve"> </w:t>
      </w:r>
      <w:r>
        <w:t xml:space="preserve">is reported in Section 3.1.2.</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reported by the analysis are expressed in mg L</w:t>
      </w:r>
      <w:r>
        <w:rPr>
          <w:vertAlign w:val="superscript"/>
        </w:rPr>
        <w:t xml:space="preserve">-1</w:t>
      </w:r>
      <w:r>
        <w:t xml:space="preserve">, converted to WNTR’s</w:t>
      </w:r>
      <w:r>
        <w:t xml:space="preserve"> </w:t>
      </w:r>
      <w:r>
        <w:t xml:space="preserve">internal kg m</w:t>
      </w:r>
      <w:r>
        <w:rPr>
          <w:vertAlign w:val="superscript"/>
        </w:rPr>
        <w:t xml:space="preserve">-3</w:t>
      </w:r>
      <w:r>
        <w:t xml:space="preserve"> </w:t>
      </w:r>
      <w:r>
        <w:t xml:space="preserve">representation on model input and back on output. The EPANET absolute quality</w:t>
      </w:r>
      <w:r>
        <w:t xml:space="preserve"> </w:t>
      </w:r>
      <w:r>
        <w:t xml:space="preserve">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This is a chosen setting rather than a unit</w:t>
      </w:r>
      <w:r>
        <w:t xml:space="preserve"> </w:t>
      </w:r>
      <w:r>
        <w:t xml:space="preserve">conversion: it is a thousand times stricter than the EPANET default of 0.01 mg L</w:t>
      </w:r>
      <w:r>
        <w:rPr>
          <w:vertAlign w:val="superscript"/>
        </w:rPr>
        <w:t xml:space="preserve">-1</w:t>
      </w:r>
      <w:r>
        <w:t xml:space="preserve">, and holds</w:t>
      </w:r>
      <w:r>
        <w:t xml:space="preserve"> </w:t>
      </w:r>
      <w:r>
        <w:t xml:space="preserve">the tolerance-to-source ratio fixed so that the corrected and superseded implementations can be</w:t>
      </w:r>
      <w:r>
        <w:t xml:space="preserve"> </w:t>
      </w:r>
      <w:r>
        <w:t xml:space="preserve">compared as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w:t>
      </w:r>
      <w:r>
        <w:t xml:space="preserve"> </w:t>
      </w:r>
      <w:r>
        <w:t xml:space="preserve">was checked for the expected sign, for monotonic response to the coefficient, and against the</w:t>
      </w:r>
      <w:r>
        <w:t xml:space="preserve"> </w:t>
      </w:r>
      <w:r>
        <w:t xml:space="preserve">limiting case without mass-transfer resistance.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in particular the censored Gaussian, iid Gaussian and informal GLUE formulations</w:t>
      </w:r>
      <w:r>
        <w:t xml:space="preserve"> </w:t>
      </w:r>
      <w:r>
        <w:t xml:space="preserve">were evaluated on identical prior draws and identical model predictions, so any difference</w:t>
      </w:r>
      <w:r>
        <w:t xml:space="preserve"> </w:t>
      </w:r>
      <w:r>
        <w:t xml:space="preserve">between those baseline inference results is attributable to the weighting formulation rather</w:t>
      </w:r>
      <w:r>
        <w:t xml:space="preserve"> </w:t>
      </w:r>
      <w:r>
        <w:t xml:space="preserve">than to sampling or to 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 used in the original analysis of this system was retained</w:t>
      </w:r>
      <w:r>
        <w:t xml:space="preserve"> </w:t>
      </w:r>
      <w:r>
        <w:t xml:space="preserve">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 original-prior standard deviation, while the average and new boxes kept their DOWN positions; OLDUP is therefore a directional check for the old coefficient rather than a second like-for-like 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w:t>
      </w:r>
      <w:r>
        <w:t xml:space="preserve"> </w:t>
      </w:r>
      <w:r>
        <w:t xml:space="preserve">row was flagged as sampling-limited when its median ESS fell below 100, or when any realisation</w:t>
      </w:r>
      <w:r>
        <w:t xml:space="preserve"> </w:t>
      </w:r>
      <w:r>
        <w:t xml:space="preserve">produced an empty behavioural set; contraction from such rows is not interpreted as a</w:t>
      </w:r>
      <w:r>
        <w:t xml:space="preserve"> </w:t>
      </w:r>
      <w:r>
        <w:t xml:space="preserve">quantitative estimate of the benefit of that sensor precision, because a sharper likelihood</w:t>
      </w:r>
      <w:r>
        <w:t xml:space="preserve"> </w:t>
      </w:r>
      <w:r>
        <w:t xml:space="preserve">concentrates on a 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the standardised displacement puts that paired shift on the scale of</w:t>
      </w:r>
      <w:r>
        <w:t xml:space="preserve"> </w:t>
      </w:r>
      <w:r>
        <w:t xml:space="preserve">Section 2.5 using the repeated-baseline denominator; and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scaling,</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Activation energies and a temperature deviation added to each</w:t>
      </w:r>
      <w:r>
        <w:t xml:space="preserve"> </w:t>
      </w:r>
      <w:r>
        <w:t xml:space="preserve">scenario mean were drawn from truncated normals keeping simulated temperatures inside the stated</w:t>
      </w:r>
      <w:r>
        <w:t xml:space="preserve"> </w:t>
      </w:r>
      <w:r>
        <w:t xml:space="preserve">8–24 °C validity range, with the distributions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explicitly.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broad zonal pattern follows the imposed reactivity contrast, but concentration is</w:t>
      </w:r>
      <w:r>
        <w:t xml:space="preserve"> </w:t>
      </w:r>
      <w:r>
        <w:t xml:space="preserve">not ordered by wall-decay coefficient alone: node 231 in the average zone sits below node 145 in</w:t>
      </w:r>
      <w:r>
        <w:t xml:space="preserve"> </w:t>
      </w:r>
      <w:r>
        <w:t xml:space="preserve">the old zone, because hydraulic residence and network position also strongly modulate the</w:t>
      </w:r>
      <w:r>
        <w:t xml:space="preserve"> </w:t>
      </w:r>
      <w:r>
        <w:t xml:space="preserve">accumulated decay. In the deterministic noise-free reference trajectory, 21 of the 92 junctions</w:t>
      </w:r>
      <w:r>
        <w:t xml:space="preserve"> </w:t>
      </w:r>
      <w:r>
        <w:t xml:space="preserve">cross below the 0.2 mg L</w:t>
      </w:r>
      <w:r>
        <w:rPr>
          <w:vertAlign w:val="superscript"/>
        </w:rPr>
        <w:t xml:space="preserve">-1</w:t>
      </w:r>
      <w:r>
        <w:t xml:space="preserve"> </w:t>
      </w:r>
      <w:r>
        <w:t xml:space="preserve">operational threshold at least once during the window; this is a</w:t>
      </w:r>
      <w:r>
        <w:t xml:space="preserve"> </w:t>
      </w:r>
      <w:r>
        <w:t xml:space="preserve">property of the truth and is not the ensemble-weighted breach count reported in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w:t>
      </w:r>
      <w:r>
        <w:t xml:space="preserve"> </w:t>
      </w:r>
      <w:r>
        <w:t xml:space="preserve">at the threshold used in the original analysis, RMSE &lt; 0.120 mg L</w:t>
      </w:r>
      <w:r>
        <w:rPr>
          <w:vertAlign w:val="superscript"/>
        </w:rPr>
        <w:t xml:space="preserve">-1</w:t>
      </w:r>
      <w:r>
        <w:t xml:space="preserve">, the same 294 residuals</w:t>
      </w:r>
      <w:r>
        <w:t xml:space="preserve"> </w:t>
      </w:r>
      <w:r>
        <w:t xml:space="preserve">left 85.8%, 98.4% and 98.0% of the prior standard deviation intact: the average and new</w:t>
      </w:r>
      <w:r>
        <w:t xml:space="preserve"> </w:t>
      </w:r>
      <w:r>
        <w:t xml:space="preserve">behavioural distributions retained essentially the full prior dispersion and were effectively</w:t>
      </w:r>
      <w:r>
        <w:t xml:space="preserve"> </w:t>
      </w:r>
      <w:r>
        <w:t xml:space="preserve">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w:t>
      </w:r>
      <w:r>
        <w:t xml:space="preserve"> </w:t>
      </w:r>
      <w:r>
        <w:t xml:space="preserve">effective sample of about 157 of 8192 draws (1.9%), whereas the informal effective sample size</w:t>
      </w:r>
      <w:r>
        <w:t xml:space="preserve"> </w:t>
      </w:r>
      <w:r>
        <w:t xml:space="preserve">almost equalled the number of retained candidates, at 4783 of 4786 for a threshold of 0.107 and 7062 of 7084 at 0.120, so the weights were nearly uniform within the 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seventeen times the assumed sensor noise and</w:t>
      </w:r>
      <w:r>
        <w:t xml:space="preserve"> </w:t>
      </w:r>
      <w:r>
        <w:t xml:space="preserve">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from a prior no longer centred on the truth.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w:t>
      </w:r>
      <w:r>
        <w:t xml:space="preserve"> </w:t>
      </w:r>
      <w:r>
        <w:t xml:space="preserve">[-1.172, -0.811], [-0.137, -0.082] and [-0.060, -0.029] m day</w:t>
      </w:r>
      <w:r>
        <w:rPr>
          <w:vertAlign w:val="superscript"/>
        </w:rPr>
        <w:t xml:space="preserve">-1</w:t>
      </w:r>
      <w:r>
        <w:t xml:space="preserve">, each covering its true value;</w:t>
      </w:r>
      <w:r>
        <w:t xml:space="preserve"> </w:t>
      </w:r>
      <w:r>
        <w:t xml:space="preserve">endpoints obtained by bisection are quoted rather than grid endpoints, which understate the</w:t>
      </w:r>
      <w:r>
        <w:t xml:space="preserve"> </w:t>
      </w:r>
      <w:r>
        <w:t xml:space="preserve">half-width by 39.0%, 14.9% and 28.1% and are used here only for visualisation. Finally,</w:t>
      </w:r>
      <w:r>
        <w:t xml:space="preserve"> </w:t>
      </w:r>
      <w:r>
        <w:t xml:space="preserve">repeating the calibration over 100 independent noise realisations gave a mean bias of at most</w:t>
      </w:r>
      <w:r>
        <w:t xml:space="preserve"> </w:t>
      </w:r>
      <w:r>
        <w:t xml:space="preserve">0.15 times the empirical sampling standard deviation, a ratio of empirical spread to the</w:t>
      </w:r>
      <w:r>
        <w:t xml:space="preserve"> </w:t>
      </w:r>
      <w:r>
        <w:t xml:space="preserve">Cramér–Rao bound of 1.04, 1.06 and 1.12, and 90% interval coverage of 0.89, 0.88 and 0.85, 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w:t>
      </w:r>
      <w:r>
        <w:t xml:space="preserve"> </w:t>
      </w:r>
      <w:r>
        <w:t xml:space="preserve">effective sample size at about 126 of 294 at a correlation of 0.4; recomputing the Fisher</w:t>
      </w:r>
      <w:r>
        <w:t xml:space="preserve"> </w:t>
      </w:r>
      <w:r>
        <w:t xml:space="preserve">information from the full block covariance instead widened the three bounds by 1.48, 1.49 and</w:t>
      </w:r>
      <w:r>
        <w:t xml:space="preserve"> </w:t>
      </w:r>
      <w:r>
        <w:t xml:space="preserve">1.44 times, to 37.5%, 43.5% and 41.7% of the prior standard deviation. Correlation at this</w:t>
      </w:r>
      <w:r>
        <w:t xml:space="preserve"> </w:t>
      </w:r>
      <w:r>
        <w:t xml:space="preserve">strength inflates uncertainty without removing information.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w:t>
      </w:r>
      <w:r>
        <w:t xml:space="preserve"> </w:t>
      </w:r>
      <w:r>
        <w:t xml:space="preserve">new (node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w:t>
      </w:r>
      <w:r>
        <w:t xml:space="preserve"> </w:t>
      </w:r>
      <w:r>
        <w:t xml:space="preserve">the window displaced the estimate by 0.89 to 0.99 times a constant offset at half that value,</w:t>
      </w:r>
      <w:r>
        <w:t xml:space="preserve"> </w:t>
      </w:r>
      <w:r>
        <w:t xml:space="preserve">but only 0.45 to 0.64 times one at the endpoint value: a sensor drifting to +0.10 mg L</w:t>
      </w:r>
      <w:r>
        <w:rPr>
          <w:vertAlign w:val="superscript"/>
        </w:rPr>
        <w:t xml:space="preserve">-1</w:t>
      </w:r>
      <w:r>
        <w:t xml:space="preserve"> </w:t>
      </w:r>
      <w:r>
        <w:t xml:space="preserve">behaves much more like a constant +0.05 than 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753100" cy="664713"/>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753100" cy="664713"/>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in the field</w:t>
      </w:r>
      <w:r>
        <w:t xml:space="preserve"> </w:t>
      </w:r>
      <w:r>
        <w:t xml:space="preserve">wall reactivity is unlikely to be uniform within any 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753100" cy="1462293"/>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753100" cy="1462293"/>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nominally well-calibrated coverage</w:t>
      </w:r>
      <w:r>
        <w:t xml:space="preserve"> </w:t>
      </w:r>
      <w:r>
        <w:t xml:space="preserve">of the held-out monitor 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753100" cy="2077667"/>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753100" cy="2077667"/>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w:t>
      </w:r>
      <w:r>
        <w:t xml:space="preserve"> </w:t>
      </w:r>
      <w:r>
        <w:t xml:space="preserve">accumulates a deficit of 1.68 mg L</w:t>
      </w:r>
      <w:r>
        <w:rPr>
          <w:vertAlign w:val="superscript"/>
        </w:rPr>
        <w:t xml:space="preserve">-1</w:t>
      </w:r>
      <w:r>
        <w:t xml:space="preserve"> </w:t>
      </w:r>
      <w:r>
        <w:t xml:space="preserve">h and has a median window minimum of 0.031 mg L</w:t>
      </w:r>
      <w:r>
        <w:rPr>
          <w:vertAlign w:val="superscript"/>
        </w:rPr>
        <w:t xml:space="preserve">-1</w:t>
      </w:r>
      <w:r>
        <w:t xml:space="preserve">; node</w:t>
      </w:r>
      <w:r>
        <w:t xml:space="preserve"> </w:t>
      </w:r>
      <w:r>
        <w:t xml:space="preserve">129 spends twice as long below the threshold yet accumulates only 0.84 mg L</w:t>
      </w:r>
      <w:r>
        <w:rPr>
          <w:vertAlign w:val="superscript"/>
        </w:rPr>
        <w:t xml:space="preserve">-1</w:t>
      </w:r>
      <w:r>
        <w:t xml:space="preserve"> </w:t>
      </w:r>
      <w:r>
        <w:t xml:space="preserve">h, with a median</w:t>
      </w:r>
      <w:r>
        <w:t xml:space="preserve"> </w:t>
      </w:r>
      <w:r>
        <w:t xml:space="preserve">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from 55.4 to 64.7 and 67.8 L s</w:t>
      </w:r>
      <w:r>
        <w:rPr>
          <w:vertAlign w:val="superscript"/>
        </w:rPr>
        <w:t xml:space="preserve">-1</w:t>
      </w:r>
      <w:r>
        <w:t xml:space="preserve">, and the network-mean cumulative deficit from 0.222 to</w:t>
      </w:r>
      <w:r>
        <w:t xml:space="preserve"> </w:t>
      </w:r>
      <w:r>
        <w:t xml:space="preserve">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applied to the reservoir boundary</w:t>
      </w:r>
      <w:r>
        <w:t xml:space="preserve"> </w:t>
      </w:r>
      <w:r>
        <w:t xml:space="preserve">concentration and to the tank initial concentration together so that the whole source regime</w:t>
      </w:r>
      <w:r>
        <w:t xml:space="preserve"> </w:t>
      </w:r>
      <w:r>
        <w:t xml:space="preserve">moves consistently,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but demand at risk falls only to 64.7 L s</w:t>
      </w:r>
      <w:r>
        <w:rPr>
          <w:vertAlign w:val="superscript"/>
        </w:rPr>
        <w:t xml:space="preserve">-1</w:t>
      </w:r>
      <w:r>
        <w:t xml:space="preserve"> </w:t>
      </w:r>
      <w:r>
        <w:t xml:space="preserve">at both doses and never returns to the baseline</w:t>
      </w:r>
      <w:r>
        <w:t xml:space="preserve"> </w:t>
      </w:r>
      <w:r>
        <w:t xml:space="preserve">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9016"/>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9016"/>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w:t>
      </w:r>
      <w:r>
        <w:t xml:space="preserve"> </w:t>
      </w:r>
      <w:r>
        <w:t xml:space="preserve">prediction errors stay close to the observation-noise scale, and under bulk-decay misspecification</w:t>
      </w:r>
      <w:r>
        <w:t xml:space="preserve"> </w:t>
      </w:r>
      <w:r>
        <w:t xml:space="preserve">and sensor bias, displacements of several posterior standard deviations often left the leading set</w:t>
      </w:r>
      <w:r>
        <w:t xml:space="preserve"> </w:t>
      </w:r>
      <w:r>
        <w:t xml:space="preserve">ranked by cumulative deficit unchanged while the ranking by time-averaged breach probability was</w:t>
      </w:r>
      <w:r>
        <w:t xml:space="preserve"> </w:t>
      </w:r>
      <w:r>
        <w:t xml:space="preserve">considerably more 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w:t>
      </w:r>
      <w:r>
        <w:t xml:space="preserve"> </w:t>
      </w:r>
      <w:r>
        <w:t xml:space="preserve">chlorine-concentration criteria but not the water-age or cumulative-deficit criteria within the</w:t>
      </w:r>
      <w:r>
        <w:t xml:space="preserve"> </w:t>
      </w:r>
      <w:r>
        <w:t xml:space="preserve">168 h horizon, so absolute water-age and severity magnitudes remain horizon-dependent even</w:t>
      </w:r>
      <w:r>
        <w:t xml:space="preserve"> </w:t>
      </w:r>
      <w:r>
        <w:t xml:space="preserve">though the concentration field underlying the inference 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 bound</w:t>
      </w:r>
      <w:r>
        <w:t xml:space="preserve"> </w:t>
      </w:r>
      <w:r>
        <w:t xml:space="preserve">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44" w:name="references"/>
    <w:p>
      <w:pPr>
        <w:pStyle w:val="Heading1"/>
      </w:pPr>
      <w:r>
        <w:t xml:space="preserve">References</w:t>
      </w:r>
    </w:p>
    <w:bookmarkStart w:id="143" w:name="refs"/>
    <w:bookmarkStart w:id="104"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3">
        <w:r>
          <w:rPr>
            <w:rStyle w:val="Hyperlink"/>
          </w:rPr>
          <w:t xml:space="preserve">10.1002/hyp.3360060305</w:t>
        </w:r>
      </w:hyperlink>
      <w:r>
        <w:t xml:space="preserve">.</w:t>
      </w:r>
    </w:p>
    <w:bookmarkEnd w:id="104"/>
    <w:bookmarkStart w:id="106"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5">
        <w:r>
          <w:rPr>
            <w:rStyle w:val="Hyperlink"/>
          </w:rPr>
          <w:t xml:space="preserve">10.1002/hyp.10082</w:t>
        </w:r>
      </w:hyperlink>
      <w:r>
        <w:t xml:space="preserve">.</w:t>
      </w:r>
    </w:p>
    <w:bookmarkEnd w:id="106"/>
    <w:bookmarkStart w:id="108"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7">
        <w:r>
          <w:rPr>
            <w:rStyle w:val="Hyperlink"/>
          </w:rPr>
          <w:t xml:space="preserve">10.1029/2000WR900350</w:t>
        </w:r>
      </w:hyperlink>
      <w:r>
        <w:t xml:space="preserve">.</w:t>
      </w:r>
    </w:p>
    <w:bookmarkEnd w:id="108"/>
    <w:bookmarkStart w:id="110"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09">
        <w:r>
          <w:rPr>
            <w:rStyle w:val="Hyperlink"/>
          </w:rPr>
          <w:t xml:space="preserve">10.3390/pr11030676</w:t>
        </w:r>
      </w:hyperlink>
      <w:r>
        <w:t xml:space="preserve">.</w:t>
      </w:r>
    </w:p>
    <w:bookmarkEnd w:id="110"/>
    <w:bookmarkStart w:id="112"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1">
        <w:r>
          <w:rPr>
            <w:rStyle w:val="Hyperlink"/>
          </w:rPr>
          <w:t xml:space="preserve">10.1016/S0043-1354(02)00056-8</w:t>
        </w:r>
      </w:hyperlink>
      <w:r>
        <w:t xml:space="preserve">.</w:t>
      </w:r>
    </w:p>
    <w:bookmarkEnd w:id="112"/>
    <w:bookmarkStart w:id="114"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13">
        <w:r>
          <w:rPr>
            <w:rStyle w:val="Hyperlink"/>
          </w:rPr>
          <w:t xml:space="preserve">10.1061/(ASCE)WR.1943-5452.0000325</w:t>
        </w:r>
      </w:hyperlink>
      <w:r>
        <w:t xml:space="preserve">.</w:t>
      </w:r>
    </w:p>
    <w:bookmarkEnd w:id="114"/>
    <w:bookmarkStart w:id="116"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 computing and control in the water industry conference (CCWI 2025)</w:t>
      </w:r>
      <w:r>
        <w:t xml:space="preserve">. Sheffield, UK: The University of Sheffield.</w:t>
      </w:r>
      <w:r>
        <w:t xml:space="preserve"> </w:t>
      </w:r>
      <w:hyperlink r:id="rId115">
        <w:r>
          <w:rPr>
            <w:rStyle w:val="Hyperlink"/>
          </w:rPr>
          <w:t xml:space="preserve">10.15131/shef.data.29921225.v1</w:t>
        </w:r>
      </w:hyperlink>
      <w:r>
        <w:t xml:space="preserve">.</w:t>
      </w:r>
    </w:p>
    <w:bookmarkEnd w:id="116"/>
    <w:bookmarkStart w:id="118"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17">
        <w:r>
          <w:rPr>
            <w:rStyle w:val="Hyperlink"/>
          </w:rPr>
          <w:t xml:space="preserve">10.1016/j.envsoft.2017.06.022</w:t>
        </w:r>
      </w:hyperlink>
      <w:r>
        <w:t xml:space="preserve">.</w:t>
      </w:r>
    </w:p>
    <w:bookmarkEnd w:id="118"/>
    <w:bookmarkStart w:id="120"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19">
        <w:r>
          <w:rPr>
            <w:rStyle w:val="Hyperlink"/>
          </w:rPr>
          <w:t xml:space="preserve">10.1016/j.jhydrol.2006.04.046</w:t>
        </w:r>
      </w:hyperlink>
      <w:r>
        <w:t xml:space="preserve">.</w:t>
      </w:r>
    </w:p>
    <w:bookmarkEnd w:id="120"/>
    <w:bookmarkStart w:id="122"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1">
        <w:r>
          <w:rPr>
            <w:rStyle w:val="Hyperlink"/>
          </w:rPr>
          <w:t xml:space="preserve">10.1061/(ASCE)0733-9496(2003)129:2(124)</w:t>
        </w:r>
      </w:hyperlink>
      <w:r>
        <w:t xml:space="preserve">.</w:t>
      </w:r>
    </w:p>
    <w:bookmarkEnd w:id="122"/>
    <w:bookmarkStart w:id="124"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23">
        <w:r>
          <w:rPr>
            <w:rStyle w:val="Hyperlink"/>
          </w:rPr>
          <w:t xml:space="preserve">10.1016/j.proeng.2014.02.135</w:t>
        </w:r>
      </w:hyperlink>
      <w:r>
        <w:t xml:space="preserve">.</w:t>
      </w:r>
    </w:p>
    <w:bookmarkEnd w:id="124"/>
    <w:bookmarkStart w:id="126"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25">
        <w:r>
          <w:rPr>
            <w:rStyle w:val="Hyperlink"/>
          </w:rPr>
          <w:t xml:space="preserve">10.1016/j.mex.2019.03.008</w:t>
        </w:r>
      </w:hyperlink>
      <w:r>
        <w:t xml:space="preserve">.</w:t>
      </w:r>
    </w:p>
    <w:bookmarkEnd w:id="126"/>
    <w:bookmarkStart w:id="128"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27">
        <w:r>
          <w:rPr>
            <w:rStyle w:val="Hyperlink"/>
          </w:rPr>
          <w:t xml:space="preserve">10.1016/S0043-1354(99)00097-4</w:t>
        </w:r>
      </w:hyperlink>
      <w:r>
        <w:t xml:space="preserve">.</w:t>
      </w:r>
    </w:p>
    <w:bookmarkEnd w:id="128"/>
    <w:bookmarkStart w:id="130" w:name="ref-Rajakumar2019EnKF"/>
    <w:p>
      <w:pPr>
        <w:pStyle w:val="Bibliography"/>
      </w:pPr>
      <w:r>
        <w:t xml:space="preserve">Rajakumar, A.G., Mohan Kumar, M.S., Amrutur, B. &amp; Kapelan, Z. (2019) Real-time water quality modeling with ensemble kalman 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29">
        <w:r>
          <w:rPr>
            <w:rStyle w:val="Hyperlink"/>
          </w:rPr>
          <w:t xml:space="preserve">10.1061/(ASCE)WR.1943-5452.0001118</w:t>
        </w:r>
      </w:hyperlink>
      <w:r>
        <w:t xml:space="preserve">.</w:t>
      </w:r>
    </w:p>
    <w:bookmarkEnd w:id="130"/>
    <w:bookmarkStart w:id="132"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31">
        <w:r>
          <w:rPr>
            <w:rStyle w:val="Hyperlink"/>
          </w:rPr>
          <w:t xml:space="preserve">10.1093/bioinformatics/btp358</w:t>
        </w:r>
      </w:hyperlink>
      <w:r>
        <w:t xml:space="preserve">.</w:t>
      </w:r>
    </w:p>
    <w:bookmarkEnd w:id="132"/>
    <w:bookmarkStart w:id="133"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33"/>
    <w:bookmarkStart w:id="135"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34">
        <w:r>
          <w:rPr>
            <w:rStyle w:val="Hyperlink"/>
          </w:rPr>
          <w:t xml:space="preserve">10.1061/(ASCE)0733-9372(1994)120:4(803)</w:t>
        </w:r>
      </w:hyperlink>
      <w:r>
        <w:t xml:space="preserve">.</w:t>
      </w:r>
    </w:p>
    <w:bookmarkEnd w:id="135"/>
    <w:bookmarkStart w:id="136"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36"/>
    <w:bookmarkStart w:id="138"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37">
        <w:r>
          <w:rPr>
            <w:rStyle w:val="Hyperlink"/>
          </w:rPr>
          <w:t xml:space="preserve">10.1029/2008WR006822</w:t>
        </w:r>
      </w:hyperlink>
      <w:r>
        <w:t xml:space="preserve">.</w:t>
      </w:r>
    </w:p>
    <w:bookmarkEnd w:id="138"/>
    <w:bookmarkStart w:id="140"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39">
        <w:r>
          <w:rPr>
            <w:rStyle w:val="Hyperlink"/>
          </w:rPr>
          <w:t xml:space="preserve">10.1002/j.1551-8833.1997.tb08259.x</w:t>
        </w:r>
      </w:hyperlink>
      <w:r>
        <w:t xml:space="preserve">.</w:t>
      </w:r>
    </w:p>
    <w:bookmarkEnd w:id="140"/>
    <w:bookmarkStart w:id="142"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41">
        <w:r>
          <w:rPr>
            <w:rStyle w:val="Hyperlink"/>
          </w:rPr>
          <w:t xml:space="preserve">10.5194/hess-26-1203-2022</w:t>
        </w:r>
      </w:hyperlink>
      <w:r>
        <w:t xml:space="preserve">.</w:t>
      </w:r>
    </w:p>
    <w:bookmarkEnd w:id="142"/>
    <w:bookmarkEnd w:id="143"/>
    <w:bookmarkEnd w:id="144"/>
    <w:bookmarkStart w:id="154"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45"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45"/>
    <w:bookmarkStart w:id="146"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46"/>
    <w:bookmarkStart w:id="147"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47"/>
    <w:bookmarkStart w:id="148"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48"/>
    <w:bookmarkStart w:id="149"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49"/>
    <w:bookmarkStart w:id="150"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50"/>
    <w:bookmarkStart w:id="151"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51"/>
    <w:bookmarkStart w:id="152"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52"/>
    <w:bookmarkStart w:id="153"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53"/>
    <w:bookmarkEnd w:id="154"/>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5" Target="https://doi.org/10.1002/hyp.10082" TargetMode="External" /><Relationship Type="http://schemas.openxmlformats.org/officeDocument/2006/relationships/hyperlink" Id="rId103" Target="https://doi.org/10.1002/hyp.3360060305" TargetMode="External" /><Relationship Type="http://schemas.openxmlformats.org/officeDocument/2006/relationships/hyperlink" Id="rId139" Target="https://doi.org/10.1002/j.1551-8833.1997.tb08259.x" TargetMode="External" /><Relationship Type="http://schemas.openxmlformats.org/officeDocument/2006/relationships/hyperlink" Id="rId111" Target="https://doi.org/10.1016/S0043-1354(02)00056-8" TargetMode="External" /><Relationship Type="http://schemas.openxmlformats.org/officeDocument/2006/relationships/hyperlink" Id="rId127" Target="https://doi.org/10.1016/S0043-1354(99)00097-4" TargetMode="External" /><Relationship Type="http://schemas.openxmlformats.org/officeDocument/2006/relationships/hyperlink" Id="rId117" Target="https://doi.org/10.1016/j.envsoft.2017.06.022" TargetMode="External" /><Relationship Type="http://schemas.openxmlformats.org/officeDocument/2006/relationships/hyperlink" Id="rId119" Target="https://doi.org/10.1016/j.jhydrol.2006.04.046" TargetMode="External" /><Relationship Type="http://schemas.openxmlformats.org/officeDocument/2006/relationships/hyperlink" Id="rId125" Target="https://doi.org/10.1016/j.mex.2019.03.008" TargetMode="External" /><Relationship Type="http://schemas.openxmlformats.org/officeDocument/2006/relationships/hyperlink" Id="rId123" Target="https://doi.org/10.1016/j.proeng.2014.02.135" TargetMode="External" /><Relationship Type="http://schemas.openxmlformats.org/officeDocument/2006/relationships/hyperlink" Id="rId107" Target="https://doi.org/10.1029/2000WR900350" TargetMode="External" /><Relationship Type="http://schemas.openxmlformats.org/officeDocument/2006/relationships/hyperlink" Id="rId137" Target="https://doi.org/10.1029/2008WR006822" TargetMode="External" /><Relationship Type="http://schemas.openxmlformats.org/officeDocument/2006/relationships/hyperlink" Id="rId134" Target="https://doi.org/10.1061/(ASCE)0733-9372(1994)120:4(803)" TargetMode="External" /><Relationship Type="http://schemas.openxmlformats.org/officeDocument/2006/relationships/hyperlink" Id="rId121" Target="https://doi.org/10.1061/(ASCE)0733-9496(2003)129:2(124)" TargetMode="External" /><Relationship Type="http://schemas.openxmlformats.org/officeDocument/2006/relationships/hyperlink" Id="rId113" Target="https://doi.org/10.1061/(ASCE)WR.1943-5452.0000325" TargetMode="External" /><Relationship Type="http://schemas.openxmlformats.org/officeDocument/2006/relationships/hyperlink" Id="rId129" Target="https://doi.org/10.1061/(ASCE)WR.1943-5452.0001118" TargetMode="External" /><Relationship Type="http://schemas.openxmlformats.org/officeDocument/2006/relationships/hyperlink" Id="rId131" Target="https://doi.org/10.1093/bioinformatics/btp358" TargetMode="External" /><Relationship Type="http://schemas.openxmlformats.org/officeDocument/2006/relationships/hyperlink" Id="rId115" Target="https://doi.org/10.15131/shef.data.29921225.v1" TargetMode="External" /><Relationship Type="http://schemas.openxmlformats.org/officeDocument/2006/relationships/hyperlink" Id="rId109" Target="https://doi.org/10.3390/pr11030676" TargetMode="External" /><Relationship Type="http://schemas.openxmlformats.org/officeDocument/2006/relationships/hyperlink" Id="rId141" Target="https://doi.org/10.5194/hess-26-1203-2022"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02/hyp.10082" TargetMode="External" /><Relationship Type="http://schemas.openxmlformats.org/officeDocument/2006/relationships/hyperlink" Id="rId103" Target="https://doi.org/10.1002/hyp.3360060305" TargetMode="External" /><Relationship Type="http://schemas.openxmlformats.org/officeDocument/2006/relationships/hyperlink" Id="rId139" Target="https://doi.org/10.1002/j.1551-8833.1997.tb08259.x" TargetMode="External" /><Relationship Type="http://schemas.openxmlformats.org/officeDocument/2006/relationships/hyperlink" Id="rId111" Target="https://doi.org/10.1016/S0043-1354(02)00056-8" TargetMode="External" /><Relationship Type="http://schemas.openxmlformats.org/officeDocument/2006/relationships/hyperlink" Id="rId127" Target="https://doi.org/10.1016/S0043-1354(99)00097-4" TargetMode="External" /><Relationship Type="http://schemas.openxmlformats.org/officeDocument/2006/relationships/hyperlink" Id="rId117" Target="https://doi.org/10.1016/j.envsoft.2017.06.022" TargetMode="External" /><Relationship Type="http://schemas.openxmlformats.org/officeDocument/2006/relationships/hyperlink" Id="rId119" Target="https://doi.org/10.1016/j.jhydrol.2006.04.046" TargetMode="External" /><Relationship Type="http://schemas.openxmlformats.org/officeDocument/2006/relationships/hyperlink" Id="rId125" Target="https://doi.org/10.1016/j.mex.2019.03.008" TargetMode="External" /><Relationship Type="http://schemas.openxmlformats.org/officeDocument/2006/relationships/hyperlink" Id="rId123" Target="https://doi.org/10.1016/j.proeng.2014.02.135" TargetMode="External" /><Relationship Type="http://schemas.openxmlformats.org/officeDocument/2006/relationships/hyperlink" Id="rId107" Target="https://doi.org/10.1029/2000WR900350" TargetMode="External" /><Relationship Type="http://schemas.openxmlformats.org/officeDocument/2006/relationships/hyperlink" Id="rId137" Target="https://doi.org/10.1029/2008WR006822" TargetMode="External" /><Relationship Type="http://schemas.openxmlformats.org/officeDocument/2006/relationships/hyperlink" Id="rId134" Target="https://doi.org/10.1061/(ASCE)0733-9372(1994)120:4(803)" TargetMode="External" /><Relationship Type="http://schemas.openxmlformats.org/officeDocument/2006/relationships/hyperlink" Id="rId121" Target="https://doi.org/10.1061/(ASCE)0733-9496(2003)129:2(124)" TargetMode="External" /><Relationship Type="http://schemas.openxmlformats.org/officeDocument/2006/relationships/hyperlink" Id="rId113" Target="https://doi.org/10.1061/(ASCE)WR.1943-5452.0000325" TargetMode="External" /><Relationship Type="http://schemas.openxmlformats.org/officeDocument/2006/relationships/hyperlink" Id="rId129" Target="https://doi.org/10.1061/(ASCE)WR.1943-5452.0001118" TargetMode="External" /><Relationship Type="http://schemas.openxmlformats.org/officeDocument/2006/relationships/hyperlink" Id="rId131" Target="https://doi.org/10.1093/bioinformatics/btp358" TargetMode="External" /><Relationship Type="http://schemas.openxmlformats.org/officeDocument/2006/relationships/hyperlink" Id="rId115" Target="https://doi.org/10.15131/shef.data.29921225.v1" TargetMode="External" /><Relationship Type="http://schemas.openxmlformats.org/officeDocument/2006/relationships/hyperlink" Id="rId109" Target="https://doi.org/10.3390/pr11030676" TargetMode="External" /><Relationship Type="http://schemas.openxmlformats.org/officeDocument/2006/relationships/hyperlink" Id="rId141" Target="https://doi.org/10.5194/hess-26-1203-20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2026-08-11T11:18:08Z</dcterms:created>
  <dcterms:modified xsi:type="dcterms:W3CDTF">2026-08-11T11:18:08Z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