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8.png" ContentType="image/png"/>
  <Override PartName="/word/media/rId85.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estimator spreads 1.04 to 1.12 times the</w:t>
      </w:r>
      <w:r>
        <w:t xml:space="preserve"> </w:t>
      </w:r>
      <w:r>
        <w:t xml:space="preserve">Cramér–Rao bound, with 90% interval coverage of 0.85 to 0.89 against a nominal 0.90. Systematic sensor error, bulk-decay misspecification and length-structured heterogeneity displaced coefficients by as much as 5.94 baseline posterior standard deviations, while the best achievable aggregate residual never exceeded the realised observation-noise RMSE by more than 6.2%. Yet when the old or average zone was withheld its coefficient returned to the prior midpoint and retained essentially the whole prior width, while held-out prediction at the omitted monitors stayed close to the 0.1 mg L</w:t>
      </w:r>
      <w:r>
        <w:rPr>
          <w:vertAlign w:val="superscript"/>
        </w:rPr>
        <w:t xml:space="preserve">-1</w:t>
      </w:r>
      <w:r>
        <w:t xml:space="preserve"> </w:t>
      </w:r>
      <w:r>
        <w:t xml:space="preserve">observation-noise scale. Displacements of several standard deviations</w:t>
      </w:r>
      <w:r>
        <w:t xml:space="preserve"> </w:t>
      </w:r>
      <w:r>
        <w:t xml:space="preserve">largely preserved whole-network rank order, with Spearman rank correlation of 0.93 to 0.98 under bulk-decay misspecification, 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to identify</w:t>
      </w:r>
      <w:r>
        <w:t xml:space="preserve"> </w:t>
      </w:r>
      <w:r>
        <w:t xml:space="preserve">areas susceptible to low residuals, and to support monitoring or control decisions. A</w:t>
      </w:r>
      <w:r>
        <w:t xml:space="preserve"> </w:t>
      </w:r>
      <w:r>
        <w:t xml:space="preserve">calibration may therefore fail at several distinct levels. It may recover its parameters poorly, predict poorly, or give an unstable operational prioritisation, and these 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Random measurement noise and temporal</w:t>
      </w:r>
      <w:r>
        <w:t xml:space="preserve"> </w:t>
      </w:r>
      <w:r>
        <w:t xml:space="preserve">dependence reduce the effective information in monitored series. Systematic sensor offsets or</w:t>
      </w:r>
      <w:r>
        <w:t xml:space="preserve"> </w:t>
      </w:r>
      <w:r>
        <w:t xml:space="preserve">drift can bias inferred parameters while remaining difficult to diagnose from fit quality.</w:t>
      </w:r>
      <w:r>
        <w:t xml:space="preserve"> </w:t>
      </w:r>
      <w:r>
        <w:t xml:space="preserve">Readings at a reporting boundary are censored rather than exact. Bulk decay is often estimated</w:t>
      </w:r>
      <w:r>
        <w:t xml:space="preserve"> </w:t>
      </w:r>
      <w:r>
        <w:t xml:space="preserve">separately and then held fixed during wall-decay calibration, so an error in it can be absorbed</w:t>
      </w:r>
      <w:r>
        <w:t xml:space="preserve"> </w:t>
      </w:r>
      <w:r>
        <w:t xml:space="preserve">by the wall coefficients. And any grouped representation is an approximation when reactivity</w:t>
      </w:r>
      <w:r>
        <w:t xml:space="preserve"> </w:t>
      </w:r>
      <w:r>
        <w:t xml:space="preserve">varies between individual pipes. A close fit to monitored concentrations therefore does not by</w:t>
      </w:r>
      <w:r>
        <w:t xml:space="preserve"> </w:t>
      </w:r>
      <w:r>
        <w:t xml:space="preserve">itself establish that the inferred coefficients represent the underlying reaction process.</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additionally concerns whether the finite, noisy observations actually available</w:t>
      </w:r>
      <w:r>
        <w:t xml:space="preserve"> </w:t>
      </w:r>
      <w:r>
        <w:t xml:space="preserve">constrain the parameters sufficiently, for which profile likelihood gives a direct</w:t>
      </w:r>
      <w:r>
        <w:t xml:space="preserve"> </w:t>
      </w:r>
      <w:r>
        <w:t xml:space="preserve">likelihood-based diagnostic</w:t>
      </w:r>
      <w:r>
        <w:t xml:space="preserve"> </w:t>
      </w:r>
      <w:r>
        <w:t xml:space="preserve">(Raue</w:t>
      </w:r>
      <w:r>
        <w:t xml:space="preserve"> </w:t>
      </w:r>
      <w:r>
        <w:rPr>
          <w:i/>
          <w:iCs/>
        </w:rPr>
        <w:t xml:space="preserve">et al.</w:t>
      </w:r>
      <w:r>
        <w:t xml:space="preserve">, 2009)</w:t>
      </w:r>
      <w:r>
        <w:t xml:space="preserve">; repeated-sampling experiments can then test whether the</w:t>
      </w:r>
      <w:r>
        <w:t xml:space="preserve"> </w:t>
      </w:r>
      <w:r>
        <w:t xml:space="preserve">resulting intervals show the bias and coverage the assumed model implies.</w:t>
      </w:r>
    </w:p>
    <w:p>
      <w:pPr>
        <w:pStyle w:val="BodyText"/>
      </w:pPr>
      <w:r>
        <w:t xml:space="preserve">No single diagnostic suffices, and the reasons differ. A posterior mean close to the truth may</w:t>
      </w:r>
      <w:r>
        <w:t xml:space="preserve"> </w:t>
      </w:r>
      <w:r>
        <w:t xml:space="preserve">simply reflect favourable prior placement. A narrow posterior may instead reflect a restrictive</w:t>
      </w:r>
      <w:r>
        <w:t xml:space="preserve"> </w:t>
      </w:r>
      <w:r>
        <w:t xml:space="preserve">prior or a misspecified likelihood, and so does not establish physical correctness. And good</w:t>
      </w:r>
      <w:r>
        <w:t xml:space="preserve"> </w:t>
      </w:r>
      <w:r>
        <w:t xml:space="preserve">prediction establishes neither, when the predicted concentration is only weakly sensitive to the</w:t>
      </w:r>
      <w:r>
        <w:t xml:space="preserve"> </w:t>
      </w:r>
      <w:r>
        <w:t xml:space="preserve">parameter concerned.</w:t>
      </w:r>
    </w:p>
    <w:p>
      <w:pPr>
        <w:pStyle w:val="BodyText"/>
      </w:pPr>
      <w:r>
        <w:t xml:space="preserve">Uncertainty surviving calibration must finally be propagated to whatever decision the model</w:t>
      </w:r>
      <w:r>
        <w:t xml:space="preserve"> </w:t>
      </w:r>
      <w:r>
        <w:t xml:space="preserve">supports, where stability is again not a single property: preservation of the whole-network</w:t>
      </w:r>
      <w:r>
        <w:t xml:space="preserve"> </w:t>
      </w:r>
      <w:r>
        <w:t xml:space="preserve">spatial ranking, of a small operational shortlist, and of the absolute severity assigned to</w:t>
      </w:r>
      <w:r>
        <w:t xml:space="preserve"> </w:t>
      </w:r>
      <w:r>
        <w:t xml:space="preserve">those locations are different questions, and stability at one scale does not imply stability at</w:t>
      </w:r>
      <w:r>
        <w:t xml:space="preserve"> </w:t>
      </w:r>
      <w:r>
        <w:t xml:space="preserve">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&amp;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&amp; Todini, 2006; Stedinger</w:t>
      </w:r>
      <w:r>
        <w:t xml:space="preserve"> </w:t>
      </w:r>
      <w:r>
        <w:rPr>
          <w:i/>
          <w:iCs/>
        </w:rPr>
        <w:t xml:space="preserve">et al.</w:t>
      </w:r>
      <w:r>
        <w:t xml:space="preserve">, 2008)</w:t>
      </w:r>
      <w:r>
        <w:t xml:space="preserve">. The controlled setting used here sidesteps that broader debate rather than</w:t>
      </w:r>
      <w:r>
        <w:t xml:space="preserve"> </w:t>
      </w:r>
      <w:r>
        <w:t xml:space="preserve">resolving it: because the synthetic observation model is known, the specific informal weighting</w:t>
      </w:r>
      <w:r>
        <w:t xml:space="preserve"> </w:t>
      </w:r>
      <w:r>
        <w:t xml:space="preserve">previously applied to this system can be compared directly with the corresponding formal</w:t>
      </w:r>
      <w:r>
        <w:t xml:space="preserve"> </w:t>
      </w:r>
      <w:r>
        <w:t xml:space="preserve">likelihood on identical observations and candidate draws, separating limitations of the data</w:t>
      </w:r>
      <w:r>
        <w:t xml:space="preserve"> </w:t>
      </w:r>
      <w:r>
        <w:t xml:space="preserve">from effects of the weighting rule.</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w:t>
      </w:r>
      <w:r>
        <w:t xml:space="preserve"> </w:t>
      </w:r>
      <w:r>
        <w:t xml:space="preserve">Measurement precision, temporal dependence, systematic sensor error, bulk-decay uncertainty and</w:t>
      </w:r>
      <w:r>
        <w:t xml:space="preserve"> </w:t>
      </w:r>
      <w:r>
        <w:t xml:space="preserve">within-group heterogeneity act on the inverse problem in different ways, so their effects need to be distinguished, separating loss of precision from displacement of the estimate, and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by itself establish that the parameter governing a</w:t>
      </w:r>
      <w:r>
        <w:t xml:space="preserve"> </w:t>
      </w:r>
      <w:r>
        <w:t xml:space="preserve">physical process has been identified, and a high whole-network rank correlation cannot establish</w:t>
      </w:r>
      <w:r>
        <w:t xml:space="preserve"> </w:t>
      </w:r>
      <w:r>
        <w:t xml:space="preserve">that a small hot-spot set is unchanged. A controlled experiment with a known truth tests</w:t>
      </w:r>
      <w:r>
        <w:t xml:space="preserve"> </w:t>
      </w:r>
      <w:r>
        <w:t xml:space="preserve">directly when these diagnostics agree and when they diverge.</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six monitors are used; and no field observations enter the analysis. The temperature,</w:t>
      </w:r>
      <w:r>
        <w:t xml:space="preserve"> </w:t>
      </w:r>
      <w:r>
        <w:t xml:space="preserve">ageing and dosing analyses are calibration-conditioned stress tests under stated assumptions,</w:t>
      </w:r>
      <w:r>
        <w:t xml:space="preserve"> </w:t>
      </w:r>
      <w:r>
        <w:t xml:space="preserve">not forecasts of field behaviour.</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 original-prior standard deviation, while the average and new boxes kept their DOWN positions; OLDUP is therefore a directional check for the old coefficient rather than a second like-for-like 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the standardised displacement puts that paired shift on the scale of</w:t>
      </w:r>
      <w:r>
        <w:t xml:space="preserve"> </w:t>
      </w:r>
      <w:r>
        <w:t xml:space="preserve">Section 2.5 using the repeated-baseline denominator; and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share pipes, tanks, flow paths and demand patterns and are not independent</w:t>
      </w:r>
      <w:r>
        <w:t xml:space="preserve"> </w:t>
      </w:r>
      <w:r>
        <w:t xml:space="preserve">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and a temperature deviation added to each</w:t>
      </w:r>
      <w:r>
        <w:t xml:space="preserve"> </w:t>
      </w:r>
      <w:r>
        <w:t xml:space="preserve">scenario mean were drawn from truncated normals keeping simulated temperatures inside the stated</w:t>
      </w:r>
      <w:r>
        <w:t xml:space="preserve"> </w:t>
      </w:r>
      <w:r>
        <w:t xml:space="preserve">8–24 °C validity range, with the distributions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2"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 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actually extract. It also motivates, without establishing, the</w:t>
      </w:r>
      <w:r>
        <w:t xml:space="preserve"> </w:t>
      </w:r>
      <w:r>
        <w:t xml:space="preserve">precise-but-biased case of Section 3.4, where good residual fit survives a structurally</w:t>
      </w:r>
      <w:r>
        <w:t xml:space="preserve"> </w:t>
      </w:r>
      <w:r>
        <w:t xml:space="preserve">displaced coefficient.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low-residual part of the network, the</w:t>
      </w:r>
      <w:r>
        <w:t xml:space="preserve"> </w:t>
      </w:r>
      <w:r>
        <w:t xml:space="preserve">region most relevant to the threshold-based risk analysis that follows, and is handled</w:t>
      </w:r>
      <w:r>
        <w:t xml:space="preserve"> </w:t>
      </w:r>
      <w:r>
        <w:t xml:space="preserve">explicitly in the primary likelihood.</w:t>
      </w:r>
    </w:p>
    <w:p>
      <w:pPr>
        <w:pStyle w:val="CaptionedFigure"/>
      </w:pPr>
      <w:r>
        <w:drawing>
          <wp:inline>
            <wp:extent cx="5472649" cy="2245894"/>
            <wp:effectExtent b="0" l="0" r="0" t="0"/>
            <wp:docPr descr="Figure 1. Study system and forward baseline. (A) Net3 with pipes coloured by synthetic reaction zone, and the six monitors, sources and tanks.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and the six monitors, sources and tanks.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Four weighting rules applied to the same 294 residuals and the same 8192 Sobol candidates.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under the uniform prior, the primary censored likelihood and the informal score at two thresholds, with dashed rules at the true values. Bars give the posterior standard deviation as a percentage of the prior."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under the uniform prior, the primary censored likelihood and the informal score at two thresholds, with dashed rules at the true values. Bars give the posterior standard deviation as a percentage of the prior.</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If the informal distributions are wide because too many poor candidates survive, a stricter</w:t>
      </w:r>
      <w:r>
        <w:t xml:space="preserve"> </w:t>
      </w:r>
      <w:r>
        <w:t xml:space="preserve">threshold should close the gap. It does not. Tightening the cut-off from 0.120 to 0.107 mg L</w:t>
      </w:r>
      <w:r>
        <w:rPr>
          <w:vertAlign w:val="superscript"/>
        </w:rPr>
        <w:t xml:space="preserve">-1</w:t>
      </w:r>
      <w:r>
        <w:t xml:space="preserve"> </w:t>
      </w:r>
      <w:r>
        <w:t xml:space="preserve">removed a third of the behavioural set, from 7084 to 4786 members, yet the retained prior</w:t>
      </w:r>
      <w:r>
        <w:t xml:space="preserve"> </w:t>
      </w:r>
      <w:r>
        <w:t xml:space="preserve">standard deviations fell only to 71.1%, 91.8% and 88.2%, still two to three times the formal values. A cut-off discards candidates that fit badly; it cannot restore the factor</w:t>
      </w:r>
      <w:r>
        <w:t xml:space="preserve"> </w:t>
      </w:r>
      <m:oMath>
        <m:r>
          <m:t>N</m:t>
        </m:r>
      </m:oMath>
      <w:r>
        <w:t xml:space="preserve"> </w:t>
      </w:r>
      <w:r>
        <w:t xml:space="preserve">the</w:t>
      </w:r>
      <w:r>
        <w:t xml:space="preserve"> </w:t>
      </w:r>
      <w:r>
        <w:t xml:space="preserve">weighting omits.</w:t>
      </w:r>
    </w:p>
    <w:p>
      <w:pPr>
        <w:pStyle w:val="BodyText"/>
      </w:pPr>
      <w:r>
        <w:t xml:space="preserve">A complementary concern is that the formal contraction might reflect a prior centred near the</w:t>
      </w:r>
      <w:r>
        <w:t xml:space="preserve"> </w:t>
      </w:r>
      <w:r>
        <w:t xml:space="preserve">truth rather than genuine learning. All three prior boxes were therefore re-centred at the truth minus one original-prior standard deviation, keeping their width, and the calibration repeated over 30 noise realisations. The formal</w:t>
      </w:r>
      <w:r>
        <w:t xml:space="preserve"> </w:t>
      </w:r>
      <w:r>
        <w:t xml:space="preserve">likelihood recovered a median of 88%, 95% and 96% of the imposed displacement for old, average</w:t>
      </w:r>
      <w:r>
        <w:t xml:space="preserve"> </w:t>
      </w:r>
      <w:r>
        <w:t xml:space="preserve">and new, while retaining only 27.1%, 28.9% and 28.4% of the displaced prior’s standard deviation. This is the same contraction as at baseline, now achieved from a prior centred away from the truth.</w:t>
      </w:r>
      <w:r>
        <w:t xml:space="preserve"> </w:t>
      </w:r>
      <w:r>
        <w:t xml:space="preserve">The prior width was held fixed and each displaced box still contains the true value, so this</w:t>
      </w:r>
      <w:r>
        <w:t xml:space="preserve"> </w:t>
      </w:r>
      <w:r>
        <w:t xml:space="preserve">tests sensitivity to prior centring rather than recovery from a prior that excludes the truth.</w:t>
      </w:r>
      <w:r>
        <w:t xml:space="preserve"> </w:t>
      </w:r>
      <w:r>
        <w:t xml:space="preserve">The informal comparator recovered 27.5%, 43.5% and 78.0% at a threshold of</w:t>
      </w:r>
      <w:r>
        <w:t xml:space="preserve"> </w:t>
      </w:r>
      <w:r>
        <w:t xml:space="preserve">0.107, and 9.4%, 14.5% and 22.9% at 0.120.</w:t>
      </w:r>
    </w:p>
    <w:p>
      <w:pPr>
        <w:pStyle w:val="BodyText"/>
      </w:pPr>
      <w:r>
        <w:t xml:space="preserve">A second displacement was then applied to the old coefficient alone, upward towards weaker</w:t>
      </w:r>
      <w:r>
        <w:t xml:space="preserve"> </w:t>
      </w:r>
      <w:r>
        <w:t xml:space="preserve">decay, with the average and new priors left at their downward positions; this arm is a direction check for old rather than a second three-parameter test, and the non-positivity constraint shifted its realised midpoint to −0.655 m day</w:t>
      </w:r>
      <w:r>
        <w:rPr>
          <w:vertAlign w:val="superscript"/>
        </w:rPr>
        <w:t xml:space="preserve">-1</w:t>
      </w:r>
      <w:r>
        <w:t xml:space="preserve">, about 0.92 original-prior standard deviations from the truth. Formal recovery for old</w:t>
      </w:r>
      <w:r>
        <w:t xml:space="preserve"> </w:t>
      </w:r>
      <w:r>
        <w:t xml:space="preserve">was 88% downward and 112% upward, symmetric within the noise, whereas informal recovery moved</w:t>
      </w:r>
      <w:r>
        <w:t xml:space="preserve"> </w:t>
      </w:r>
      <w:r>
        <w:t xml:space="preserve">from 27.5% to 84.9% at a threshold of 0.107 and from 9.4% to 61.1% at 0.120. Its answer</w:t>
      </w:r>
      <w:r>
        <w:t xml:space="preserve"> </w:t>
      </w:r>
      <w:r>
        <w:t xml:space="preserve">therefore depends on the direction of displacement, a property of the score rather than of the</w:t>
      </w:r>
      <w:r>
        <w:t xml:space="preserve"> </w:t>
      </w:r>
      <w:r>
        <w:t xml:space="preserve">observations.</w:t>
      </w:r>
    </w:p>
    <w:p>
      <w:pPr>
        <w:pStyle w:val="BodyText"/>
      </w:pPr>
      <w:r>
        <w:t xml:space="preserve">One conclusion of the original analysis does not survive. The pronounced identifiability</w:t>
      </w:r>
      <w:r>
        <w:t xml:space="preserve"> </w:t>
      </w:r>
      <w:r>
        <w:t xml:space="preserve">gradient it reported, in which old appears far better constrained than average or new, is</w:t>
      </w:r>
      <w:r>
        <w:t xml:space="preserve"> </w:t>
      </w:r>
      <w:r>
        <w:t xml:space="preserve">visible only under the informal weighting; the formal rule contracts the three comparably and</w:t>
      </w:r>
      <w:r>
        <w:t xml:space="preserve"> </w:t>
      </w:r>
      <w:r>
        <w:t xml:space="preserve">recovers all three from a common-direction displaced prior. The gradient was a feature of the</w:t>
      </w:r>
      <w:r>
        <w:t xml:space="preserve"> </w:t>
      </w:r>
      <w:r>
        <w:t xml:space="preserve">weighting rule, not a ranking of what the monitoring array can resolve. Full threshold and</w:t>
      </w:r>
      <w:r>
        <w:t xml:space="preserve"> </w:t>
      </w:r>
      <w:r>
        <w:t xml:space="preserve">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2"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77"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at amplitude</w:t>
      </w:r>
      <w:r>
        <w:t xml:space="preserve"> </w:t>
      </w:r>
      <m:oMath>
        <m:r>
          <m:t>λ</m:t>
        </m:r>
        <m:r>
          <m:rPr>
            <m:sty m:val="p"/>
          </m:rPr>
          <m:t>=</m:t>
        </m:r>
        <m:r>
          <m:t>0.50</m:t>
        </m:r>
      </m:oMath>
      <w:r>
        <w:t xml:space="preserve">, while holding each zone’s arithmetic</w:t>
      </w:r>
      <w:r>
        <w:t xml:space="preserve"> </w:t>
      </w:r>
      <w:r>
        <w:t xml:space="preserve">mean fixed, separates two candidate targets for a homogeneous grouped fit: the arithmetic mean</w:t>
      </w:r>
      <w:r>
        <w:t xml:space="preserve"> </w:t>
      </w:r>
      <w:r>
        <w:t xml:space="preserve">and a length-weighted mean, the latter shifted to −1.240, −0.124 and −0.066 m day</w:t>
      </w:r>
      <w:r>
        <w:rPr>
          <w:vertAlign w:val="superscript"/>
        </w:rPr>
        <w:t xml:space="preserve">-1</w:t>
      </w:r>
      <w:r>
        <w:t xml:space="preserve"> </w:t>
      </w:r>
      <w:r>
        <w:t xml:space="preserve">for old,</w:t>
      </w:r>
      <w:r>
        <w:t xml:space="preserve"> </w:t>
      </w:r>
      <w:r>
        <w:t xml:space="preserve">average and new.</w:t>
      </w:r>
    </w:p>
    <w:p>
      <w:pPr>
        <w:pStyle w:val="BodyText"/>
      </w:pPr>
      <w:r>
        <w:t xml:space="preserve">In the paired reference realisation, subtracting the corresponding homogeneous-control offset</w:t>
      </w:r>
      <w:r>
        <w:t xml:space="preserve"> </w:t>
      </w:r>
      <w:r>
        <w:t xml:space="preserve">gives displacements of −1.55, −1.89 and −1.65 baseline posterior standard deviations for old, average and new. These three values are close to one another in this draw, but that closeness is a property of the draw rather than a resolved ordering, as the repeated-realisation ranges below show. The fit meanwhile remains at the noise floor, with a best RMSE of 0.0968 against a realised noise RMSE of 0.0973.</w:t>
      </w:r>
    </w:p>
    <w:p>
      <w:pPr>
        <w:pStyle w:val="BodyText"/>
      </w:pPr>
      <w:r>
        <w:t xml:space="preserve">A separate sensitivity test over 30 noise realisations then asked whether that displacement is a</w:t>
      </w:r>
      <w:r>
        <w:t xml:space="preserve"> </w:t>
      </w:r>
      <w:r>
        <w:t xml:space="preserve">property of the imposed structure or of the particular noise draw. This test reports the raw</w:t>
      </w:r>
      <w:r>
        <w:t xml:space="preserve"> </w:t>
      </w:r>
      <w:r>
        <w:t xml:space="preserve">fraction of the arithmetic-to-length-weighted gap travelled, without the paired control</w:t>
      </w:r>
      <w:r>
        <w:t xml:space="preserve"> </w:t>
      </w:r>
      <w:r>
        <w:t xml:space="preserve">adjustment. At an amplitude of</w:t>
      </w:r>
      <w:r>
        <w:t xml:space="preserve"> </w:t>
      </w:r>
      <m:oMath>
        <m:r>
          <m:t>λ</m:t>
        </m:r>
        <m:r>
          <m:rPr>
            <m:sty m:val="p"/>
          </m:rPr>
          <m:t>=</m:t>
        </m:r>
        <m:r>
          <m:t>0.50</m:t>
        </m:r>
      </m:oMath>
      <w:r>
        <w:t xml:space="preserve"> </w:t>
      </w:r>
      <w:r>
        <w:t xml:space="preserve">the median fractions were 0.86, 1.12 and 0.92</w:t>
      </w:r>
      <w:r>
        <w:t xml:space="preserve"> </w:t>
      </w:r>
      <w:r>
        <w:t xml:space="preserve">for old, average and new, and they lay between 0.74 and 1.26 for every zone at every non-zero</w:t>
      </w:r>
      <w:r>
        <w:t xml:space="preserve"> </w:t>
      </w:r>
      <w:r>
        <w:t xml:space="preserve">amplitude tested; at</w:t>
      </w:r>
      <w:r>
        <w:t xml:space="preserve"> </w:t>
      </w:r>
      <m:oMath>
        <m:r>
          <m:t>λ</m:t>
        </m:r>
        <m:r>
          <m:rPr>
            <m:sty m:val="p"/>
          </m:rPr>
          <m:t>=</m:t>
        </m:r>
        <m:r>
          <m:t>0</m:t>
        </m:r>
      </m:oMath>
      <w:r>
        <w:t xml:space="preserve"> </w:t>
      </w:r>
      <w:r>
        <w:t xml:space="preserve">the two targets coincide and the fraction is undefined. The</w:t>
      </w:r>
      <w:r>
        <w:t xml:space="preserve"> </w:t>
      </w:r>
      <w:r>
        <w:t xml:space="preserve">5th-to-95th ranges are wide and overlap heavily across zones, at [0.12, 1.46] for old, [−0.07, 2.43] for average and [−0.03, 1.78] for new. All three contain unity, so the coefficients</w:t>
      </w:r>
      <w:r>
        <w:t xml:space="preserve"> </w:t>
      </w:r>
      <w:r>
        <w:t xml:space="preserve">cannot be ordered against one another. The representative realisation shown in Figure 5C places</w:t>
      </w:r>
      <w:r>
        <w:t xml:space="preserve"> </w:t>
      </w:r>
      <w:r>
        <w:t xml:space="preserve">the average-zone estimate beyond the length-weighted value, but that apparent overshoot is not</w:t>
      </w:r>
      <w:r>
        <w:t xml:space="preserve"> </w:t>
      </w:r>
      <w:r>
        <w:t xml:space="preserve">stable: across noise realisations the interval spans both sides of unity. At</w:t>
      </w:r>
      <w:r>
        <w:t xml:space="preserve"> </w:t>
      </w:r>
      <m:oMath>
        <m:r>
          <m:t>λ</m:t>
        </m:r>
        <m:r>
          <m:rPr>
            <m:sty m:val="p"/>
          </m:rPr>
          <m:t>=</m:t>
        </m:r>
        <m:r>
          <m:t>0.75</m:t>
        </m:r>
      </m:oMath>
      <w:r>
        <w:t xml:space="preserve"> </w:t>
      </w:r>
      <w:r>
        <w:t xml:space="preserve">all three intervals exclude zero, so the displacement away from the arithmetic mean in the</w:t>
      </w:r>
      <w:r>
        <w:t xml:space="preserve"> </w:t>
      </w:r>
      <w:r>
        <w:t xml:space="preserve">length-weighted direction is resolved at the tested noise level, even though its size is not.</w:t>
      </w:r>
    </w:p>
    <w:p>
      <w:pPr>
        <w:pStyle w:val="BodyText"/>
      </w:pPr>
      <w:r>
        <w:t xml:space="preserve">The informal comparator attenuates the effect in the old zone, but not uniformly across zones. Its median fraction for the old zone is 0.65, 0.43 and 0.34 at</w:t>
      </w:r>
      <w:r>
        <w:t xml:space="preserve"> </w:t>
      </w:r>
      <m:oMath>
        <m:r>
          <m:t>λ</m:t>
        </m:r>
        <m:r>
          <m:rPr>
            <m:sty m:val="p"/>
          </m:rPr>
          <m:t>=</m:t>
        </m:r>
        <m:r>
          <m:t>0.25</m:t>
        </m:r>
      </m:oMath>
      <w:r>
        <w:t xml:space="preserve">, 0.50 and 0.75, against formal medians of 1.10, 0.86 and 0.74, that is between 0.46 and 0.59 of the formal value at every strength. The other two zones do not follow that pattern. The average-zone 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at 1.58 and 1.09 times it, and falls only slightly below at 0.75; the new-zone attenuation is milder throughout, at 0.81 to 0.91 of the formal value. The experiment therefore supports a zone-specific statement rather than a general one: where the informal score does attenuate, a study relying on it would understate how far structural misspecification moves that grouped coefficient, but the halving seen for old cannot be assumed to hold for the weakly decaying zones.</w:t>
      </w:r>
    </w:p>
    <w:bookmarkEnd w:id="77"/>
    <w:bookmarkStart w:id="81" w:name="what-a-grouped-coefficient-represents"/>
    <w:p>
      <w:pPr>
        <w:pStyle w:val="Heading3"/>
      </w:pPr>
      <w:r>
        <w:t xml:space="preserve">3.4.3 What a grouped coefficient represents</w:t>
      </w:r>
    </w:p>
    <w:p>
      <w:pPr>
        <w:pStyle w:val="FirstParagraph"/>
      </w:pPr>
      <w:r>
        <w:t xml:space="preserve">Length was chosen because it cleanly separates the two candidate targets, not because it is the</w:t>
      </w:r>
      <w:r>
        <w:t xml:space="preserve"> </w:t>
      </w:r>
      <w:r>
        <w:t xml:space="preserve">physically correct weighting. The reaction weight of a pipe depends on its flow, direction,</w:t>
      </w:r>
      <w:r>
        <w:t xml:space="preserve"> </w:t>
      </w:r>
      <w:r>
        <w:t xml:space="preserve">diameter and residence time, and on how strongly the six monitors see it. A sensitivity- or Jacobian-weighted effective mean, which would identify what the fit actually estimates, was not computed here and remains open work.</w:t>
      </w:r>
    </w:p>
    <w:p>
      <w:pPr>
        <w:pStyle w:val="BodyText"/>
      </w:pPr>
      <w:r>
        <w:t xml:space="preserve">Two consequences follow. A grouped calibrated coefficient is a model- and observation-dependent</w:t>
      </w:r>
      <w:r>
        <w:t xml:space="preserve"> </w:t>
      </w:r>
      <w:r>
        <w:t xml:space="preserve">effective parameter rather than a physical average of its pipes, so using it to infer the</w:t>
      </w:r>
      <w:r>
        <w:t xml:space="preserve"> </w:t>
      </w:r>
      <w:r>
        <w:t xml:space="preserve">condition of individual assets is not supported here. And unlike the measurement errors of</w:t>
      </w:r>
      <w:r>
        <w:t xml:space="preserve"> </w:t>
      </w:r>
      <w:r>
        <w:t xml:space="preserve">Section 3.3, this discrepancy cannot be removed by improving sensor precision, because its</w:t>
      </w:r>
      <w:r>
        <w:t xml:space="preserve"> </w:t>
      </w:r>
      <w:r>
        <w:t xml:space="preserve">source is the grouped model rather than the observation process, though better instruments would make it easier to detect.</w:t>
      </w:r>
    </w:p>
    <w:p>
      <w:pPr>
        <w:pStyle w:val="CaptionedFigure"/>
      </w:pPr>
      <w:r>
        <w:drawing>
          <wp:inline>
            <wp:extent cx="5753100" cy="1462293"/>
            <wp:effectExtent b="0" l="0" r="0" t="0"/>
            <wp:docPr descr="Figure 5. Symmetric and structured within-zone heterogeneity. (A) Structural increment over 25 independent ±20% fields, in baseline posterior standard deviations. (B) One field against the 25-field mean, showing sign reversal. (C) Raw displacement fraction f_j, median and 5–95% range over 30 noise realisations, with the single control-adjusted reference realisation marked faintly. (D) Structural residual against the largest standardised displacement." title="" id="79" name="Picture"/>
            <a:graphic>
              <a:graphicData uri="http://schemas.openxmlformats.org/drawingml/2006/picture">
                <pic:pic>
                  <pic:nvPicPr>
                    <pic:cNvPr descr="figures/paper/fig5_symmetric_vs_structured.png" id="80" name="Picture"/>
                    <pic:cNvPicPr>
                      <a:picLocks noChangeArrowheads="1" noChangeAspect="1"/>
                    </pic:cNvPicPr>
                  </pic:nvPicPr>
                  <pic:blipFill>
                    <a:blip r:embed="rId78"/>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(A) Structural increment over 25 independent ±20% fields, in baseline posterior standard deviations. (B) One field against the 25-field mean, showing sign reversal. (C) Raw displacement fraction</w:t>
      </w:r>
      <w:r>
        <w:t xml:space="preserve"> </w:t>
      </w:r>
      <m:oMath>
        <m:sSub>
          <m:e>
            <m:r>
              <m:t>f</m:t>
            </m:r>
          </m:e>
          <m:sub>
            <m:r>
              <m:t>j</m:t>
            </m:r>
          </m:sub>
        </m:sSub>
      </m:oMath>
      <w:r>
        <w:t xml:space="preserve">, median and 5–95% range over 30 noise realisations, with the single control-adjusted reference realisation marked faintly. (D) Structural residual against the largest standardised displacement.</w:t>
      </w:r>
    </w:p>
    <w:bookmarkEnd w:id="81"/>
    <w:bookmarkEnd w:id="82"/>
    <w:bookmarkStart w:id="89" w:name="X44cb885e018a13507da67f983d6df8610da438a"/>
    <w:p>
      <w:pPr>
        <w:pStyle w:val="Heading2"/>
      </w:pPr>
      <w:r>
        <w:t xml:space="preserve">3.5 Predictive accuracy is not parameter identification</w:t>
      </w:r>
    </w:p>
    <w:bookmarkStart w:id="83" w:name="leaving-out-one-monitor"/>
    <w:p>
      <w:pPr>
        <w:pStyle w:val="Heading3"/>
      </w:pPr>
      <w:r>
        <w:t xml:space="preserve">3.5.1 Leaving out one monitor</w:t>
      </w:r>
    </w:p>
    <w:p>
      <w:pPr>
        <w:pStyle w:val="FirstParagraph"/>
      </w:pPr>
      <w:r>
        <w:t xml:space="preserve">If a calibrated model predicts well at a sensor it never saw, the calibration is often taken to</w:t>
      </w:r>
      <w:r>
        <w:t xml:space="preserve"> </w:t>
      </w:r>
      <w:r>
        <w:t xml:space="preserve">be validated. Withholding each of the six monitors in turn and refitting gives held-out RMSEs</w:t>
      </w:r>
      <w:r>
        <w:t xml:space="preserve"> </w:t>
      </w:r>
      <w:r>
        <w:t xml:space="preserve">between 0.092 and 0.103 mg L</w:t>
      </w:r>
      <w:r>
        <w:rPr>
          <w:vertAlign w:val="superscript"/>
        </w:rPr>
        <w:t xml:space="preserve">-1</w:t>
      </w:r>
      <w:r>
        <w:t xml:space="preserve"> </w:t>
      </w:r>
      <w:r>
        <w:t xml:space="preserve">against an observation noise standard deviation of 0.1, with</w:t>
      </w:r>
      <w:r>
        <w:t xml:space="preserve"> </w:t>
      </w:r>
      <w:r>
        <w:t xml:space="preserve">90% predictive interval coverage between 0.90 and 0.94 (Table 5). Taken at face value, these</w:t>
      </w:r>
      <w:r>
        <w:t xml:space="preserve"> </w:t>
      </w:r>
      <w:r>
        <w:t xml:space="preserve">diagnostics indicate good held-out predictive performance at all six monitors.</w:t>
      </w:r>
    </w:p>
    <w:p>
      <w:pPr>
        <w:pStyle w:val="BodyText"/>
      </w:pPr>
      <w:r>
        <w:t xml:space="preserve">Two observations qualify that reading. First, each zone retains its second monitor throughout,</w:t>
      </w:r>
      <w:r>
        <w:t xml:space="preserve"> </w:t>
      </w:r>
      <w:r>
        <w:t xml:space="preserve">so the test establishes prediction at an unseen monitor while its reaction zone remains locally</w:t>
      </w:r>
      <w:r>
        <w:t xml:space="preserve"> </w:t>
      </w:r>
      <w:r>
        <w:t xml:space="preserve">observed; it does not test whether that zone’s coefficient can be identified without local</w:t>
      </w:r>
      <w:r>
        <w:t xml:space="preserve"> </w:t>
      </w:r>
      <w:r>
        <w:t xml:space="preserve">monitoring. Second, the informal comparator achieved almost the same held-out RMSE, 0.092 to</w:t>
      </w:r>
      <w:r>
        <w:t xml:space="preserve"> </w:t>
      </w:r>
      <w:r>
        <w:t xml:space="preserve">0.102 mg L</w:t>
      </w:r>
      <w:r>
        <w:rPr>
          <w:vertAlign w:val="superscript"/>
        </w:rPr>
        <w:t xml:space="preserve">-1</w:t>
      </w:r>
      <w:r>
        <w:t xml:space="preserve">, despite producing the much broader and more prior-sensitive parameter</w:t>
      </w:r>
      <w:r>
        <w:t xml:space="preserve"> </w:t>
      </w:r>
      <w:r>
        <w:t xml:space="preserve">distributions of Section 3.2. A weighting rule can therefore extract very little parameter</w:t>
      </w:r>
      <w:r>
        <w:t xml:space="preserve"> </w:t>
      </w:r>
      <w:r>
        <w:t xml:space="preserve">information and still predict concentrations about as well, which is a first indication that</w:t>
      </w:r>
      <w:r>
        <w:t xml:space="preserve"> </w:t>
      </w:r>
      <w:r>
        <w:t xml:space="preserve">predictive adequacy and parameter identification are distinct properties.</w:t>
      </w:r>
    </w:p>
    <w:bookmarkEnd w:id="83"/>
    <w:bookmarkStart w:id="84" w:name="leaving-out-a-whole-zone"/>
    <w:p>
      <w:pPr>
        <w:pStyle w:val="Heading3"/>
      </w:pPr>
      <w:r>
        <w:t xml:space="preserve">3.5.2 Leaving out a whole zone</w:t>
      </w:r>
    </w:p>
    <w:p>
      <w:pPr>
        <w:pStyle w:val="FirstParagraph"/>
      </w:pPr>
      <w:r>
        <w:t xml:space="preserve">Withholding both monitors of a zone removes that local information. The old-zone coefficient</w:t>
      </w:r>
      <w:r>
        <w:t xml:space="preserve"> </w:t>
      </w:r>
      <w:r>
        <w:t xml:space="preserve">then returns to −0.851 and the average-zone coefficient to −0.120, the midpoints of their priors</w:t>
      </w:r>
      <w:r>
        <w:t xml:space="preserve"> </w:t>
      </w:r>
      <w:r>
        <w:t xml:space="preserve">to three decimal places, and both retain 100% of the prior standard deviation: the observations</w:t>
      </w:r>
      <w:r>
        <w:t xml:space="preserve"> </w:t>
      </w:r>
      <w:r>
        <w:t xml:space="preserve">provide effectively no update beyond the prior for those two coefficients. The new-zone</w:t>
      </w:r>
      <w:r>
        <w:t xml:space="preserve"> </w:t>
      </w:r>
      <w:r>
        <w:t xml:space="preserve">coefficient behaves differently, retaining about 57% of its prior standard deviation, which is</w:t>
      </w:r>
      <w:r>
        <w:t xml:space="preserve"> </w:t>
      </w:r>
      <w:r>
        <w:t xml:space="preserve">consistent with the upstream position of the new zone and with the cross-zone sensitivity</w:t>
      </w:r>
      <w:r>
        <w:t xml:space="preserve"> </w:t>
      </w:r>
      <w:r>
        <w:t xml:space="preserve">visible in the Fisher analysis of Section 3.3.3.</w:t>
      </w:r>
    </w:p>
    <w:p>
      <w:pPr>
        <w:pStyle w:val="BodyText"/>
      </w:pPr>
      <w:r>
        <w:t xml:space="preserve">Predictive performance barely notices. Held-out RMSE at the dropped monitors is 0.0999, 0.0988 and 0.1006 mg L</w:t>
      </w:r>
      <w:r>
        <w:rPr>
          <w:vertAlign w:val="superscript"/>
        </w:rPr>
        <w:t xml:space="preserve">-1</w:t>
      </w:r>
      <w:r>
        <w:t xml:space="preserve">, comparable to the leave-one-monitor-out values and to the observation-noise scale, with coverage between 0.90 and 0.96 (Figure 6). Repeating</w:t>
      </w:r>
      <w:r>
        <w:t xml:space="preserve"> </w:t>
      </w:r>
      <w:r>
        <w:t xml:space="preserve">leave-one-zone-out under ±20% per-pipe heterogeneity across eight independent fields changes</w:t>
      </w:r>
      <w:r>
        <w:t xml:space="preserve"> </w:t>
      </w:r>
      <w:r>
        <w:t xml:space="preserve">little: coefficient errors relative to each field’s own arithmetic mean are +0.139, −0.020 and</w:t>
      </w:r>
      <w:r>
        <w:t xml:space="preserve"> </w:t>
      </w:r>
      <w:r>
        <w:t xml:space="preserve">+0.012 m day</w:t>
      </w:r>
      <w:r>
        <w:rPr>
          <w:vertAlign w:val="superscript"/>
        </w:rPr>
        <w:t xml:space="preserve">-1</w:t>
      </w:r>
      <w:r>
        <w:t xml:space="preserve">, and errors at unmonitored junctions remain between 0.8% and 1.2%. As a</w:t>
      </w:r>
      <w:r>
        <w:t xml:space="preserve"> </w:t>
      </w:r>
      <w:r>
        <w:t xml:space="preserve">separate spatial validation using all six monitors, predictions at twenty junctions that never</w:t>
      </w:r>
      <w:r>
        <w:t xml:space="preserve"> </w:t>
      </w:r>
      <w:r>
        <w:t xml:space="preserve">entered any calibration had a median normalised mean absolute error of 0.83% under the primary likelihood, with an interquartile range of 0.41% to 1.45% across junctions and noise realisations; the median is well inside one per cent but the upper quartile is not.</w:t>
      </w:r>
    </w:p>
    <w:p>
      <w:pPr>
        <w:pStyle w:val="BodyText"/>
      </w:pPr>
      <w:r>
        <w:t xml:space="preserve">The predictive bands at those same junctions are a less flattering result and are reported here</w:t>
      </w:r>
      <w:r>
        <w:t xml:space="preserve"> </w:t>
      </w:r>
      <w:r>
        <w:t xml:space="preserve">for that reason. Against a nominal 90%, the median pointwise coverage was 1.00 for both the</w:t>
      </w:r>
      <w:r>
        <w:t xml:space="preserve"> </w:t>
      </w:r>
      <w:r>
        <w:t xml:space="preserve">normal-approximation and the weighted-quantile band, under the formal rule as well as the</w:t>
      </w:r>
      <w:r>
        <w:t xml:space="preserve"> </w:t>
      </w:r>
      <w:r>
        <w:t xml:space="preserve">informal comparator. That is over-coverage: the bands are conservative rather than calibrated. A broad parameter ensemble is a plausible contributor, but this design does not isolate a cause, and the result is flattered further because the targets were generated by the same hydraulic and reaction model that produced the predictions. Coverage at these junctions therefore does not establish that the reported</w:t>
      </w:r>
      <w:r>
        <w:t xml:space="preserve"> </w:t>
      </w:r>
      <w:r>
        <w:t xml:space="preserve">uncertainty is correctly sized, and the same caution applies to the nominally well-calibrated</w:t>
      </w:r>
      <w:r>
        <w:t xml:space="preserve"> </w:t>
      </w:r>
      <w:r>
        <w:t xml:space="preserve">coverage of the held-out monitor designs.</w:t>
      </w:r>
    </w:p>
    <w:p>
      <w:pPr>
        <w:pStyle w:val="BodyText"/>
      </w:pPr>
      <w:r>
        <w:t xml:space="preserve">The mechanism differs by zone, and it is not mutual compensation between coefficients: when one zone is withheld the other two coefficients barely move. Five of the six cross-coefficient shifts are below 0.005 m day</w:t>
      </w:r>
      <w:r>
        <w:rPr>
          <w:vertAlign w:val="superscript"/>
        </w:rPr>
        <w:t xml:space="preserve">-1</w:t>
      </w:r>
      <w:r>
        <w:t xml:space="preserve"> </w:t>
      </w:r>
      <w:r>
        <w:t xml:space="preserve">from their six-monitor medians, and the largest is 0.0086 m day</w:t>
      </w:r>
      <w:r>
        <w:rPr>
          <w:vertAlign w:val="superscript"/>
        </w:rPr>
        <w:t xml:space="preserve">-1</w:t>
      </w:r>
      <w:r>
        <w:t xml:space="preserve">, for the old coefficient when the new zone is withheld. For old and average, the prior midpoints already lie close enough</w:t>
      </w:r>
      <w:r>
        <w:t xml:space="preserve"> </w:t>
      </w:r>
      <w:r>
        <w:t xml:space="preserve">to the imposed truths that a prior-dominated coefficient still produces concentrations whose</w:t>
      </w:r>
      <w:r>
        <w:t xml:space="preserve"> </w:t>
      </w:r>
      <w:r>
        <w:t xml:space="preserve">discrepancies are small relative to the 0.1 mg L</w:t>
      </w:r>
      <w:r>
        <w:rPr>
          <w:vertAlign w:val="superscript"/>
        </w:rPr>
        <w:t xml:space="preserve">-1</w:t>
      </w:r>
      <w:r>
        <w:t xml:space="preserve"> </w:t>
      </w:r>
      <w:r>
        <w:t xml:space="preserve">observation noise. The new coefficient is</w:t>
      </w:r>
      <w:r>
        <w:t xml:space="preserve"> </w:t>
      </w:r>
      <w:r>
        <w:t xml:space="preserve">different in kind, retaining genuine information from monitors outside its own zone. A zone</w:t>
      </w:r>
      <w:r>
        <w:t xml:space="preserve"> </w:t>
      </w:r>
      <w:r>
        <w:t xml:space="preserve">coefficient can therefore remain effectively at its prior while predictions at the withheld</w:t>
      </w:r>
      <w:r>
        <w:t xml:space="preserve"> </w:t>
      </w:r>
      <w:r>
        <w:t xml:space="preserve">monitors of that same zone stay close to the observation-noise scale.</w:t>
      </w:r>
    </w:p>
    <w:bookmarkEnd w:id="84"/>
    <w:bookmarkStart w:id="88" w:name="X68f19514e01396656c07c61bd9e2aff5b14a223"/>
    <w:p>
      <w:pPr>
        <w:pStyle w:val="Heading3"/>
      </w:pPr>
      <w:r>
        <w:t xml:space="preserve">3.5.3 What predictive validation does and does not license</w:t>
      </w:r>
    </w:p>
    <w:p>
      <w:pPr>
        <w:pStyle w:val="FirstParagraph"/>
      </w:pPr>
      <w:r>
        <w:t xml:space="preserve">The two claims support different uses. 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 passes. A model adequate for</w:t>
      </w:r>
      <w:r>
        <w:t xml:space="preserve"> </w:t>
      </w:r>
      <w:r>
        <w:t xml:space="preserve">concentration screening may still be inadequate for asset diagnosis.</w:t>
      </w:r>
    </w:p>
    <w:p>
      <w:pPr>
        <w:pStyle w:val="BodyText"/>
      </w:pPr>
      <w:r>
        <w:t xml:space="preserve">Nor is this an external validation. Even the heterogeneous-truth extension retains the same</w:t>
      </w:r>
      <w:r>
        <w:t xml:space="preserve"> </w:t>
      </w:r>
      <w:r>
        <w:t xml:space="preserve">underlying hydraulics, the same first-order reaction family and the same solver, and no field</w:t>
      </w:r>
      <w:r>
        <w:t xml:space="preserve"> </w:t>
      </w:r>
      <w:r>
        <w:t xml:space="preserve">observations are used. The exercise establishes internal predictive consistency, not</w:t>
      </w:r>
      <w:r>
        <w:t xml:space="preserve"> </w:t>
      </w:r>
      <w:r>
        <w:t xml:space="preserve">real-network validity.</w:t>
      </w:r>
    </w:p>
    <w:p>
      <w:pPr>
        <w:pStyle w:val="CaptionedFigure"/>
      </w:pPr>
      <w:r>
        <w:drawing>
          <wp:inline>
            <wp:extent cx="5753100" cy="2077667"/>
            <wp:effectExtent b="0" l="0" r="0" t="0"/>
            <wp:docPr descr="Figure 6. A zone coefficient can remain at its prior while prediction stays near the noise scale. For each withheld zone, the median inferred coefficient over 30 realisations against prior support, prior midpoint and truth. The bar is the median within-realisation posterior standard deviation scaled to a Gaussian 90% width, not a quantile of the 30 medians. Right, held-out RMSE at the dropped monitors against the noise level, bars showing the interquartile range over the 30 realisations." title="" id="86" name="Picture"/>
            <a:graphic>
              <a:graphicData uri="http://schemas.openxmlformats.org/drawingml/2006/picture">
                <pic:pic>
                  <pic:nvPicPr>
                    <pic:cNvPr descr="figures/paper/fig6_prediction_without_identification.png" id="87" name="Picture"/>
                    <pic:cNvPicPr>
                      <a:picLocks noChangeArrowheads="1" noChangeAspect="1"/>
                    </pic:cNvPicPr>
                  </pic:nvPicPr>
                  <pic:blipFill>
                    <a:blip r:embed="rId85"/>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A zone coefficient can remain at its prior while prediction stays near the noise scale.</w:t>
      </w:r>
      <w:r>
        <w:t xml:space="preserve"> </w:t>
      </w:r>
      <w:r>
        <w:t xml:space="preserve">For each withheld zone, the median inferred coefficient over 30 realisations against prior support, prior midpoint and truth. The bar is the median within-realisation posterior standard deviation scaled to a Gaussian 90% width, not a quantile of the 30 medians. Right, held-out RMSE at the dropped monitors against the noise level, bars showing the interquartile range over the 30 realisations.</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Leave-one-monitor-out rows withhold a single sensor, leave-one-zone-out rows both sensors of a zone. Own-coefficient error is measured against the true zone value.</w:t>
      </w:r>
    </w:p>
    <w:bookmarkEnd w:id="88"/>
    <w:bookmarkEnd w:id="89"/>
    <w:bookmarkStart w:id="96" w:name="X18a78fb24137a841c027c2d5aa826b00ca777e2"/>
    <w:p>
      <w:pPr>
        <w:pStyle w:val="Heading2"/>
      </w:pPr>
      <w:r>
        <w:t xml:space="preserve">3.6 Propagation to operational low-chlorine risk</w:t>
      </w:r>
    </w:p>
    <w:bookmarkStart w:id="90" w:name="Xc055e23747760d795e741d8a0b84e2d3ce1b6f3"/>
    <w:p>
      <w:pPr>
        <w:pStyle w:val="Heading3"/>
      </w:pPr>
      <w:r>
        <w:t xml:space="preserve">3.6.1 Duration, depth and hydraulic interpretation</w:t>
      </w:r>
    </w:p>
    <w:p>
      <w:pPr>
        <w:pStyle w:val="FirstParagraph"/>
      </w:pPr>
      <w:r>
        <w:t xml:space="preserve">Calibration uncertainty matters operationally when it changes estimated risk or the</w:t>
      </w:r>
      <w:r>
        <w:t xml:space="preserve"> </w:t>
      </w:r>
      <w:r>
        <w:t xml:space="preserve">prioritisation of locations for action, so the ensemble was propagated to the network and</w:t>
      </w:r>
      <w:r>
        <w:t xml:space="preserve"> </w:t>
      </w:r>
      <w:r>
        <w:t xml:space="preserve">summarised with several metrics rather than one. The values in this section carry the baseline</w:t>
      </w:r>
      <w:r>
        <w:t xml:space="preserve"> </w:t>
      </w:r>
      <w:r>
        <w:t xml:space="preserve">weights and are conditional on its single reference observation realisation.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deficit combines persistence with depth, and</w:t>
      </w:r>
      <w:r>
        <w:t xml:space="preserve"> </w:t>
      </w:r>
      <w:r>
        <w:t xml:space="preserve">the two therefore rank the network 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90"/>
    <w:bookmarkStart w:id="91"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1"/>
    <w:bookmarkStart w:id="95"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Scenario A reproduces the 12 degree Celsius baseline but</w:t>
      </w:r>
      <w:r>
        <w:t xml:space="preserve"> </w:t>
      </w:r>
      <w:r>
        <w:t xml:space="preserve">includes the prescribed temperature uncertainty around that reference, shifting the network-mean</w:t>
      </w:r>
      <w:r>
        <w:t xml:space="preserve"> </w:t>
      </w:r>
      <w:r>
        <w:t xml:space="preserve">cumulative deficit from the fixed-temperature 0.218 mg L</w:t>
      </w:r>
      <w:r>
        <w:rPr>
          <w:vertAlign w:val="superscript"/>
        </w:rPr>
        <w:t xml:space="preserve">-1</w:t>
      </w:r>
      <w:r>
        <w:t xml:space="preserve"> </w:t>
      </w:r>
      <w:r>
        <w:t xml:space="preserve">h of Section 3.6.1 to 0.222 while</w:t>
      </w:r>
      <w:r>
        <w:t xml:space="preserve"> </w:t>
      </w:r>
      <w:r>
        <w:t xml:space="preserve">leaving the 21-junction breach count and 55.4 L s</w:t>
      </w:r>
      <w:r>
        <w:rPr>
          <w:vertAlign w:val="superscript"/>
        </w:rPr>
        <w:t xml:space="preserve">-1</w:t>
      </w:r>
      <w:r>
        <w:t xml:space="preserve"> </w:t>
      </w:r>
      <w:r>
        <w:t xml:space="preserve">of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applied to the reservoir boundary</w:t>
      </w:r>
      <w:r>
        <w:t xml:space="preserve"> </w:t>
      </w:r>
      <w:r>
        <w:t xml:space="preserve">concentration and to the tank initial concentration together so that the whole source regime</w:t>
      </w:r>
      <w:r>
        <w:t xml:space="preserve"> </w:t>
      </w:r>
      <w:r>
        <w:t xml:space="preserve">moves consistently,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Dosing improves the continuous severity metrics without restoring the baseline</w:t>
      </w:r>
      <w:r>
        <w:t xml:space="preserve"> </w:t>
      </w:r>
      <w:r>
        <w:t xml:space="preserve">demand-at-risk level; the identical figure at both doses is a plateau of the binary</w:t>
      </w:r>
      <w:r>
        <w:t xml:space="preserve"> </w:t>
      </w:r>
      <w:r>
        <w:t xml:space="preserve">classification, not evidence 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both metrics. (C) Expected duration against deficit for all 92 junctions." title="" id="93" name="Picture"/>
            <a:graphic>
              <a:graphicData uri="http://schemas.openxmlformats.org/drawingml/2006/picture">
                <pic:pic>
                  <pic:nvPicPr>
                    <pic:cNvPr descr="figures/paper/fig7_metric_specific_risk.png" id="94" name="Picture"/>
                    <pic:cNvPicPr>
                      <a:picLocks noChangeArrowheads="1" noChangeAspect="1"/>
                    </pic:cNvPicPr>
                  </pic:nvPicPr>
                  <pic:blipFill>
                    <a:blip r:embed="rId92"/>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both metrics. (C) Expected duration against deficit for all 92 junctions.</w:t>
      </w:r>
    </w:p>
    <w:bookmarkEnd w:id="95"/>
    <w:bookmarkEnd w:id="96"/>
    <w:bookmarkStart w:id="101"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7"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under bulk-decay misspecification</w:t>
      </w:r>
      <w:r>
        <w:t xml:space="preserve"> </w:t>
      </w:r>
      <w:r>
        <w:t xml:space="preserve">and sensor bias, displacements of several posterior standard deviations often left the leading set</w:t>
      </w:r>
      <w:r>
        <w:t xml:space="preserve"> </w:t>
      </w:r>
      <w:r>
        <w:t xml:space="preserve">ranked by cumulative deficit unchanged while the ranking by time-averaged breach probability was</w:t>
      </w:r>
      <w:r>
        <w:t xml:space="preserve"> </w:t>
      </w:r>
      <w:r>
        <w:t xml:space="preserve">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7"/>
    <w:bookmarkStart w:id="98"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8"/>
    <w:bookmarkStart w:id="99"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9"/>
    <w:bookmarkStart w:id="100"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100"/>
    <w:bookmarkEnd w:id="101"/>
    <w:bookmarkEnd w:id="102"/>
    <w:bookmarkStart w:id="103"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 error and structured within-zone heterogeneity instead displace the estimate by several posterior standard deviations while the best achievable aggregate residual stays within 6.2% of the realised observation-noise RMSE across all 24 bias arms and all structured amplitudes, so in the cases tested here neither was revealed by that statistic. A 20% error in the fixed bulk coefficient is the clearest case, leaving the best residual indistinguishable from the noise floor while displacing the average and new coefficients by 1.4 to 1.6 posterior standard deviations. Bulk-decay</w:t>
      </w:r>
      <w:r>
        <w:t xml:space="preserve"> </w:t>
      </w:r>
      <w:r>
        <w:t xml:space="preserve">uncertainty does both and falls disproportionately on the two weakly decaying zones; under the</w:t>
      </w:r>
      <w:r>
        <w:t xml:space="preserve"> </w:t>
      </w:r>
      <w:r>
        <w:t xml:space="preserve">local Fisher analysis and the study-specific criterion that the Cramér–Rao bound stay below the</w:t>
      </w:r>
      <w:r>
        <w:t xml:space="preserve"> </w:t>
      </w:r>
      <w:r>
        <w:t xml:space="preserve">prior standard deviation, those two coefficients cease to be practically identifiable from this</w:t>
      </w:r>
      <w:r>
        <w:t xml:space="preserve"> </w:t>
      </w:r>
      <w:r>
        <w:t xml:space="preserve">six-monitor design once bulk decay and monitor-specific offsets are treated as unknown together.</w:t>
      </w:r>
      <w:r>
        <w:t xml:space="preserve"> </w:t>
      </w:r>
      <w:r>
        <w:t xml:space="preserve">In the paired reference realisation structured heterogeneity displaced all three coefficients</w:t>
      </w:r>
      <w:r>
        <w:t xml:space="preserve"> </w:t>
      </w:r>
      <w:r>
        <w:t xml:space="preserve">comparably, although across noise realisations the zones could not be ordered against one another, and the length-weighted</w:t>
      </w:r>
      <w:r>
        <w:t xml:space="preserve"> </w:t>
      </w:r>
      <w:r>
        <w:t xml:space="preserve">value used to separate the candidate targets is a directional comparator rather than the</w:t>
      </w:r>
      <w:r>
        <w:t xml:space="preserve"> </w:t>
      </w:r>
      <w:r>
        <w:t xml:space="preserve">quantity a grouped fit estimates.</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while the</w:t>
      </w:r>
      <w:r>
        <w:t xml:space="preserve"> </w:t>
      </w:r>
      <w:r>
        <w:t xml:space="preserve">new-zone coefficient stayed partly constrained by the remaining monitors and retained 57% of it.</w:t>
      </w:r>
      <w:r>
        <w:t xml:space="preserve"> </w:t>
      </w:r>
      <w:r>
        <w:t xml:space="preserve">In all three cases held-out prediction at those same monitors stayed at the observation-noise</w:t>
      </w:r>
      <w:r>
        <w:t xml:space="preserve"> </w:t>
      </w:r>
      <w:r>
        <w:t xml:space="preserve">scale, and across the 20 never-calibrated junctions and 30 noise realisations the median node-level normalised mean absolute error was 0.83%, with an interquartile range of 0.41–1.45%.</w:t>
      </w:r>
      <w:r>
        <w:t xml:space="preserve"> </w:t>
      </w:r>
      <w:r>
        <w:t xml:space="preserve">Parameter displacements of several standard deviations left whole-network</w:t>
      </w:r>
      <w:r>
        <w:t xml:space="preserve"> </w:t>
      </w:r>
      <w:r>
        <w:t xml:space="preserve">rank correlations high, but the six-node shortlist an operator would act on changed under some</w:t>
      </w:r>
      <w:r>
        <w:t xml:space="preserve"> </w:t>
      </w:r>
      <w:r>
        <w:t xml:space="preserve">perturbations and not others, and which it was depended on whether the ranking used expected</w:t>
      </w:r>
      <w:r>
        <w:t xml:space="preserve"> </w:t>
      </w:r>
      <w:r>
        <w:t xml:space="preserve">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3"/>
    <w:bookmarkStart w:id="133" w:name="references"/>
    <w:p>
      <w:pPr>
        <w:pStyle w:val="Heading1"/>
      </w:pPr>
      <w:r>
        <w:t xml:space="preserve">References</w:t>
      </w:r>
    </w:p>
    <w:bookmarkStart w:id="132" w:name="refs"/>
    <w:bookmarkStart w:id="105"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4">
        <w:r>
          <w:rPr>
            <w:rStyle w:val="Hyperlink"/>
          </w:rPr>
          <w:t xml:space="preserve">10.1002/hyp.3360060305</w:t>
        </w:r>
      </w:hyperlink>
      <w:r>
        <w:t xml:space="preserve">.</w:t>
      </w:r>
    </w:p>
    <w:bookmarkEnd w:id="105"/>
    <w:bookmarkStart w:id="107"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6">
        <w:r>
          <w:rPr>
            <w:rStyle w:val="Hyperlink"/>
          </w:rPr>
          <w:t xml:space="preserve">10.1002/hyp.10082</w:t>
        </w:r>
      </w:hyperlink>
      <w:r>
        <w:t xml:space="preserve">.</w:t>
      </w:r>
    </w:p>
    <w:bookmarkEnd w:id="107"/>
    <w:bookmarkStart w:id="109"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8">
        <w:r>
          <w:rPr>
            <w:rStyle w:val="Hyperlink"/>
          </w:rPr>
          <w:t xml:space="preserve">10.1029/2000WR900350</w:t>
        </w:r>
      </w:hyperlink>
      <w:r>
        <w:t xml:space="preserve">.</w:t>
      </w:r>
    </w:p>
    <w:bookmarkEnd w:id="109"/>
    <w:bookmarkStart w:id="111"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0">
        <w:r>
          <w:rPr>
            <w:rStyle w:val="Hyperlink"/>
          </w:rPr>
          <w:t xml:space="preserve">10.1016/S0043-1354(02)00056-8</w:t>
        </w:r>
      </w:hyperlink>
      <w:r>
        <w:t xml:space="preserve">.</w:t>
      </w:r>
    </w:p>
    <w:bookmarkEnd w:id="111"/>
    <w:bookmarkStart w:id="113"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2">
        <w:r>
          <w:rPr>
            <w:rStyle w:val="Hyperlink"/>
          </w:rPr>
          <w:t xml:space="preserve">10.1016/j.envsoft.2017.06.022</w:t>
        </w:r>
      </w:hyperlink>
      <w:r>
        <w:t xml:space="preserve">.</w:t>
      </w:r>
    </w:p>
    <w:bookmarkEnd w:id="113"/>
    <w:bookmarkStart w:id="115"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4">
        <w:r>
          <w:rPr>
            <w:rStyle w:val="Hyperlink"/>
          </w:rPr>
          <w:t xml:space="preserve">10.1016/j.jhydrol.2006.04.046</w:t>
        </w:r>
      </w:hyperlink>
      <w:r>
        <w:t xml:space="preserve">.</w:t>
      </w:r>
    </w:p>
    <w:bookmarkEnd w:id="115"/>
    <w:bookmarkStart w:id="117"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16">
        <w:r>
          <w:rPr>
            <w:rStyle w:val="Hyperlink"/>
          </w:rPr>
          <w:t xml:space="preserve">10.1061/(ASCE)0733-9496(2003)129:2(124)</w:t>
        </w:r>
      </w:hyperlink>
      <w:r>
        <w:t xml:space="preserve">.</w:t>
      </w:r>
    </w:p>
    <w:bookmarkEnd w:id="117"/>
    <w:bookmarkStart w:id="119"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18">
        <w:r>
          <w:rPr>
            <w:rStyle w:val="Hyperlink"/>
          </w:rPr>
          <w:t xml:space="preserve">10.1016/j.proeng.2014.02.135</w:t>
        </w:r>
      </w:hyperlink>
      <w:r>
        <w:t xml:space="preserve">.</w:t>
      </w:r>
    </w:p>
    <w:bookmarkEnd w:id="119"/>
    <w:bookmarkStart w:id="121"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20">
        <w:r>
          <w:rPr>
            <w:rStyle w:val="Hyperlink"/>
          </w:rPr>
          <w:t xml:space="preserve">10.1016/S0043-1354(99)00097-4</w:t>
        </w:r>
      </w:hyperlink>
      <w:r>
        <w:t xml:space="preserve">.</w:t>
      </w:r>
    </w:p>
    <w:bookmarkEnd w:id="121"/>
    <w:bookmarkStart w:id="123"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22">
        <w:r>
          <w:rPr>
            <w:rStyle w:val="Hyperlink"/>
          </w:rPr>
          <w:t xml:space="preserve">10.1093/bioinformatics/btp358</w:t>
        </w:r>
      </w:hyperlink>
      <w:r>
        <w:t xml:space="preserve">.</w:t>
      </w:r>
    </w:p>
    <w:bookmarkEnd w:id="123"/>
    <w:bookmarkStart w:id="124"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24"/>
    <w:bookmarkStart w:id="126"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25">
        <w:r>
          <w:rPr>
            <w:rStyle w:val="Hyperlink"/>
          </w:rPr>
          <w:t xml:space="preserve">10.1061/(ASCE)0733-9372(1994)120:4(803)</w:t>
        </w:r>
      </w:hyperlink>
      <w:r>
        <w:t xml:space="preserve">.</w:t>
      </w:r>
    </w:p>
    <w:bookmarkEnd w:id="126"/>
    <w:bookmarkStart w:id="127"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27"/>
    <w:bookmarkStart w:id="12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28">
        <w:r>
          <w:rPr>
            <w:rStyle w:val="Hyperlink"/>
          </w:rPr>
          <w:t xml:space="preserve">10.1029/2008WR006822</w:t>
        </w:r>
      </w:hyperlink>
      <w:r>
        <w:t xml:space="preserve">.</w:t>
      </w:r>
    </w:p>
    <w:bookmarkEnd w:id="129"/>
    <w:bookmarkStart w:id="13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30">
        <w:r>
          <w:rPr>
            <w:rStyle w:val="Hyperlink"/>
          </w:rPr>
          <w:t xml:space="preserve">10.1002/j.1551-8833.1997.tb08259.x</w:t>
        </w:r>
      </w:hyperlink>
      <w:r>
        <w:t xml:space="preserve">.</w:t>
      </w:r>
    </w:p>
    <w:bookmarkEnd w:id="131"/>
    <w:bookmarkEnd w:id="132"/>
    <w:bookmarkEnd w:id="133"/>
    <w:bookmarkStart w:id="143"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34"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34"/>
    <w:bookmarkStart w:id="135"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35"/>
    <w:bookmarkStart w:id="136"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36"/>
    <w:bookmarkStart w:id="137"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37"/>
    <w:bookmarkStart w:id="138"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bookmarkEnd w:id="138"/>
    <w:bookmarkStart w:id="139"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39"/>
    <w:bookmarkStart w:id="140"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40"/>
    <w:bookmarkStart w:id="141" w:name="appendix-h.-full-risk-register"/>
    <w:p>
      <w:pPr>
        <w:pStyle w:val="Heading2"/>
      </w:pPr>
      <w:r>
        <w:t xml:space="preserve">Appendix H. Full risk register</w:t>
      </w:r>
    </w:p>
    <w:p>
      <w:pPr>
        <w:pStyle w:val="FirstParagraph"/>
      </w:pPr>
      <w:r>
        <w:t xml:space="preserve">Table H1. The complete risk register, all 92 junctions, ordered by expected cumulative deficit. Banding rules are given in the main text; the governing band is the higher of the breach and severity bands.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41"/>
    <w:bookmarkStart w:id="142"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42"/>
    <w:bookmarkEnd w:id="143"/>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92" Target="media/rId92.png" /><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106" Target="https://doi.org/10.1002/hyp.10082" TargetMode="External" /><Relationship Type="http://schemas.openxmlformats.org/officeDocument/2006/relationships/hyperlink" Id="rId104" Target="https://doi.org/10.1002/hyp.3360060305" TargetMode="External" /><Relationship Type="http://schemas.openxmlformats.org/officeDocument/2006/relationships/hyperlink" Id="rId130" Target="https://doi.org/10.1002/j.1551-8833.1997.tb08259.x" TargetMode="External" /><Relationship Type="http://schemas.openxmlformats.org/officeDocument/2006/relationships/hyperlink" Id="rId110" Target="https://doi.org/10.1016/S0043-1354(02)00056-8" TargetMode="External" /><Relationship Type="http://schemas.openxmlformats.org/officeDocument/2006/relationships/hyperlink" Id="rId120" Target="https://doi.org/10.1016/S0043-1354(99)00097-4" TargetMode="External" /><Relationship Type="http://schemas.openxmlformats.org/officeDocument/2006/relationships/hyperlink" Id="rId112" Target="https://doi.org/10.1016/j.envsoft.2017.06.022" TargetMode="External" /><Relationship Type="http://schemas.openxmlformats.org/officeDocument/2006/relationships/hyperlink" Id="rId114" Target="https://doi.org/10.1016/j.jhydrol.2006.04.046" TargetMode="External" /><Relationship Type="http://schemas.openxmlformats.org/officeDocument/2006/relationships/hyperlink" Id="rId118" Target="https://doi.org/10.1016/j.proeng.2014.02.135" TargetMode="External" /><Relationship Type="http://schemas.openxmlformats.org/officeDocument/2006/relationships/hyperlink" Id="rId108" Target="https://doi.org/10.1029/2000WR900350" TargetMode="External" /><Relationship Type="http://schemas.openxmlformats.org/officeDocument/2006/relationships/hyperlink" Id="rId128" Target="https://doi.org/10.1029/2008WR006822" TargetMode="External" /><Relationship Type="http://schemas.openxmlformats.org/officeDocument/2006/relationships/hyperlink" Id="rId125" Target="https://doi.org/10.1061/(ASCE)0733-9372(1994)120:4(803)" TargetMode="External" /><Relationship Type="http://schemas.openxmlformats.org/officeDocument/2006/relationships/hyperlink" Id="rId116" Target="https://doi.org/10.1061/(ASCE)0733-9496(2003)129:2(124)" TargetMode="External" /><Relationship Type="http://schemas.openxmlformats.org/officeDocument/2006/relationships/hyperlink" Id="rId122"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2026-08-10T22:11:14Z</dcterms:created>
  <dcterms:modified xsi:type="dcterms:W3CDTF">2026-08-10T22:11:14Z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