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59.png" ContentType="image/png"/>
  <Override PartName="/word/media/rId64.png" ContentType="image/png"/>
  <Override PartName="/word/media/rId71.png" ContentType="image/png"/>
  <Override PartName="/word/media/rId78.png" ContentType="image/png"/>
  <Override PartName="/word/media/rId85.png" ContentType="image/png"/>
  <Override PartName="/word/media/rId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bstract"/>
    <w:p>
      <w:pPr>
        <w:pStyle w:val="Heading1"/>
      </w:pPr>
      <w:r>
        <w:t xml:space="preserve">Abstract</w:t>
      </w:r>
    </w:p>
    <w:p>
      <w:pPr>
        <w:pStyle w:val="FirstParagraph"/>
      </w:pPr>
      <w:r>
        <w:t xml:space="preserve">Grouped wall-decay coefficients are routinely calibrated from a handful of chlorine monitors,</w:t>
      </w:r>
      <w:r>
        <w:t xml:space="preserve"> </w:t>
      </w:r>
      <w:r>
        <w:t xml:space="preserve">but the uncertainty reported can reflect the inference rule as much as the data, and whether</w:t>
      </w:r>
      <w:r>
        <w:t xml:space="preserve"> </w:t>
      </w:r>
      <w:r>
        <w:t xml:space="preserve">parameter error reaches prediction or operational decisions is seldom tested. This study</w:t>
      </w:r>
      <w:r>
        <w:t xml:space="preserve"> </w:t>
      </w:r>
      <w:r>
        <w:t xml:space="preserve">separates these effects in a controlled EPANET Net3 experiment with three synthetic reaction</w:t>
      </w:r>
      <w:r>
        <w:t xml:space="preserve"> </w:t>
      </w:r>
      <w:r>
        <w:t xml:space="preserve">zones, known coefficients and six monitors. A censored Gaussian likelihood is compared with the</w:t>
      </w:r>
      <w:r>
        <w:t xml:space="preserve"> </w:t>
      </w:r>
      <w:r>
        <w:t xml:space="preserve">informal weighting previously applied to the same system on identical observations and candidate</w:t>
      </w:r>
      <w:r>
        <w:t xml:space="preserve"> </w:t>
      </w:r>
      <w:r>
        <w:t xml:space="preserve">draws; identifiability is triangulated across prior contraction, displaced priors, Fisher</w:t>
      </w:r>
      <w:r>
        <w:t xml:space="preserve"> </w:t>
      </w:r>
      <w:r>
        <w:t xml:space="preserve">information, profile likelihood and repeated-noise calibration; and measurement, nuisance and</w:t>
      </w:r>
      <w:r>
        <w:t xml:space="preserve"> </w:t>
      </w:r>
      <w:r>
        <w:t xml:space="preserve">structural errors are placed on common scales before propagation to prediction and low-chlorine</w:t>
      </w:r>
      <w:r>
        <w:t xml:space="preserve"> </w:t>
      </w:r>
      <w:r>
        <w:t xml:space="preserve">risk.</w:t>
      </w:r>
    </w:p>
    <w:p>
      <w:pPr>
        <w:pStyle w:val="BodyText"/>
      </w:pPr>
      <w:r>
        <w:t xml:space="preserve">The formal rule contracted all three coefficients to 25-31% of their prior standard deviation,</w:t>
      </w:r>
      <w:r>
        <w:t xml:space="preserve"> </w:t>
      </w:r>
      <w:r>
        <w:t xml:space="preserve">whereas the informal score retained 86-98% — a difference produced by the weighting alone, since</w:t>
      </w:r>
      <w:r>
        <w:t xml:space="preserve"> </w:t>
      </w:r>
      <w:r>
        <w:t xml:space="preserve">both used the same 294 observations. Recalibration over 100 noise realisations gave estimator</w:t>
      </w:r>
      <w:r>
        <w:t xml:space="preserve"> </w:t>
      </w:r>
      <w:r>
        <w:t xml:space="preserve">spreads 1.04 to 1.12 times the Cramer-Rao bound. Systematic sensor error, bulk-decay</w:t>
      </w:r>
      <w:r>
        <w:t xml:space="preserve"> </w:t>
      </w:r>
      <w:r>
        <w:t xml:space="preserve">misspecification and length-structured heterogeneity displaced coefficients by up to six</w:t>
      </w:r>
      <w:r>
        <w:t xml:space="preserve"> </w:t>
      </w:r>
      <w:r>
        <w:t xml:space="preserve">posterior standard deviations while the fit remained at the noise floor. Yet a withheld zone’s</w:t>
      </w:r>
      <w:r>
        <w:t xml:space="preserve"> </w:t>
      </w:r>
      <w:r>
        <w:t xml:space="preserve">coefficient could revert entirely to its prior with held-out prediction unchanged, and</w:t>
      </w:r>
      <w:r>
        <w:t xml:space="preserve"> </w:t>
      </w:r>
      <w:r>
        <w:t xml:space="preserve">displacements of several standard deviations left network-wide rankings intact while altering</w:t>
      </w:r>
      <w:r>
        <w:t xml:space="preserve"> </w:t>
      </w:r>
      <w:r>
        <w:t xml:space="preserve">the six-node operational shortlist under one risk metric but not another.</w:t>
      </w:r>
    </w:p>
    <w:p>
      <w:pPr>
        <w:pStyle w:val="BodyText"/>
      </w:pPr>
      <w:r>
        <w:t xml:space="preserve">Parameter identification, predictive adequacy and decision stability therefore require separate</w:t>
      </w:r>
      <w:r>
        <w:t xml:space="preserve"> </w:t>
      </w:r>
      <w:r>
        <w:t xml:space="preserve">validation. All conclusions are bounded by a synthetic, internally validated design without</w:t>
      </w:r>
      <w:r>
        <w:t xml:space="preserve"> </w:t>
      </w:r>
      <w:r>
        <w:t xml:space="preserve">field data.</w:t>
      </w:r>
    </w:p>
    <w:bookmarkEnd w:id="9"/>
    <w:bookmarkStart w:id="14" w:name="introduction"/>
    <w:p>
      <w:pPr>
        <w:pStyle w:val="Heading1"/>
      </w:pPr>
      <w:r>
        <w:t xml:space="preserve">1. Introduction</w:t>
      </w:r>
    </w:p>
    <w:bookmarkStart w:id="10" w:name="Xd5d69df5afc60954188de1b07ab3244f3febdf3"/>
    <w:p>
      <w:pPr>
        <w:pStyle w:val="Heading2"/>
      </w:pPr>
      <w:r>
        <w:t xml:space="preserve">1.1 Chlorine residual modelling as an inverse problem</w:t>
      </w:r>
    </w:p>
    <w:p>
      <w:pPr>
        <w:pStyle w:val="FirstParagraph"/>
      </w:pPr>
      <w:r>
        <w:t xml:space="preserve">A chlorine residual is maintained through a distribution network to provide continuing</w:t>
      </w:r>
      <w:r>
        <w:t xml:space="preserve"> </w:t>
      </w:r>
      <w:r>
        <w:t xml:space="preserve">disinfection after treatment, and its concentration at any location reflects reaction in the</w:t>
      </w:r>
      <w:r>
        <w:t xml:space="preserve"> </w:t>
      </w:r>
      <w:r>
        <w:t xml:space="preserve">bulk water, reaction at the pipe wall, and the transport and residence time that determine</w:t>
      </w:r>
      <w:r>
        <w:t xml:space="preserve"> </w:t>
      </w:r>
      <w:r>
        <w:t xml:space="preserve">exposure to both</w:t>
      </w:r>
      <w:r>
        <w:t xml:space="preserve"> </w:t>
      </w:r>
      <w:r>
        <w:t xml:space="preserve">(Rossman, Clark and Grayman, 1994; Vasconcelos</w:t>
      </w:r>
      <w:r>
        <w:t xml:space="preserve"> </w:t>
      </w:r>
      <w:r>
        <w:rPr>
          <w:i/>
          <w:iCs/>
        </w:rPr>
        <w:t xml:space="preserve">et al.</w:t>
      </w:r>
      <w:r>
        <w:t xml:space="preserve">, 1997)</w:t>
      </w:r>
      <w:r>
        <w:t xml:space="preserve">. In the first-order representation implemented</w:t>
      </w:r>
      <w:r>
        <w:t xml:space="preserve"> </w:t>
      </w:r>
      <w:r>
        <w:t xml:space="preserve">in EPANET, bulk decay is described by a coefficient</w:t>
      </w:r>
      <w:r>
        <w:t xml:space="preserve"> </w:t>
      </w:r>
      <m:oMath>
        <m:sSub>
          <m:e>
            <m:r>
              <m:t>k</m:t>
            </m:r>
          </m:e>
          <m:sub>
            <m:r>
              <m:t>b</m:t>
            </m:r>
          </m:sub>
        </m:sSub>
      </m:oMath>
      <w:r>
        <w:t xml:space="preserve"> </w:t>
      </w:r>
      <w:r>
        <w:t xml:space="preserve">in day</w:t>
      </w:r>
      <w:r>
        <w:rPr>
          <w:vertAlign w:val="superscript"/>
        </w:rPr>
        <w:t xml:space="preserve">-1</w:t>
      </w:r>
      <w:r>
        <w:t xml:space="preserve"> </w:t>
      </w:r>
      <w:r>
        <w:t xml:space="preserve">and wall decay by</w:t>
      </w:r>
      <w:r>
        <w:t xml:space="preserve"> </w:t>
      </w:r>
      <m:oMath>
        <m:sSub>
          <m:e>
            <m:r>
              <m:t>k</m:t>
            </m:r>
          </m:e>
          <m:sub>
            <m:r>
              <m:t>w</m:t>
            </m:r>
          </m:sub>
        </m:sSub>
      </m:oMath>
      <w:r>
        <w:t xml:space="preserve"> </w:t>
      </w:r>
      <w:r>
        <w:t xml:space="preserve">in</w:t>
      </w:r>
      <w:r>
        <w:t xml:space="preserve"> </w:t>
      </w:r>
      <w:r>
        <w:t xml:space="preserve">m day</w:t>
      </w:r>
      <w:r>
        <w:rPr>
          <w:vertAlign w:val="superscript"/>
        </w:rPr>
        <w:t xml:space="preserve">-1</w:t>
      </w:r>
      <w:r>
        <w:t xml:space="preserve">, the wall reaction coupled to mass transfer from the bulk so that diameter and flow</w:t>
      </w:r>
      <w:r>
        <w:t xml:space="preserve"> </w:t>
      </w:r>
      <w:r>
        <w:t xml:space="preserve">regime also affect its effective contribution</w:t>
      </w:r>
      <w:r>
        <w:t xml:space="preserve"> </w:t>
      </w:r>
      <w:r>
        <w:t xml:space="preserve">(Rossman, 2000)</w:t>
      </w:r>
      <w:r>
        <w:t xml:space="preserve">.</w:t>
      </w:r>
    </w:p>
    <w:p>
      <w:pPr>
        <w:pStyle w:val="BodyText"/>
      </w:pPr>
      <w:r>
        <w:t xml:space="preserve">The two components are not equally accessible to measurement. Bulk decay can be estimated</w:t>
      </w:r>
      <w:r>
        <w:t xml:space="preserve"> </w:t>
      </w:r>
      <w:r>
        <w:t xml:space="preserve">independently from controlled bottle tests, whereas wall decay is less directly observable —</w:t>
      </w:r>
      <w:r>
        <w:t xml:space="preserve"> </w:t>
      </w:r>
      <w:r>
        <w:t xml:space="preserve">depending on pipe-surface condition, corrosion products, deposits and biofilm — and generally</w:t>
      </w:r>
      <w:r>
        <w:t xml:space="preserve"> </w:t>
      </w:r>
      <w:r>
        <w:t xml:space="preserve">has to be inferred from pipe-loop or field concentration data after accounting for bulk decay</w:t>
      </w:r>
      <w:r>
        <w:t xml:space="preserve"> </w:t>
      </w:r>
      <w:r>
        <w:t xml:space="preserve">(Hallam</w:t>
      </w:r>
      <w:r>
        <w:t xml:space="preserve"> </w:t>
      </w:r>
      <w:r>
        <w:rPr>
          <w:i/>
          <w:iCs/>
        </w:rPr>
        <w:t xml:space="preserve">et al.</w:t>
      </w:r>
      <w:r>
        <w:t xml:space="preserve">, 2002;</w:t>
      </w:r>
      <w:r>
        <w:t xml:space="preserve"> </w:t>
      </w:r>
      <w:r>
        <w:rPr>
          <w:b/>
          <w:bCs/>
        </w:rPr>
        <w:t xml:space="preserve">Powell2000?</w:t>
      </w:r>
      <w:r>
        <w:t xml:space="preserve">)</w:t>
      </w:r>
      <w:r>
        <w:t xml:space="preserve">. Because networks contain far more pipes than monitors, wall</w:t>
      </w:r>
      <w:r>
        <w:t xml:space="preserve"> </w:t>
      </w:r>
      <w:r>
        <w:t xml:space="preserve">coefficients are commonly estimated for groups of pipes rather than individually, with grouping</w:t>
      </w:r>
      <w:r>
        <w:t xml:space="preserve"> </w:t>
      </w:r>
      <w:r>
        <w:t xml:space="preserve">based on whatever physical or spatial information is available</w:t>
      </w:r>
      <w:r>
        <w:t xml:space="preserve"> </w:t>
      </w:r>
      <w:r>
        <w:t xml:space="preserve">(Munavalli and Mohan Kumar, 2003; Nejjari</w:t>
      </w:r>
      <w:r>
        <w:t xml:space="preserve"> </w:t>
      </w:r>
      <w:r>
        <w:rPr>
          <w:i/>
          <w:iCs/>
        </w:rPr>
        <w:t xml:space="preserve">et al.</w:t>
      </w:r>
      <w:r>
        <w:t xml:space="preserve">, 2014)</w:t>
      </w:r>
      <w:r>
        <w:t xml:space="preserve">.</w:t>
      </w:r>
    </w:p>
    <w:p>
      <w:pPr>
        <w:pStyle w:val="BodyText"/>
      </w:pPr>
      <w:r>
        <w:t xml:space="preserve">Chlorine calibration is therefore an inverse problem rather than a curve-fitting exercise, and</w:t>
      </w:r>
      <w:r>
        <w:t xml:space="preserve"> </w:t>
      </w:r>
      <w:r>
        <w:t xml:space="preserve">the distinction matters because the coefficients are not the only quantity of interest.</w:t>
      </w:r>
      <w:r>
        <w:t xml:space="preserve"> </w:t>
      </w:r>
      <w:r>
        <w:t xml:space="preserve">Calibrated models are also used to predict concentrations at unmonitored locations, to identify</w:t>
      </w:r>
      <w:r>
        <w:t xml:space="preserve"> </w:t>
      </w:r>
      <w:r>
        <w:t xml:space="preserve">areas susceptible to low residuals, and to support monitoring or control decisions. A</w:t>
      </w:r>
      <w:r>
        <w:t xml:space="preserve"> </w:t>
      </w:r>
      <w:r>
        <w:t xml:space="preserve">calibration may therefore fail at several distinct levels — recovering its parameters poorly,</w:t>
      </w:r>
      <w:r>
        <w:t xml:space="preserve"> </w:t>
      </w:r>
      <w:r>
        <w:t xml:space="preserve">predicting poorly, or giving an unstable operational prioritisation — and these failures need</w:t>
      </w:r>
      <w:r>
        <w:t xml:space="preserve"> </w:t>
      </w:r>
      <w:r>
        <w:t xml:space="preserve">not occur together.</w:t>
      </w:r>
    </w:p>
    <w:bookmarkEnd w:id="10"/>
    <w:bookmarkStart w:id="11" w:name="X6caffb3c1927aa9f8c86386fba93fc75f07be34"/>
    <w:p>
      <w:pPr>
        <w:pStyle w:val="Heading2"/>
      </w:pPr>
      <w:r>
        <w:t xml:space="preserve">1.2 Uncertainty, identifiability and their propagation</w:t>
      </w:r>
    </w:p>
    <w:p>
      <w:pPr>
        <w:pStyle w:val="FirstParagraph"/>
      </w:pPr>
      <w:r>
        <w:t xml:space="preserve">Several uncertainty sources act on such a problem. Random measurement noise and temporal</w:t>
      </w:r>
      <w:r>
        <w:t xml:space="preserve"> </w:t>
      </w:r>
      <w:r>
        <w:t xml:space="preserve">dependence reduce the effective information in monitored series. Systematic sensor offsets or</w:t>
      </w:r>
      <w:r>
        <w:t xml:space="preserve"> </w:t>
      </w:r>
      <w:r>
        <w:t xml:space="preserve">drift can bias inferred parameters while remaining difficult to diagnose from fit quality.</w:t>
      </w:r>
      <w:r>
        <w:t xml:space="preserve"> </w:t>
      </w:r>
      <w:r>
        <w:t xml:space="preserve">Readings at a reporting boundary are censored rather than exact. Bulk decay is often estimated</w:t>
      </w:r>
      <w:r>
        <w:t xml:space="preserve"> </w:t>
      </w:r>
      <w:r>
        <w:t xml:space="preserve">separately and then held fixed during wall-decay calibration, so an error in it can be absorbed</w:t>
      </w:r>
      <w:r>
        <w:t xml:space="preserve"> </w:t>
      </w:r>
      <w:r>
        <w:t xml:space="preserve">by the wall coefficients. And any grouped representation is an approximation when reactivity</w:t>
      </w:r>
      <w:r>
        <w:t xml:space="preserve"> </w:t>
      </w:r>
      <w:r>
        <w:t xml:space="preserve">varies between individual pipes. A close fit to monitored concentrations therefore does not by</w:t>
      </w:r>
      <w:r>
        <w:t xml:space="preserve"> </w:t>
      </w:r>
      <w:r>
        <w:t xml:space="preserve">itself establish that the inferred coefficients represent the underlying reaction process.</w:t>
      </w:r>
    </w:p>
    <w:p>
      <w:pPr>
        <w:pStyle w:val="BodyText"/>
      </w:pPr>
      <w:r>
        <w:t xml:space="preserve">Identifiability analysis addresses how strongly the observations constrain those parameters.</w:t>
      </w:r>
      <w:r>
        <w:t xml:space="preserve"> </w:t>
      </w:r>
      <w:r>
        <w:t xml:space="preserve">Local sensitivity-based diagnostics examine whether nearby parameter changes produce</w:t>
      </w:r>
      <w:r>
        <w:t xml:space="preserve"> </w:t>
      </w:r>
      <w:r>
        <w:t xml:space="preserve">distinguishable changes in the monitored outputs, which Fisher information and the associated</w:t>
      </w:r>
      <w:r>
        <w:t xml:space="preserve"> </w:t>
      </w:r>
      <w:r>
        <w:t xml:space="preserve">Cramér–Rao bounds quantify under an assumed observation model</w:t>
      </w:r>
      <w:r>
        <w:t xml:space="preserve"> </w:t>
      </w:r>
      <w:r>
        <w:t xml:space="preserve">(</w:t>
      </w:r>
      <w:r>
        <w:rPr>
          <w:b/>
          <w:bCs/>
        </w:rPr>
        <w:t xml:space="preserve">Brun2001?</w:t>
      </w:r>
      <w:r>
        <w:t xml:space="preserve">)</w:t>
      </w:r>
      <w:r>
        <w:t xml:space="preserve">. Practical</w:t>
      </w:r>
      <w:r>
        <w:t xml:space="preserve"> </w:t>
      </w:r>
      <w:r>
        <w:t xml:space="preserve">identifiability additionally concerns whether the finite, noisy observations actually available</w:t>
      </w:r>
      <w:r>
        <w:t xml:space="preserve"> </w:t>
      </w:r>
      <w:r>
        <w:t xml:space="preserve">constrain the parameters sufficiently, for which profile likelihood gives a direct</w:t>
      </w:r>
      <w:r>
        <w:t xml:space="preserve"> </w:t>
      </w:r>
      <w:r>
        <w:t xml:space="preserve">likelihood-based diagnostic</w:t>
      </w:r>
      <w:r>
        <w:t xml:space="preserve"> </w:t>
      </w:r>
      <w:r>
        <w:t xml:space="preserve">(</w:t>
      </w:r>
      <w:r>
        <w:rPr>
          <w:b/>
          <w:bCs/>
        </w:rPr>
        <w:t xml:space="preserve">Raue2009?</w:t>
      </w:r>
      <w:r>
        <w:t xml:space="preserve">)</w:t>
      </w:r>
      <w:r>
        <w:t xml:space="preserve">; repeated-sampling experiments can then test whether the</w:t>
      </w:r>
      <w:r>
        <w:t xml:space="preserve"> </w:t>
      </w:r>
      <w:r>
        <w:t xml:space="preserve">resulting intervals show the bias and coverage the assumed model implies.</w:t>
      </w:r>
    </w:p>
    <w:p>
      <w:pPr>
        <w:pStyle w:val="BodyText"/>
      </w:pPr>
      <w:r>
        <w:t xml:space="preserve">No single diagnostic suffices, and the reasons differ. A posterior mean close to the truth may</w:t>
      </w:r>
      <w:r>
        <w:t xml:space="preserve"> </w:t>
      </w:r>
      <w:r>
        <w:t xml:space="preserve">simply reflect favourable prior placement. A narrow posterior may instead reflect a restrictive</w:t>
      </w:r>
      <w:r>
        <w:t xml:space="preserve"> </w:t>
      </w:r>
      <w:r>
        <w:t xml:space="preserve">prior or a misspecified likelihood, and so does not establish physical correctness. And good</w:t>
      </w:r>
      <w:r>
        <w:t xml:space="preserve"> </w:t>
      </w:r>
      <w:r>
        <w:t xml:space="preserve">prediction establishes neither, when the predicted concentration is only weakly sensitive to the</w:t>
      </w:r>
      <w:r>
        <w:t xml:space="preserve"> </w:t>
      </w:r>
      <w:r>
        <w:t xml:space="preserve">parameter concerned.</w:t>
      </w:r>
    </w:p>
    <w:p>
      <w:pPr>
        <w:pStyle w:val="BodyText"/>
      </w:pPr>
      <w:r>
        <w:t xml:space="preserve">Uncertainty surviving calibration must finally be propagated to whatever decision the model</w:t>
      </w:r>
      <w:r>
        <w:t xml:space="preserve"> </w:t>
      </w:r>
      <w:r>
        <w:t xml:space="preserve">supports, where stability is again not a single property: preservation of the whole-network</w:t>
      </w:r>
      <w:r>
        <w:t xml:space="preserve"> </w:t>
      </w:r>
      <w:r>
        <w:t xml:space="preserve">spatial ranking, of a small operational shortlist, and of the absolute severity assigned to</w:t>
      </w:r>
      <w:r>
        <w:t xml:space="preserve"> </w:t>
      </w:r>
      <w:r>
        <w:t xml:space="preserve">those locations are different questions, and stability at one scale does not imply stability at</w:t>
      </w:r>
      <w:r>
        <w:t xml:space="preserve"> </w:t>
      </w:r>
      <w:r>
        <w:t xml:space="preserve">another.</w:t>
      </w:r>
    </w:p>
    <w:bookmarkEnd w:id="11"/>
    <w:bookmarkStart w:id="12" w:name="methodological-gap"/>
    <w:p>
      <w:pPr>
        <w:pStyle w:val="Heading2"/>
      </w:pPr>
      <w:r>
        <w:t xml:space="preserve">1.3 Methodological gap</w:t>
      </w:r>
    </w:p>
    <w:p>
      <w:pPr>
        <w:pStyle w:val="FirstParagraph"/>
      </w:pPr>
      <w:r>
        <w:t xml:space="preserve">Three methodological questions motivate this study. First, conclusions about parameter</w:t>
      </w:r>
      <w:r>
        <w:t xml:space="preserve"> </w:t>
      </w:r>
      <w:r>
        <w:t xml:space="preserve">uncertainty can depend on the inference formulation itself. GLUE-type environmental analyses may</w:t>
      </w:r>
      <w:r>
        <w:t xml:space="preserve"> </w:t>
      </w:r>
      <w:r>
        <w:t xml:space="preserve">combine behavioural thresholds with informal likelihood measures whose statistical</w:t>
      </w:r>
      <w:r>
        <w:t xml:space="preserve"> </w:t>
      </w:r>
      <w:r>
        <w:t xml:space="preserve">interpretation depends on their relationship to the assumed error process</w:t>
      </w:r>
      <w:r>
        <w:t xml:space="preserve"> </w:t>
      </w:r>
      <w:r>
        <w:t xml:space="preserve">(Beven and Binley, 1992)</w:t>
      </w:r>
      <w:r>
        <w:t xml:space="preserve">, and</w:t>
      </w:r>
      <w:r>
        <w:t xml:space="preserve"> </w:t>
      </w:r>
      <w:r>
        <w:t xml:space="preserve">critiques have shown that a measure not representing the sampling distribution of model errors</w:t>
      </w:r>
      <w:r>
        <w:t xml:space="preserve"> </w:t>
      </w:r>
      <w:r>
        <w:t xml:space="preserve">need not deliver formally calibrated parameter or prediction uncertainty</w:t>
      </w:r>
      <w:r>
        <w:t xml:space="preserve"> </w:t>
      </w:r>
      <w:r>
        <w:t xml:space="preserve">(</w:t>
      </w:r>
      <w:r>
        <w:rPr>
          <w:b/>
          <w:bCs/>
        </w:rPr>
        <w:t xml:space="preserve">MantovanTodini2006?</w:t>
      </w:r>
      <w:r>
        <w:t xml:space="preserve">;</w:t>
      </w:r>
      <w:r>
        <w:t xml:space="preserve"> </w:t>
      </w:r>
      <w:r>
        <w:rPr>
          <w:b/>
          <w:bCs/>
        </w:rPr>
        <w:t xml:space="preserve">Stedinger2008?</w:t>
      </w:r>
      <w:r>
        <w:t xml:space="preserve">)</w:t>
      </w:r>
      <w:r>
        <w:t xml:space="preserve">. The controlled setting used here sidesteps that broader debate rather than</w:t>
      </w:r>
      <w:r>
        <w:t xml:space="preserve"> </w:t>
      </w:r>
      <w:r>
        <w:t xml:space="preserve">resolving it: because the synthetic observation model is known, the specific informal weighting</w:t>
      </w:r>
      <w:r>
        <w:t xml:space="preserve"> </w:t>
      </w:r>
      <w:r>
        <w:t xml:space="preserve">previously applied to this system can be compared directly with the corresponding formal</w:t>
      </w:r>
      <w:r>
        <w:t xml:space="preserve"> </w:t>
      </w:r>
      <w:r>
        <w:t xml:space="preserve">likelihood on identical observations and candidate draws, separating limitations of the data</w:t>
      </w:r>
      <w:r>
        <w:t xml:space="preserve"> </w:t>
      </w:r>
      <w:r>
        <w:t xml:space="preserve">from effects of the weighting rule.</w:t>
      </w:r>
    </w:p>
    <w:p>
      <w:pPr>
        <w:pStyle w:val="BodyText"/>
      </w:pPr>
      <w:r>
        <w:t xml:space="preserve">Second, an identifiability result obtained under a favourable baseline does not establish that</w:t>
      </w:r>
      <w:r>
        <w:t xml:space="preserve"> </w:t>
      </w:r>
      <w:r>
        <w:t xml:space="preserve">the same parameters remain recoverable once further uncertainty sources are admitted.</w:t>
      </w:r>
      <w:r>
        <w:t xml:space="preserve"> </w:t>
      </w:r>
      <w:r>
        <w:t xml:space="preserve">Measurement precision, temporal dependence, systematic sensor error, bulk-decay uncertainty and</w:t>
      </w:r>
      <w:r>
        <w:t xml:space="preserve"> </w:t>
      </w:r>
      <w:r>
        <w:t xml:space="preserve">within-group heterogeneity act on the inverse problem in different ways, so their effects need</w:t>
      </w:r>
      <w:r>
        <w:t xml:space="preserve"> </w:t>
      </w:r>
      <w:r>
        <w:t xml:space="preserve">to be distinguished — loss of precision from displacement of the estimate — and placed on a</w:t>
      </w:r>
      <w:r>
        <w:t xml:space="preserve"> </w:t>
      </w:r>
      <w:r>
        <w:t xml:space="preserve">common scale.</w:t>
      </w:r>
    </w:p>
    <w:p>
      <w:pPr>
        <w:pStyle w:val="BodyText"/>
      </w:pPr>
      <w:r>
        <w:t xml:space="preserve">Third, parameter identification, predictive adequacy and decision robustness answer different</w:t>
      </w:r>
      <w:r>
        <w:t xml:space="preserve"> </w:t>
      </w:r>
      <w:r>
        <w:t xml:space="preserve">questions. A held-out prediction error cannot by itself establish that the parameter governing a</w:t>
      </w:r>
      <w:r>
        <w:t xml:space="preserve"> </w:t>
      </w:r>
      <w:r>
        <w:t xml:space="preserve">physical process has been identified, and a high whole-network rank correlation cannot establish</w:t>
      </w:r>
      <w:r>
        <w:t xml:space="preserve"> </w:t>
      </w:r>
      <w:r>
        <w:t xml:space="preserve">that a small hot-spot set is unchanged. A controlled experiment with a known truth tests</w:t>
      </w:r>
      <w:r>
        <w:t xml:space="preserve"> </w:t>
      </w:r>
      <w:r>
        <w:t xml:space="preserve">directly when these diagnostics agree and when they diverge.</w:t>
      </w:r>
    </w:p>
    <w:bookmarkEnd w:id="12"/>
    <w:bookmarkStart w:id="13" w:name="aim-research-questions-and-scope"/>
    <w:p>
      <w:pPr>
        <w:pStyle w:val="Heading2"/>
      </w:pPr>
      <w:r>
        <w:t xml:space="preserve">1.4 Aim, research questions and scope</w:t>
      </w:r>
    </w:p>
    <w:p>
      <w:pPr>
        <w:pStyle w:val="FirstParagraph"/>
      </w:pPr>
      <w:r>
        <w:t xml:space="preserve">This study investigates how inference formulation and measurement, nuisance and structural-error</w:t>
      </w:r>
      <w:r>
        <w:t xml:space="preserve"> </w:t>
      </w:r>
      <w:r>
        <w:t xml:space="preserve">assumptions affect the practical identifiability of grouped chlorine wall-decay coefficients,</w:t>
      </w:r>
      <w:r>
        <w:t xml:space="preserve"> </w:t>
      </w:r>
      <w:r>
        <w:t xml:space="preserve">and whether the resulting parameter errors propagate to spatial prediction and to operational</w:t>
      </w:r>
      <w:r>
        <w:t xml:space="preserve"> </w:t>
      </w:r>
      <w:r>
        <w:t xml:space="preserve">low-chlorine risk prioritisation. A synthetic experiment on the EPANET Net3 network is used so</w:t>
      </w:r>
      <w:r>
        <w:t xml:space="preserve"> </w:t>
      </w:r>
      <w:r>
        <w:t xml:space="preserve">that the true coefficients are known, individual error sources can be introduced under</w:t>
      </w:r>
      <w:r>
        <w:t xml:space="preserve"> </w:t>
      </w:r>
      <w:r>
        <w:t xml:space="preserve">controlled conditions, and every diagnostic can be evaluated against a known reference.</w:t>
      </w:r>
    </w:p>
    <w:p>
      <w:pPr>
        <w:pStyle w:val="BodyText"/>
      </w:pPr>
      <w:r>
        <w:rPr>
          <w:b/>
          <w:bCs/>
        </w:rPr>
        <w:t xml:space="preserve">RQ1.</w:t>
      </w:r>
      <w:r>
        <w:t xml:space="preserve"> </w:t>
      </w:r>
      <w:r>
        <w:t xml:space="preserve">Under the controlled baseline assumptions, how much information do six monitored</w:t>
      </w:r>
      <w:r>
        <w:t xml:space="preserve"> </w:t>
      </w:r>
      <w:r>
        <w:t xml:space="preserve">chlorine series contain about three grouped wall-decay coefficients, and how strongly does the</w:t>
      </w:r>
      <w:r>
        <w:t xml:space="preserve"> </w:t>
      </w:r>
      <w:r>
        <w:t xml:space="preserve">answer depend on the inference formulation?</w:t>
      </w:r>
    </w:p>
    <w:p>
      <w:pPr>
        <w:pStyle w:val="BodyText"/>
      </w:pPr>
      <w:r>
        <w:rPr>
          <w:b/>
          <w:bCs/>
        </w:rPr>
        <w:t xml:space="preserve">RQ2.</w:t>
      </w:r>
      <w:r>
        <w:t xml:space="preserve"> </w:t>
      </w:r>
      <w:r>
        <w:t xml:space="preserve">How robust is baseline parameter identification to random measurement error, temporal</w:t>
      </w:r>
      <w:r>
        <w:t xml:space="preserve"> </w:t>
      </w:r>
      <w:r>
        <w:t xml:space="preserve">correlation, systematic sensor error, bulk-decay misspecification, zero-floor censoring and</w:t>
      </w:r>
      <w:r>
        <w:t xml:space="preserve"> </w:t>
      </w:r>
      <w:r>
        <w:t xml:space="preserve">within-zone structural heterogeneity?</w:t>
      </w:r>
    </w:p>
    <w:p>
      <w:pPr>
        <w:pStyle w:val="BodyText"/>
      </w:pPr>
      <w:r>
        <w:rPr>
          <w:b/>
          <w:bCs/>
        </w:rPr>
        <w:t xml:space="preserve">RQ3.</w:t>
      </w:r>
      <w:r>
        <w:t xml:space="preserve"> </w:t>
      </w:r>
      <w:r>
        <w:t xml:space="preserve">Do errors in the inferred parameters necessarily degrade spatial prediction or</w:t>
      </w:r>
      <w:r>
        <w:t xml:space="preserve"> </w:t>
      </w:r>
      <w:r>
        <w:t xml:space="preserve">operational prioritisation, and how does the answer depend on the risk metric used?</w:t>
      </w:r>
    </w:p>
    <w:p>
      <w:pPr>
        <w:pStyle w:val="BodyText"/>
      </w:pPr>
      <w:r>
        <w:t xml:space="preserve">The study makes four contributions: a controlled comparison of a formal censored Gaussian</w:t>
      </w:r>
      <w:r>
        <w:t xml:space="preserve"> </w:t>
      </w:r>
      <w:r>
        <w:t xml:space="preserve">likelihood against the specific informal weighting previously applied to this system, on</w:t>
      </w:r>
      <w:r>
        <w:t xml:space="preserve"> </w:t>
      </w:r>
      <w:r>
        <w:t xml:space="preserve">identical observations and candidate draws; an identifiability assessment triangulated across</w:t>
      </w:r>
      <w:r>
        <w:t xml:space="preserve"> </w:t>
      </w:r>
      <w:r>
        <w:t xml:space="preserve">posterior contraction, displaced priors, Fisher information, continuous profile likelihood and</w:t>
      </w:r>
      <w:r>
        <w:t xml:space="preserve"> </w:t>
      </w:r>
      <w:r>
        <w:t xml:space="preserve">repeated-noise calibration; a separation of precision loss from parameter displacement across</w:t>
      </w:r>
      <w:r>
        <w:t xml:space="preserve"> </w:t>
      </w:r>
      <w:r>
        <w:t xml:space="preserve">measurement, nuisance and structural perturbations on common reference scales; and an explicit</w:t>
      </w:r>
      <w:r>
        <w:t xml:space="preserve"> </w:t>
      </w:r>
      <w:r>
        <w:t xml:space="preserve">distinction between parameter identification, predictive adequacy and decision robustness.</w:t>
      </w:r>
    </w:p>
    <w:p>
      <w:pPr>
        <w:pStyle w:val="BodyText"/>
      </w:pPr>
      <w:r>
        <w:t xml:space="preserve">The scope is deliberately bounded. Network, zoning and truths are synthetic; the hydraulic model</w:t>
      </w:r>
      <w:r>
        <w:t xml:space="preserve"> </w:t>
      </w:r>
      <w:r>
        <w:t xml:space="preserve">is treated as known rather than calibrated; chemistry is first-order in both bulk and wall</w:t>
      </w:r>
      <w:r>
        <w:t xml:space="preserve"> </w:t>
      </w:r>
      <w:r>
        <w:t xml:space="preserve">reactions; six monitors are used; and no field observations enter the analysis. The temperature,</w:t>
      </w:r>
      <w:r>
        <w:t xml:space="preserve"> </w:t>
      </w:r>
      <w:r>
        <w:t xml:space="preserve">ageing and dosing analyses are calibration-conditioned stress tests under stated assumptions,</w:t>
      </w:r>
      <w:r>
        <w:t xml:space="preserve"> </w:t>
      </w:r>
      <w:r>
        <w:t xml:space="preserve">not forecasts of field behaviour.</w:t>
      </w:r>
    </w:p>
    <w:bookmarkEnd w:id="13"/>
    <w:bookmarkEnd w:id="14"/>
    <w:bookmarkStart w:id="51" w:name="method-and-approach"/>
    <w:p>
      <w:pPr>
        <w:pStyle w:val="Heading1"/>
      </w:pPr>
      <w:r>
        <w:t xml:space="preserve">2. Method and approach</w:t>
      </w:r>
    </w:p>
    <w:bookmarkStart w:id="18" w:name="X98add4f3a77e532fe8a1f15af661444d5f35e88"/>
    <w:p>
      <w:pPr>
        <w:pStyle w:val="Heading2"/>
      </w:pPr>
      <w:r>
        <w:t xml:space="preserve">2.1 Study framework and controlled Net3 system</w:t>
      </w:r>
    </w:p>
    <w:bookmarkStart w:id="15" w:name="network-and-hydraulic-model"/>
    <w:p>
      <w:pPr>
        <w:pStyle w:val="Heading3"/>
      </w:pPr>
      <w:r>
        <w:t xml:space="preserve">2.1.1 Network and hydraulic model</w:t>
      </w:r>
    </w:p>
    <w:p>
      <w:pPr>
        <w:pStyle w:val="FirstParagraph"/>
      </w:pPr>
      <w:r>
        <w:t xml:space="preserve">All experiments used the EPANET Net3 example network</w:t>
      </w:r>
      <w:r>
        <w:t xml:space="preserve"> </w:t>
      </w:r>
      <w:r>
        <w:t xml:space="preserve">(Rossman</w:t>
      </w:r>
      <w:r>
        <w:t xml:space="preserve"> </w:t>
      </w:r>
      <w:r>
        <w:rPr>
          <w:i/>
          <w:iCs/>
        </w:rPr>
        <w:t xml:space="preserve">et al.</w:t>
      </w:r>
      <w:r>
        <w:t xml:space="preserve">, 2020)</w:t>
      </w:r>
      <w:r>
        <w:t xml:space="preserve"> </w:t>
      </w:r>
      <w:r>
        <w:t xml:space="preserve">through WNTR</w:t>
      </w:r>
      <w:r>
        <w:t xml:space="preserve"> </w:t>
      </w:r>
      <w:r>
        <w:t xml:space="preserve">(Klise</w:t>
      </w:r>
      <w:r>
        <w:t xml:space="preserve"> </w:t>
      </w:r>
      <w:r>
        <w:rPr>
          <w:i/>
          <w:iCs/>
        </w:rPr>
        <w:t xml:space="preserve">et al.</w:t>
      </w:r>
      <w:r>
        <w:t xml:space="preserve">, 2017)</w:t>
      </w:r>
      <w:r>
        <w:t xml:space="preserve">, comprising 92 junctions, 117</w:t>
      </w:r>
      <w:r>
        <w:t xml:space="preserve"> </w:t>
      </w:r>
      <w:r>
        <w:t xml:space="preserve">pipes, three tanks, two reservoirs and two pumps. Hydraulic and reporting timesteps were 1 h and</w:t>
      </w:r>
      <w:r>
        <w:t xml:space="preserve"> </w:t>
      </w:r>
      <w:r>
        <w:t xml:space="preserve">the water-quality timestep was 5 min. The hydraulic model was treated as known rather than</w:t>
      </w:r>
      <w:r>
        <w:t xml:space="preserve"> </w:t>
      </w:r>
      <w:r>
        <w:t xml:space="preserve">calibrated: demands, pipe roughness, tank characteristics and pump controls were held at the</w:t>
      </w:r>
      <w:r>
        <w:t xml:space="preserve"> </w:t>
      </w:r>
      <w:r>
        <w:t xml:space="preserve">values encoded in the frozen Net3 input file throughout, so the experiments below vary</w:t>
      </w:r>
      <w:r>
        <w:t xml:space="preserve"> </w:t>
      </w:r>
      <w:r>
        <w:t xml:space="preserve">water-quality parameters or the observation process while retaining the same hydraulic</w:t>
      </w:r>
      <w:r>
        <w:t xml:space="preserve"> </w:t>
      </w:r>
      <w:r>
        <w:t xml:space="preserve">representation.</w:t>
      </w:r>
    </w:p>
    <w:bookmarkEnd w:id="15"/>
    <w:bookmarkStart w:id="16" w:name="Xfc93dcaedf165e5436355787b793d0f1148b000"/>
    <w:p>
      <w:pPr>
        <w:pStyle w:val="Heading3"/>
      </w:pPr>
      <w:r>
        <w:t xml:space="preserve">2.1.2 Synthetic three-zone wall-decay representation</w:t>
      </w:r>
    </w:p>
    <w:p>
      <w:pPr>
        <w:pStyle w:val="FirstParagraph"/>
      </w:pPr>
      <w:r>
        <w:t xml:space="preserve">The pipes were divided into three synthetic spatial reaction zones by a deterministic rule on</w:t>
      </w:r>
      <w:r>
        <w:t xml:space="preserve"> </w:t>
      </w:r>
      <w:r>
        <w:t xml:space="preserve">node coordinates. Nodes with</w:t>
      </w:r>
      <w:r>
        <w:t xml:space="preserve"> </w:t>
      </w:r>
      <m:oMath>
        <m:r>
          <m:t>y</m:t>
        </m:r>
        <m:r>
          <m:rPr>
            <m:sty m:val="p"/>
          </m:rPr>
          <m:t>≤</m:t>
        </m:r>
        <m:r>
          <m:t>10</m:t>
        </m:r>
      </m:oMath>
      <w:r>
        <w:t xml:space="preserve"> </w:t>
      </w:r>
      <w:r>
        <w:t xml:space="preserve">were assigned to the average zone; among the remainder,</w:t>
      </w:r>
      <w:r>
        <w:t xml:space="preserve"> </w:t>
      </w:r>
      <w:r>
        <w:t xml:space="preserve">those with</w:t>
      </w:r>
      <w:r>
        <w:t xml:space="preserve"> </w:t>
      </w:r>
      <m:oMath>
        <m:r>
          <m:t>x</m:t>
        </m:r>
        <m:r>
          <m:rPr>
            <m:sty m:val="p"/>
          </m:rPr>
          <m:t>≤</m:t>
        </m:r>
        <m:r>
          <m:t>26</m:t>
        </m:r>
      </m:oMath>
      <w:r>
        <w:t xml:space="preserve"> </w:t>
      </w:r>
      <w:r>
        <w:t xml:space="preserve">were assigned to the new zone and those with</w:t>
      </w:r>
      <w:r>
        <w:t xml:space="preserve"> </w:t>
      </w:r>
      <m:oMath>
        <m:r>
          <m:t>x</m:t>
        </m:r>
        <m:r>
          <m:rPr>
            <m:sty m:val="p"/>
          </m:rPr>
          <m:t>&gt;</m:t>
        </m:r>
        <m:r>
          <m:t>26</m:t>
        </m:r>
      </m:oMath>
      <w:r>
        <w:t xml:space="preserve"> </w:t>
      </w:r>
      <w:r>
        <w:t xml:space="preserve">to the old zone. A</w:t>
      </w:r>
      <w:r>
        <w:t xml:space="preserve"> </w:t>
      </w:r>
      <w:r>
        <w:t xml:space="preserve">pipe whose end nodes fell in different zones was assigned to the weaker-reactivity side, under</w:t>
      </w:r>
      <w:r>
        <w:t xml:space="preserve"> </w:t>
      </w:r>
      <w:r>
        <w:t xml:space="preserve">the fixed ordering new, average, old. This produced 14 old-zone, 37 average-zone and 66 new-zone</w:t>
      </w:r>
      <w:r>
        <w:t xml:space="preserve"> </w:t>
      </w:r>
      <w:r>
        <w:t xml:space="preserve">pipes.</w:t>
      </w:r>
    </w:p>
    <w:p>
      <w:pPr>
        <w:pStyle w:val="BodyText"/>
      </w:pPr>
      <w:r>
        <w:t xml:space="preserve">These labels denote synthetic reaction groups only. Net3 carries no pipe material or age</w:t>
      </w:r>
      <w:r>
        <w:t xml:space="preserve"> </w:t>
      </w:r>
      <w:r>
        <w:t xml:space="preserve">information used by this study, so</w:t>
      </w:r>
      <w:r>
        <w:t xml:space="preserve"> </w:t>
      </w:r>
      <w:r>
        <w:t xml:space="preserve">“old”</w:t>
      </w:r>
      <w:r>
        <w:t xml:space="preserve">,</w:t>
      </w:r>
      <w:r>
        <w:t xml:space="preserve"> </w:t>
      </w:r>
      <w:r>
        <w:t xml:space="preserve">“average”</w:t>
      </w:r>
      <w:r>
        <w:t xml:space="preserve"> </w:t>
      </w:r>
      <w:r>
        <w:t xml:space="preserve">and</w:t>
      </w:r>
      <w:r>
        <w:t xml:space="preserve"> </w:t>
      </w:r>
      <w:r>
        <w:t xml:space="preserve">“new”</w:t>
      </w:r>
      <w:r>
        <w:t xml:space="preserve"> </w:t>
      </w:r>
      <w:r>
        <w:t xml:space="preserve">should not be read as observed</w:t>
      </w:r>
      <w:r>
        <w:t xml:space="preserve"> </w:t>
      </w:r>
      <w:r>
        <w:t xml:space="preserve">asset-condition classes.</w:t>
      </w:r>
    </w:p>
    <w:p>
      <w:pPr>
        <w:pStyle w:val="BodyText"/>
      </w:pPr>
      <w:r>
        <w:t xml:space="preserve">Both bulk and wall reactions were represented as first-order processes. The synthetic truth</w:t>
      </w:r>
      <w:r>
        <w:t xml:space="preserve"> </w:t>
      </w:r>
      <w:r>
        <w:t xml:space="preserve">assigned uniform wall-decay coefficients of −1.0, −0.1 and −0.05 m day</w:t>
      </w:r>
      <w:r>
        <w:rPr>
          <w:vertAlign w:val="superscript"/>
        </w:rPr>
        <w:t xml:space="preserve">-1</w:t>
      </w:r>
      <w:r>
        <w:t xml:space="preserve"> </w:t>
      </w:r>
      <w:r>
        <w:t xml:space="preserve">to the old, average</w:t>
      </w:r>
      <w:r>
        <w:t xml:space="preserve"> </w:t>
      </w:r>
      <w:r>
        <w:t xml:space="preserve">and new zones. The baseline bulk-decay coefficient was fixed at −0.5 day</w:t>
      </w:r>
      <w:r>
        <w:rPr>
          <w:vertAlign w:val="superscript"/>
        </w:rPr>
        <w:t xml:space="preserve">-1</w:t>
      </w:r>
      <w:r>
        <w:t xml:space="preserve">, except in the</w:t>
      </w:r>
      <w:r>
        <w:t xml:space="preserve"> </w:t>
      </w:r>
      <w:r>
        <w:t xml:space="preserve">robustness analyses of Section 2.5.5. Source chlorine was 1.0 mg L</w:t>
      </w:r>
      <w:r>
        <w:rPr>
          <w:vertAlign w:val="superscript"/>
        </w:rPr>
        <w:t xml:space="preserve">-1</w:t>
      </w:r>
      <w:r>
        <w:t xml:space="preserve"> </w:t>
      </w:r>
      <w:r>
        <w:t xml:space="preserve">and the tanks were</w:t>
      </w:r>
      <w:r>
        <w:t xml:space="preserve"> </w:t>
      </w:r>
      <w:r>
        <w:t xml:space="preserve">initialised at 0.5 mg L</w:t>
      </w:r>
      <w:r>
        <w:rPr>
          <w:vertAlign w:val="superscript"/>
        </w:rPr>
        <w:t xml:space="preserve">-1</w:t>
      </w:r>
      <w:r>
        <w:t xml:space="preserve">.</w:t>
      </w:r>
    </w:p>
    <w:bookmarkEnd w:id="16"/>
    <w:bookmarkStart w:id="17" w:name="monitoring-configuration-and-priors"/>
    <w:p>
      <w:pPr>
        <w:pStyle w:val="Heading3"/>
      </w:pPr>
      <w:r>
        <w:t xml:space="preserve">2.1.3 Monitoring configuration and priors</w:t>
      </w:r>
    </w:p>
    <w:p>
      <w:pPr>
        <w:pStyle w:val="FirstParagraph"/>
      </w:pPr>
      <w:r>
        <w:t xml:space="preserve">Six junctions were used as calibration monitors, two in each synthetic zone: nodes 107 and 113</w:t>
      </w:r>
      <w:r>
        <w:t xml:space="preserve"> </w:t>
      </w:r>
      <w:r>
        <w:t xml:space="preserve">in the new zone, 15 and 145 in the old, and 209 and 231 in the average. This configuration also</w:t>
      </w:r>
      <w:r>
        <w:t xml:space="preserve"> </w:t>
      </w:r>
      <w:r>
        <w:t xml:space="preserve">permits two distinct held-out designs to be separated: leave-one-monitor-out retains one local</w:t>
      </w:r>
      <w:r>
        <w:t xml:space="preserve"> </w:t>
      </w:r>
      <w:r>
        <w:t xml:space="preserve">monitor in the withheld monitor’s zone, whereas leave-one-zone-out removes both.</w:t>
      </w:r>
    </w:p>
    <w:p>
      <w:pPr>
        <w:pStyle w:val="BodyText"/>
      </w:pPr>
      <w:r>
        <w:t xml:space="preserve">The 48 h assessment window defined in Section 2.2.2 contains 49 hourly reporting points per</w:t>
      </w:r>
      <w:r>
        <w:t xml:space="preserve"> </w:t>
      </w:r>
      <w:r>
        <w:t xml:space="preserve">monitor, giving</w:t>
      </w:r>
      <w:r>
        <w:t xml:space="preserve"> </w:t>
      </w:r>
      <m:oMath>
        <m:r>
          <m:t>6</m:t>
        </m:r>
        <m:r>
          <m:rPr>
            <m:sty m:val="p"/>
          </m:rPr>
          <m:t>×</m:t>
        </m:r>
        <m:r>
          <m:t>49</m:t>
        </m:r>
        <m:r>
          <m:rPr>
            <m:sty m:val="p"/>
          </m:rPr>
          <m:t>=</m:t>
        </m:r>
        <m:r>
          <m:t>294</m:t>
        </m:r>
      </m:oMath>
      <w:r>
        <w:t xml:space="preserve"> </w:t>
      </w:r>
      <w:r>
        <w:t xml:space="preserve">observations in the baseline calibration. Independent</w:t>
      </w:r>
      <w:r>
        <w:t xml:space="preserve"> </w:t>
      </w:r>
      <w:r>
        <w:t xml:space="preserve">uniform priors were specified as [−1.5, −0.2], [−0.2, −0.04] and [−0.10, −0.005] m day</w:t>
      </w:r>
      <w:r>
        <w:rPr>
          <w:vertAlign w:val="superscript"/>
        </w:rPr>
        <w:t xml:space="preserve">-1</w:t>
      </w:r>
      <w:r>
        <w:t xml:space="preserve"> </w:t>
      </w:r>
      <w:r>
        <w:t xml:space="preserve">for</w:t>
      </w:r>
      <w:r>
        <w:t xml:space="preserve"> </w:t>
      </w:r>
      <w:r>
        <w:t xml:space="preserve">the old, average and new coefficients. All three contain their synthetic truths but are not</w:t>
      </w:r>
      <w:r>
        <w:t xml:space="preserve"> </w:t>
      </w:r>
      <w:r>
        <w:t xml:space="preserve">centred on them, which matters for interpreting any posterior that reverts towards its prior.</w:t>
      </w:r>
      <w:r>
        <w:t xml:space="preserve"> </w:t>
      </w:r>
      <w:r>
        <w:t xml:space="preserve">Table 1 summarises the baseline design.</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Quantity</w:t>
            </w:r>
          </w:p>
        </w:tc>
        <w:tc>
          <w:tcPr/>
          <w:p>
            <w:pPr>
              <w:pStyle w:val="Compact"/>
              <w:jc w:val="right"/>
            </w:pPr>
            <w:r>
              <w:t xml:space="preserve">Old zone</w:t>
            </w:r>
          </w:p>
        </w:tc>
        <w:tc>
          <w:tcPr/>
          <w:p>
            <w:pPr>
              <w:pStyle w:val="Compact"/>
              <w:jc w:val="right"/>
            </w:pPr>
            <w:r>
              <w:t xml:space="preserve">Average zone</w:t>
            </w:r>
          </w:p>
        </w:tc>
        <w:tc>
          <w:tcPr/>
          <w:p>
            <w:pPr>
              <w:pStyle w:val="Compact"/>
              <w:jc w:val="right"/>
            </w:pPr>
            <w:r>
              <w:t xml:space="preserve">New zone</w:t>
            </w:r>
          </w:p>
        </w:tc>
        <w:tc>
          <w:tcPr/>
          <w:p>
            <w:pPr>
              <w:pStyle w:val="Compact"/>
            </w:pPr>
            <w:r>
              <w:t xml:space="preserve">Unit</w:t>
            </w:r>
          </w:p>
        </w:tc>
      </w:tr>
      <w:tr>
        <w:tc>
          <w:tcPr/>
          <w:p>
            <w:pPr>
              <w:pStyle w:val="Compact"/>
            </w:pPr>
            <w:r>
              <w:t xml:space="preserve">Pipes</w:t>
            </w:r>
          </w:p>
        </w:tc>
        <w:tc>
          <w:tcPr/>
          <w:p>
            <w:pPr>
              <w:pStyle w:val="Compact"/>
              <w:jc w:val="right"/>
            </w:pPr>
            <w:r>
              <w:t xml:space="preserve">14</w:t>
            </w:r>
          </w:p>
        </w:tc>
        <w:tc>
          <w:tcPr/>
          <w:p>
            <w:pPr>
              <w:pStyle w:val="Compact"/>
              <w:jc w:val="right"/>
            </w:pPr>
            <w:r>
              <w:t xml:space="preserve">37</w:t>
            </w:r>
          </w:p>
        </w:tc>
        <w:tc>
          <w:tcPr/>
          <w:p>
            <w:pPr>
              <w:pStyle w:val="Compact"/>
              <w:jc w:val="right"/>
            </w:pPr>
            <w:r>
              <w:t xml:space="preserve">66</w:t>
            </w:r>
          </w:p>
        </w:tc>
        <w:tc>
          <w:tcPr/>
          <w:p>
            <w:pPr>
              <w:pStyle w:val="Compact"/>
            </w:pPr>
            <w:r>
              <w:t xml:space="preserve">—</w:t>
            </w:r>
          </w:p>
        </w:tc>
      </w:tr>
      <w:tr>
        <w:tc>
          <w:tcPr/>
          <w:p>
            <w:pPr>
              <w:pStyle w:val="Compact"/>
            </w:pPr>
            <w:r>
              <w:t xml:space="preserve">True wall decay</w:t>
            </w:r>
          </w:p>
        </w:tc>
        <w:tc>
          <w:tcPr/>
          <w:p>
            <w:pPr>
              <w:pStyle w:val="Compact"/>
              <w:jc w:val="right"/>
            </w:pPr>
            <w:r>
              <w:t xml:space="preserve">-1.000</w:t>
            </w:r>
          </w:p>
        </w:tc>
        <w:tc>
          <w:tcPr/>
          <w:p>
            <w:pPr>
              <w:pStyle w:val="Compact"/>
              <w:jc w:val="right"/>
            </w:pPr>
            <w:r>
              <w:t xml:space="preserve">-0.100</w:t>
            </w:r>
          </w:p>
        </w:tc>
        <w:tc>
          <w:tcPr/>
          <w:p>
            <w:pPr>
              <w:pStyle w:val="Compact"/>
              <w:jc w:val="right"/>
            </w:pPr>
            <w:r>
              <w:t xml:space="preserve">-0.050</w:t>
            </w:r>
          </w:p>
        </w:tc>
        <w:tc>
          <w:tcPr/>
          <w:p>
            <w:pPr>
              <w:pStyle w:val="Compact"/>
            </w:pPr>
            <w:r>
              <w:t xml:space="preserve">m/day</w:t>
            </w:r>
          </w:p>
        </w:tc>
      </w:tr>
      <w:tr>
        <w:tc>
          <w:tcPr/>
          <w:p>
            <w:pPr>
              <w:pStyle w:val="Compact"/>
            </w:pPr>
            <w:r>
              <w:t xml:space="preserve">Prior range</w:t>
            </w:r>
          </w:p>
        </w:tc>
        <w:tc>
          <w:tcPr/>
          <w:p>
            <w:pPr>
              <w:pStyle w:val="Compact"/>
              <w:jc w:val="right"/>
            </w:pPr>
            <w:r>
              <w:t xml:space="preserve">[-1.500, -0.200]</w:t>
            </w:r>
          </w:p>
        </w:tc>
        <w:tc>
          <w:tcPr/>
          <w:p>
            <w:pPr>
              <w:pStyle w:val="Compact"/>
              <w:jc w:val="right"/>
            </w:pPr>
            <w:r>
              <w:t xml:space="preserve">[-0.200, -0.040]</w:t>
            </w:r>
          </w:p>
        </w:tc>
        <w:tc>
          <w:tcPr/>
          <w:p>
            <w:pPr>
              <w:pStyle w:val="Compact"/>
              <w:jc w:val="right"/>
            </w:pPr>
            <w:r>
              <w:t xml:space="preserve">[-0.100, -0.005]</w:t>
            </w:r>
          </w:p>
        </w:tc>
        <w:tc>
          <w:tcPr/>
          <w:p>
            <w:pPr>
              <w:pStyle w:val="Compact"/>
            </w:pPr>
            <w:r>
              <w:t xml:space="preserve">m/day</w:t>
            </w:r>
          </w:p>
        </w:tc>
      </w:tr>
      <w:tr>
        <w:tc>
          <w:tcPr/>
          <w:p>
            <w:pPr>
              <w:pStyle w:val="Compact"/>
            </w:pPr>
            <w:r>
              <w:t xml:space="preserve">Prior SD</w:t>
            </w:r>
          </w:p>
        </w:tc>
        <w:tc>
          <w:tcPr/>
          <w:p>
            <w:pPr>
              <w:pStyle w:val="Compact"/>
              <w:jc w:val="right"/>
            </w:pPr>
            <w:r>
              <w:t xml:space="preserve">0.3753</w:t>
            </w:r>
          </w:p>
        </w:tc>
        <w:tc>
          <w:tcPr/>
          <w:p>
            <w:pPr>
              <w:pStyle w:val="Compact"/>
              <w:jc w:val="right"/>
            </w:pPr>
            <w:r>
              <w:t xml:space="preserve">0.0462</w:t>
            </w:r>
          </w:p>
        </w:tc>
        <w:tc>
          <w:tcPr/>
          <w:p>
            <w:pPr>
              <w:pStyle w:val="Compact"/>
              <w:jc w:val="right"/>
            </w:pPr>
            <w:r>
              <w:t xml:space="preserve">0.0274</w:t>
            </w:r>
          </w:p>
        </w:tc>
        <w:tc>
          <w:tcPr/>
          <w:p>
            <w:pPr>
              <w:pStyle w:val="Compact"/>
            </w:pPr>
            <w:r>
              <w:t xml:space="preserve">m/day</w:t>
            </w:r>
          </w:p>
        </w:tc>
      </w:tr>
      <w:tr>
        <w:tc>
          <w:tcPr/>
          <w:p>
            <w:pPr>
              <w:pStyle w:val="Compact"/>
            </w:pPr>
            <w:r>
              <w:t xml:space="preserve">Monitors</w:t>
            </w:r>
          </w:p>
        </w:tc>
        <w:tc>
          <w:tcPr/>
          <w:p>
            <w:pPr>
              <w:pStyle w:val="Compact"/>
              <w:jc w:val="right"/>
            </w:pPr>
            <w:r>
              <w:t xml:space="preserve">15, 145</w:t>
            </w:r>
          </w:p>
        </w:tc>
        <w:tc>
          <w:tcPr/>
          <w:p>
            <w:pPr>
              <w:pStyle w:val="Compact"/>
              <w:jc w:val="right"/>
            </w:pPr>
            <w:r>
              <w:t xml:space="preserve">209, 231</w:t>
            </w:r>
          </w:p>
        </w:tc>
        <w:tc>
          <w:tcPr/>
          <w:p>
            <w:pPr>
              <w:pStyle w:val="Compact"/>
              <w:jc w:val="right"/>
            </w:pPr>
            <w:r>
              <w:t xml:space="preserve">107, 113</w:t>
            </w:r>
          </w:p>
        </w:tc>
        <w:tc>
          <w:tcPr/>
          <w:p>
            <w:pPr>
              <w:pStyle w:val="Compact"/>
            </w:pPr>
            <w:r>
              <w:t xml:space="preserve">junction ID</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Shared setting</w:t>
            </w:r>
          </w:p>
        </w:tc>
        <w:tc>
          <w:tcPr/>
          <w:p>
            <w:pPr>
              <w:pStyle w:val="Compact"/>
            </w:pPr>
            <w:r>
              <w:t xml:space="preserve">Value</w:t>
            </w:r>
          </w:p>
        </w:tc>
      </w:tr>
      <w:tr>
        <w:tc>
          <w:tcPr/>
          <w:p>
            <w:pPr>
              <w:pStyle w:val="Compact"/>
            </w:pPr>
            <w:r>
              <w:t xml:space="preserve">Bulk decay (first order, fixed)</w:t>
            </w:r>
          </w:p>
        </w:tc>
        <w:tc>
          <w:tcPr/>
          <w:p>
            <w:pPr>
              <w:pStyle w:val="Compact"/>
            </w:pPr>
            <w:r>
              <w:t xml:space="preserve">-0.5 1/day</w:t>
            </w:r>
          </w:p>
        </w:tc>
      </w:tr>
      <w:tr>
        <w:tc>
          <w:tcPr/>
          <w:p>
            <w:pPr>
              <w:pStyle w:val="Compact"/>
            </w:pPr>
            <w:r>
              <w:t xml:space="preserve">Source chlorine</w:t>
            </w:r>
          </w:p>
        </w:tc>
        <w:tc>
          <w:tcPr/>
          <w:p>
            <w:pPr>
              <w:pStyle w:val="Compact"/>
            </w:pPr>
            <w:r>
              <w:t xml:space="preserve">1.0 mg/L</w:t>
            </w:r>
          </w:p>
        </w:tc>
      </w:tr>
      <w:tr>
        <w:tc>
          <w:tcPr/>
          <w:p>
            <w:pPr>
              <w:pStyle w:val="Compact"/>
            </w:pPr>
            <w:r>
              <w:t xml:space="preserve">Tank initial chlorine</w:t>
            </w:r>
          </w:p>
        </w:tc>
        <w:tc>
          <w:tcPr/>
          <w:p>
            <w:pPr>
              <w:pStyle w:val="Compact"/>
            </w:pPr>
            <w:r>
              <w:t xml:space="preserve">0.5 mg/L</w:t>
            </w:r>
          </w:p>
        </w:tc>
      </w:tr>
      <w:tr>
        <w:tc>
          <w:tcPr/>
          <w:p>
            <w:pPr>
              <w:pStyle w:val="Compact"/>
            </w:pPr>
            <w:r>
              <w:t xml:space="preserve">Hydraulic and reporting timestep</w:t>
            </w:r>
          </w:p>
        </w:tc>
        <w:tc>
          <w:tcPr/>
          <w:p>
            <w:pPr>
              <w:pStyle w:val="Compact"/>
            </w:pPr>
            <w:r>
              <w:t xml:space="preserve">1 h</w:t>
            </w:r>
          </w:p>
        </w:tc>
      </w:tr>
      <w:tr>
        <w:tc>
          <w:tcPr/>
          <w:p>
            <w:pPr>
              <w:pStyle w:val="Compact"/>
            </w:pPr>
            <w:r>
              <w:t xml:space="preserve">Water-quality timestep</w:t>
            </w:r>
          </w:p>
        </w:tc>
        <w:tc>
          <w:tcPr/>
          <w:p>
            <w:pPr>
              <w:pStyle w:val="Compact"/>
            </w:pPr>
            <w:r>
              <w:t xml:space="preserve">5 min</w:t>
            </w:r>
          </w:p>
        </w:tc>
      </w:tr>
      <w:tr>
        <w:tc>
          <w:tcPr/>
          <w:p>
            <w:pPr>
              <w:pStyle w:val="Compact"/>
            </w:pPr>
            <w:r>
              <w:t xml:space="preserve">Total duration / warm-up / assessment window</w:t>
            </w:r>
          </w:p>
        </w:tc>
        <w:tc>
          <w:tcPr/>
          <w:p>
            <w:pPr>
              <w:pStyle w:val="Compact"/>
            </w:pPr>
            <w:r>
              <w:t xml:space="preserve">168 / 120 / 48 h</w:t>
            </w:r>
          </w:p>
        </w:tc>
      </w:tr>
      <w:tr>
        <w:tc>
          <w:tcPr/>
          <w:p>
            <w:pPr>
              <w:pStyle w:val="Compact"/>
            </w:pPr>
            <w:r>
              <w:t xml:space="preserve">Observation error SD</w:t>
            </w:r>
          </w:p>
        </w:tc>
        <w:tc>
          <w:tcPr/>
          <w:p>
            <w:pPr>
              <w:pStyle w:val="Compact"/>
            </w:pPr>
            <w:r>
              <w:t xml:space="preserve">0.10 mg/L</w:t>
            </w:r>
          </w:p>
        </w:tc>
      </w:tr>
      <w:tr>
        <w:tc>
          <w:tcPr/>
          <w:p>
            <w:pPr>
              <w:pStyle w:val="Compact"/>
            </w:pPr>
            <w:r>
              <w:t xml:space="preserve">Operational threshold</w:t>
            </w:r>
          </w:p>
        </w:tc>
        <w:tc>
          <w:tcPr/>
          <w:p>
            <w:pPr>
              <w:pStyle w:val="Compact"/>
            </w:pPr>
            <w:r>
              <w:t xml:space="preserve">0.20 mg/L</w:t>
            </w:r>
          </w:p>
        </w:tc>
      </w:tr>
      <w:tr>
        <w:tc>
          <w:tcPr/>
          <w:p>
            <w:pPr>
              <w:pStyle w:val="Compact"/>
            </w:pPr>
            <w:r>
              <w:t xml:space="preserve">Candidate library</w:t>
            </w:r>
          </w:p>
        </w:tc>
        <w:tc>
          <w:tcPr/>
          <w:p>
            <w:pPr>
              <w:pStyle w:val="Compact"/>
            </w:pPr>
            <w:r>
              <w:t xml:space="preserve">8192 scrambled Sobol draws</w:t>
            </w:r>
          </w:p>
        </w:tc>
      </w:tr>
      <w:tr>
        <w:tc>
          <w:tcPr/>
          <w:p>
            <w:pPr>
              <w:pStyle w:val="Compact"/>
            </w:pPr>
            <w:r>
              <w:t xml:space="preserve">Observations</w:t>
            </w:r>
          </w:p>
        </w:tc>
        <w:tc>
          <w:tcPr/>
          <w:p>
            <w:pPr>
              <w:pStyle w:val="Compact"/>
            </w:pPr>
            <w:r>
              <w:t xml:space="preserve">294 (6 monitors x 49 hourly values)</w:t>
            </w:r>
          </w:p>
        </w:tc>
      </w:tr>
    </w:tbl>
    <w:p>
      <w:pPr>
        <w:pStyle w:val="BodyText"/>
      </w:pPr>
      <w:r>
        <w:t xml:space="preserve">Table 1.</w:t>
      </w:r>
      <w:r>
        <w:t xml:space="preserve"> </w:t>
      </w:r>
      <w:r>
        <w:rPr>
          <w:b/>
          <w:bCs/>
        </w:rPr>
        <w:t xml:space="preserve">Baseline design and parameter ranges.</w:t>
      </w:r>
      <w:r>
        <w:t xml:space="preserve"> </w:t>
      </w:r>
      <w:r>
        <w:t xml:space="preserve">Constants held fixed across all experiments</w:t>
      </w:r>
      <w:r>
        <w:t xml:space="preserve"> </w:t>
      </w:r>
      <w:r>
        <w:t xml:space="preserve">except where a later section states otherwise. Prior standard deviations are those of the uniform</w:t>
      </w:r>
      <w:r>
        <w:t xml:space="preserve"> </w:t>
      </w:r>
      <w:r>
        <w:t xml:space="preserve">priors and are used throughout as the reference against which posterior contraction is expressed.</w:t>
      </w:r>
    </w:p>
    <w:bookmarkEnd w:id="17"/>
    <w:bookmarkEnd w:id="18"/>
    <w:bookmarkStart w:id="23" w:name="X5931a57e0a4fa812c68a2d559b617dab4f3896e"/>
    <w:p>
      <w:pPr>
        <w:pStyle w:val="Heading2"/>
      </w:pPr>
      <w:r>
        <w:t xml:space="preserve">2.2 Forward simulation and synthetic observation generation</w:t>
      </w:r>
    </w:p>
    <w:bookmarkStart w:id="19" w:name="forward-chlorine-simulation"/>
    <w:p>
      <w:pPr>
        <w:pStyle w:val="Heading3"/>
      </w:pPr>
      <w:r>
        <w:t xml:space="preserve">2.2.1 Forward chlorine simulation</w:t>
      </w:r>
    </w:p>
    <w:p>
      <w:pPr>
        <w:pStyle w:val="FirstParagraph"/>
      </w:pPr>
      <w:r>
        <w:t xml:space="preserve">The baseline synthetic truth was generated by running the EPANET water-quality model with the</w:t>
      </w:r>
      <w:r>
        <w:t xml:space="preserve"> </w:t>
      </w:r>
      <w:r>
        <w:t xml:space="preserve">true zonal wall-decay coefficients, the fixed bulk-decay coefficient and the boundary</w:t>
      </w:r>
      <w:r>
        <w:t xml:space="preserve"> </w:t>
      </w:r>
      <w:r>
        <w:t xml:space="preserve">concentrations of Section 2.1, storing concentrations at all 92 junctions including the six</w:t>
      </w:r>
      <w:r>
        <w:t xml:space="preserve"> </w:t>
      </w:r>
      <w:r>
        <w:t xml:space="preserve">calibration monitors. This simulation defines the reference chlorine field from which the</w:t>
      </w:r>
      <w:r>
        <w:t xml:space="preserve"> </w:t>
      </w:r>
      <w:r>
        <w:t xml:space="preserve">baseline observations are generated and against which baseline parameter and prediction recovery</w:t>
      </w:r>
      <w:r>
        <w:t xml:space="preserve"> </w:t>
      </w:r>
      <w:r>
        <w:t xml:space="preserve">are evaluated; the robustness experiments of Sections 2.5 and 2.6 perturb either this field or</w:t>
      </w:r>
      <w:r>
        <w:t xml:space="preserve"> </w:t>
      </w:r>
      <w:r>
        <w:t xml:space="preserve">its observation model explicitly.</w:t>
      </w:r>
    </w:p>
    <w:bookmarkEnd w:id="19"/>
    <w:bookmarkStart w:id="20" w:name="warm-up-and-assessment-window-selection"/>
    <w:p>
      <w:pPr>
        <w:pStyle w:val="Heading3"/>
      </w:pPr>
      <w:r>
        <w:t xml:space="preserve">2.2.2 Warm-up and assessment-window selection</w:t>
      </w:r>
    </w:p>
    <w:p>
      <w:pPr>
        <w:pStyle w:val="FirstParagraph"/>
      </w:pPr>
      <w:r>
        <w:t xml:space="preserve">Because storage and recirculation make the chlorine field approach its repeating diurnal</w:t>
      </w:r>
      <w:r>
        <w:t xml:space="preserve"> </w:t>
      </w:r>
      <w:r>
        <w:t xml:space="preserve">behaviour only gradually, the warm-up was assessed by an explicit cyclostationarity test rather</w:t>
      </w:r>
      <w:r>
        <w:t xml:space="preserve"> </w:t>
      </w:r>
      <w:r>
        <w:t xml:space="preserve">than chosen by convention. Demands and pump operation are 24 h periodic, so each 24 h cycle was</w:t>
      </w:r>
      <w:r>
        <w:t xml:space="preserve"> </w:t>
      </w:r>
      <w:r>
        <w:t xml:space="preserve">compared directly with its successor.</w:t>
      </w:r>
    </w:p>
    <w:p>
      <w:pPr>
        <w:pStyle w:val="BodyText"/>
      </w:pPr>
      <w:r>
        <w:t xml:space="preserve">Six quantitative diagnostics were evaluated, each with a tolerance declared in advance: the</w:t>
      </w:r>
      <w:r>
        <w:t xml:space="preserve"> </w:t>
      </w:r>
      <w:r>
        <w:t xml:space="preserve">maximum absolute cycle-to-cycle chlorine difference across the six monitors (0.005 mg L</w:t>
      </w:r>
      <w:r>
        <w:rPr>
          <w:vertAlign w:val="superscript"/>
        </w:rPr>
        <w:t xml:space="preserve">-1</w:t>
      </w:r>
      <w:r>
        <w:t xml:space="preserve">);</w:t>
      </w:r>
      <w:r>
        <w:t xml:space="preserve"> </w:t>
      </w:r>
      <w:r>
        <w:t xml:space="preserve">the 95th percentile across junctions of their maximum absolute chlorine difference (0.01 mg</w:t>
      </w:r>
      <w:r>
        <w:t xml:space="preserve"> </w:t>
      </w:r>
      <w:r>
        <w:t xml:space="preserve">L</w:t>
      </w:r>
      <w:r>
        <w:rPr>
          <w:vertAlign w:val="superscript"/>
        </w:rPr>
        <w:t xml:space="preserve">-1</w:t>
      </w:r>
      <w:r>
        <w:t xml:space="preserve">); the maximum tank-chlorine difference (0.01 mg L</w:t>
      </w:r>
      <w:r>
        <w:rPr>
          <w:vertAlign w:val="superscript"/>
        </w:rPr>
        <w:t xml:space="preserve">-1</w:t>
      </w:r>
      <w:r>
        <w:t xml:space="preserve">); the maximum tank-level difference</w:t>
      </w:r>
      <w:r>
        <w:t xml:space="preserve"> </w:t>
      </w:r>
      <w:r>
        <w:t xml:space="preserve">(0.05 m); the 95th percentile of the junction water-age difference (1 h); and the relative</w:t>
      </w:r>
      <w:r>
        <w:t xml:space="preserve"> </w:t>
      </w:r>
      <w:r>
        <w:t xml:space="preserve">change in the network-mean cumulative chlorine deficit (2%). Identity of the ten highest-deficit</w:t>
      </w:r>
      <w:r>
        <w:t xml:space="preserve"> </w:t>
      </w:r>
      <w:r>
        <w:t xml:space="preserve">junctions between successive cycles was recorded as an additional ranking diagnostic. The</w:t>
      </w:r>
      <w:r>
        <w:t xml:space="preserve"> </w:t>
      </w:r>
      <w:r>
        <w:t xml:space="preserve">chlorine and deficit diagnostics were evaluated at the synthetic truth and at the weak- and</w:t>
      </w:r>
      <w:r>
        <w:t xml:space="preserve"> </w:t>
      </w:r>
      <w:r>
        <w:t xml:space="preserve">strong-reactivity corners of the prior box; water age was evaluated once, since it does not</w:t>
      </w:r>
      <w:r>
        <w:t xml:space="preserve"> </w:t>
      </w:r>
      <w:r>
        <w:t xml:space="preserve">depend on the reaction coefficients.</w:t>
      </w:r>
    </w:p>
    <w:p>
      <w:pPr>
        <w:pStyle w:val="BodyText"/>
      </w:pPr>
      <w:r>
        <w:t xml:space="preserve">The pre-defined rule required every diagnostic to pass, and no cycle pair satisfied it within</w:t>
      </w:r>
      <w:r>
        <w:t xml:space="preserve"> </w:t>
      </w:r>
      <w:r>
        <w:t xml:space="preserve">the 168 h model horizon. Because the inverse analyses depend directly on the chlorine field, a</w:t>
      </w:r>
      <w:r>
        <w:t xml:space="preserve"> </w:t>
      </w:r>
      <w:r>
        <w:t xml:space="preserve">pragmatic 120 h warm-up was adopted instead, as the earliest point at which all three</w:t>
      </w:r>
      <w:r>
        <w:t xml:space="preserve"> </w:t>
      </w:r>
      <w:r>
        <w:t xml:space="preserve">chlorine-concentration diagnostics were satisfied across the tested parameter sets. The</w:t>
      </w:r>
      <w:r>
        <w:t xml:space="preserve"> </w:t>
      </w:r>
      <w:r>
        <w:t xml:space="preserve">assessment window is therefore 120–168 h, comprising 49 hourly reporting points and 48 one-hour</w:t>
      </w:r>
      <w:r>
        <w:t xml:space="preserve"> </w:t>
      </w:r>
      <w:r>
        <w:t xml:space="preserve">intervals. Which diagnostics remain unmet under this finite horizon, and what that bounds, is</w:t>
      </w:r>
      <w:r>
        <w:t xml:space="preserve"> </w:t>
      </w:r>
      <w:r>
        <w:t xml:space="preserve">reported in Section 3.1.2 rather than treated here as evidence of full periodic convergence.</w:t>
      </w:r>
    </w:p>
    <w:bookmarkEnd w:id="20"/>
    <w:bookmarkStart w:id="21" w:name="synthetic-measurement-error-model"/>
    <w:p>
      <w:pPr>
        <w:pStyle w:val="Heading3"/>
      </w:pPr>
      <w:r>
        <w:t xml:space="preserve">2.2.3 Synthetic measurement-error model</w:t>
      </w:r>
    </w:p>
    <w:p>
      <w:pPr>
        <w:pStyle w:val="FirstParagraph"/>
      </w:pPr>
      <w:r>
        <w:t xml:space="preserve">Synthetic observations were generated as</w:t>
      </w:r>
    </w:p>
    <w:p>
      <w:pPr>
        <w:pStyle w:val="BodyText"/>
      </w:pPr>
      <m:oMathPara>
        <m:oMathParaPr>
          <m:jc m:val="center"/>
        </m:oMathParaPr>
        <m:oMath>
          <m:sSub>
            <m:e>
              <m:r>
                <m:t>C</m:t>
              </m:r>
            </m:e>
            <m:sub>
              <m:r>
                <m:rPr>
                  <m:sty m:val="p"/>
                </m:rPr>
                <m:t>o</m:t>
              </m:r>
              <m:r>
                <m:rPr>
                  <m:sty m:val="p"/>
                </m:rPr>
                <m:t>b</m:t>
              </m:r>
              <m:r>
                <m:rPr>
                  <m:sty m:val="p"/>
                </m:rPr>
                <m:t>s</m:t>
              </m:r>
            </m:sub>
          </m:sSub>
          <m:r>
            <m:rPr>
              <m:sty m:val="p"/>
            </m:rPr>
            <m:t>=</m:t>
          </m:r>
          <m:r>
            <m:rPr>
              <m:sty m:val="p"/>
            </m:rPr>
            <m:t>max</m:t>
          </m:r>
          <m:d>
            <m:dPr>
              <m:begChr m:val="["/>
              <m:sepChr m:val=""/>
              <m:endChr m:val="]"/>
              <m:grow/>
            </m:dPr>
            <m:e>
              <m:r>
                <m:t>0</m:t>
              </m:r>
              <m:r>
                <m:rPr>
                  <m:sty m:val="p"/>
                </m:rPr>
                <m:t>,</m:t>
              </m:r>
              <m:sSub>
                <m:e>
                  <m:r>
                    <m:t>C</m:t>
                  </m:r>
                </m:e>
                <m:sub>
                  <m:r>
                    <m:rPr>
                      <m:sty m:val="p"/>
                    </m:rPr>
                    <m:t>t</m:t>
                  </m:r>
                  <m:r>
                    <m:rPr>
                      <m:sty m:val="p"/>
                    </m:rPr>
                    <m:t>r</m:t>
                  </m:r>
                  <m:r>
                    <m:rPr>
                      <m:sty m:val="p"/>
                    </m:rPr>
                    <m:t>u</m:t>
                  </m:r>
                  <m:r>
                    <m:rPr>
                      <m:sty m:val="p"/>
                    </m:rPr>
                    <m:t>e</m:t>
                  </m:r>
                </m:sub>
              </m:sSub>
              <m:r>
                <m:rPr>
                  <m:sty m:val="p"/>
                </m:rPr>
                <m:t>+</m:t>
              </m:r>
              <m:r>
                <m:t>ϵ</m:t>
              </m:r>
            </m:e>
          </m:d>
          <m:r>
            <m:rPr>
              <m:sty m:val="p"/>
            </m:rPr>
            <m:t>,</m:t>
          </m:r>
          <m:r>
            <m:t>ϵ</m:t>
          </m:r>
          <m:r>
            <m:rPr>
              <m:sty m:val="p"/>
            </m:rPr>
            <m:t>∼</m:t>
          </m:r>
          <m:r>
            <m:t>N</m:t>
          </m:r>
          <m:r>
            <m:rPr>
              <m:sty m:val="p"/>
            </m:rPr>
            <m:t>(</m:t>
          </m:r>
          <m:r>
            <m:t>0</m:t>
          </m:r>
          <m:r>
            <m:rPr>
              <m:sty m:val="p"/>
            </m:rPr>
            <m:t>,</m:t>
          </m:r>
          <m:sSup>
            <m:e>
              <m:r>
                <m:t>σ</m:t>
              </m:r>
            </m:e>
            <m:sup>
              <m:r>
                <m:t>2</m:t>
              </m:r>
            </m:sup>
          </m:sSup>
          <m:r>
            <m:rPr>
              <m:sty m:val="p"/>
            </m:rPr>
            <m:t>)</m:t>
          </m:r>
          <m:r>
            <m:rPr>
              <m:sty m:val="p"/>
            </m:rPr>
            <m:t>,</m:t>
          </m:r>
        </m:oMath>
      </m:oMathPara>
    </w:p>
    <w:p>
      <w:pPr>
        <w:pStyle w:val="FirstParagraph"/>
      </w:pPr>
      <w:r>
        <w:t xml:space="preserve">with a baseline</w:t>
      </w:r>
      <w:r>
        <w:t xml:space="preserve"> </w:t>
      </w:r>
      <m:oMath>
        <m:r>
          <m:t>σ</m:t>
        </m:r>
        <m:r>
          <m:rPr>
            <m:sty m:val="p"/>
          </m:rPr>
          <m:t>=</m:t>
        </m:r>
        <m:r>
          <m:t>0.1</m:t>
        </m:r>
      </m:oMath>
      <w:r>
        <w:t xml:space="preserve"> </w:t>
      </w:r>
      <w:r>
        <w:t xml:space="preserve">mg L</w:t>
      </w:r>
      <w:r>
        <w:rPr>
          <w:vertAlign w:val="superscript"/>
        </w:rPr>
        <w:t xml:space="preserve">-1</w:t>
      </w:r>
      <w:r>
        <w:t xml:space="preserve">. Throughout this study</w:t>
      </w:r>
      <w:r>
        <w:t xml:space="preserve"> </w:t>
      </w:r>
      <m:oMath>
        <m:r>
          <m:t>σ</m:t>
        </m:r>
      </m:oMath>
      <w:r>
        <w:t xml:space="preserve"> </w:t>
      </w:r>
      <w:r>
        <w:t xml:space="preserve">denotes one standard</w:t>
      </w:r>
      <w:r>
        <w:t xml:space="preserve"> </w:t>
      </w:r>
      <w:r>
        <w:t xml:space="preserve">deviation of the assumed random measurement error, not a 95% interval or a hard error bound. The</w:t>
      </w:r>
      <w:r>
        <w:t xml:space="preserve"> </w:t>
      </w:r>
      <w:r>
        <w:t xml:space="preserve">non-negativity floor means a latent reading below zero is recorded as zero; such observations</w:t>
      </w:r>
      <w:r>
        <w:t xml:space="preserve"> </w:t>
      </w:r>
      <w:r>
        <w:t xml:space="preserve">are treated as left-censored in the primary likelihood rather than as exact zero measurements.</w:t>
      </w:r>
    </w:p>
    <w:p>
      <w:pPr>
        <w:pStyle w:val="BodyText"/>
      </w:pPr>
      <w:r>
        <w:t xml:space="preserve">The reference observation set uses a fixed random seed. Repeated-noise experiments use</w:t>
      </w:r>
      <w:r>
        <w:t xml:space="preserve"> </w:t>
      </w:r>
      <w:r>
        <w:t xml:space="preserve">separately generated realisations, whereas paired perturbation studies reuse identical noise</w:t>
      </w:r>
      <w:r>
        <w:t xml:space="preserve"> </w:t>
      </w:r>
      <w:r>
        <w:t xml:space="preserve">seeds across comparison arms, so that a reported shift isolates the imposed perturbation rather</w:t>
      </w:r>
      <w:r>
        <w:t xml:space="preserve"> </w:t>
      </w:r>
      <w:r>
        <w:t xml:space="preserve">than a change in the random draw.</w:t>
      </w:r>
    </w:p>
    <w:bookmarkEnd w:id="21"/>
    <w:bookmarkStart w:id="22" w:name="numerical-and-unit-verification"/>
    <w:p>
      <w:pPr>
        <w:pStyle w:val="Heading3"/>
      </w:pPr>
      <w:r>
        <w:t xml:space="preserve">2.2.4 Numerical and unit verification</w:t>
      </w:r>
    </w:p>
    <w:p>
      <w:pPr>
        <w:pStyle w:val="FirstParagraph"/>
      </w:pPr>
      <w:r>
        <w:t xml:space="preserve">All concentrations reported by the analysis are expressed in mg L</w:t>
      </w:r>
      <w:r>
        <w:rPr>
          <w:vertAlign w:val="superscript"/>
        </w:rPr>
        <w:t xml:space="preserve">-1</w:t>
      </w:r>
      <w:r>
        <w:t xml:space="preserve">, converted to WNTR’s</w:t>
      </w:r>
      <w:r>
        <w:t xml:space="preserve"> </w:t>
      </w:r>
      <w:r>
        <w:t xml:space="preserve">internal kg m</w:t>
      </w:r>
      <w:r>
        <w:rPr>
          <w:vertAlign w:val="superscript"/>
        </w:rPr>
        <w:t xml:space="preserve">-3</w:t>
      </w:r>
      <w:r>
        <w:t xml:space="preserve"> </w:t>
      </w:r>
      <w:r>
        <w:t xml:space="preserve">representation on model input and back on output. The EPANET absolute quality</w:t>
      </w:r>
      <w:r>
        <w:t xml:space="preserve"> </w:t>
      </w:r>
      <w:r>
        <w:t xml:space="preserve">tolerance was set to</w:t>
      </w:r>
      <w:r>
        <w:t xml:space="preserve"> </w:t>
      </w:r>
      <m:oMath>
        <m:r>
          <m:t>1</m:t>
        </m:r>
        <m:r>
          <m:rPr>
            <m:sty m:val="p"/>
          </m:rPr>
          <m:t>×</m:t>
        </m:r>
        <m:sSup>
          <m:e>
            <m:r>
              <m:t>10</m:t>
            </m:r>
          </m:e>
          <m:sup>
            <m:r>
              <m:rPr>
                <m:sty m:val="p"/>
              </m:rPr>
              <m:t>−</m:t>
            </m:r>
            <m:r>
              <m:t>5</m:t>
            </m:r>
          </m:sup>
        </m:sSup>
      </m:oMath>
      <w:r>
        <w:t xml:space="preserve"> </w:t>
      </w:r>
      <w:r>
        <w:t xml:space="preserve">mg L</w:t>
      </w:r>
      <w:r>
        <w:rPr>
          <w:vertAlign w:val="superscript"/>
        </w:rPr>
        <w:t xml:space="preserve">-1</w:t>
      </w:r>
      <w:r>
        <w:t xml:space="preserve">. This is a chosen setting rather than a unit</w:t>
      </w:r>
      <w:r>
        <w:t xml:space="preserve"> </w:t>
      </w:r>
      <w:r>
        <w:t xml:space="preserve">conversion: it is a thousand times stricter than the EPANET default of 0.01 mg L</w:t>
      </w:r>
      <w:r>
        <w:rPr>
          <w:vertAlign w:val="superscript"/>
        </w:rPr>
        <w:t xml:space="preserve">-1</w:t>
      </w:r>
      <w:r>
        <w:t xml:space="preserve">, and holds</w:t>
      </w:r>
      <w:r>
        <w:t xml:space="preserve"> </w:t>
      </w:r>
      <w:r>
        <w:t xml:space="preserve">the tolerance-to-source ratio fixed so that the corrected and superseded implementations can be</w:t>
      </w:r>
      <w:r>
        <w:t xml:space="preserve"> </w:t>
      </w:r>
      <w:r>
        <w:t xml:space="preserve">compared as the same numerical experiment.</w:t>
      </w:r>
    </w:p>
    <w:p>
      <w:pPr>
        <w:pStyle w:val="BodyText"/>
      </w:pPr>
      <w:r>
        <w:t xml:space="preserve">Three checks support the implementation. A single-pipe bulk-only configuration was compared with</w:t>
      </w:r>
      <w:r>
        <w:t xml:space="preserve"> </w:t>
      </w:r>
      <w:r>
        <w:t xml:space="preserve">the analytic first-order solution</w:t>
      </w:r>
      <w:r>
        <w:t xml:space="preserve"> </w:t>
      </w:r>
      <m:oMath>
        <m:r>
          <m:t>C</m:t>
        </m:r>
        <m:r>
          <m:rPr>
            <m:sty m:val="p"/>
          </m:rPr>
          <m:t>=</m:t>
        </m:r>
        <m:sSub>
          <m:e>
            <m:r>
              <m:t>C</m:t>
            </m:r>
          </m:e>
          <m:sub>
            <m:r>
              <m:t>0</m:t>
            </m:r>
          </m:sub>
        </m:sSub>
        <m:r>
          <m:rPr>
            <m:sty m:val="p"/>
          </m:rPr>
          <m:t>exp</m:t>
        </m:r>
        <m:r>
          <m:rPr>
            <m:sty m:val="p"/>
          </m:rPr>
          <m:t>(</m:t>
        </m:r>
        <m:sSub>
          <m:e>
            <m:r>
              <m:t>k</m:t>
            </m:r>
          </m:e>
          <m:sub>
            <m:r>
              <m:t>b</m:t>
            </m:r>
          </m:sub>
        </m:sSub>
        <m:sSub>
          <m:e>
            <m:r>
              <m:t>t</m:t>
            </m:r>
          </m:e>
          <m:sub>
            <m:r>
              <m:rPr>
                <m:sty m:val="p"/>
              </m:rPr>
              <m:t>r</m:t>
            </m:r>
            <m:r>
              <m:rPr>
                <m:sty m:val="p"/>
              </m:rPr>
              <m:t>e</m:t>
            </m:r>
            <m:r>
              <m:rPr>
                <m:sty m:val="p"/>
              </m:rPr>
              <m:t>s</m:t>
            </m:r>
          </m:sub>
        </m:sSub>
        <m:r>
          <m:rPr>
            <m:sty m:val="p"/>
          </m:rPr>
          <m:t>)</m:t>
        </m:r>
      </m:oMath>
      <w:r>
        <w:t xml:space="preserve">. Wall-reaction behaviour</w:t>
      </w:r>
      <w:r>
        <w:t xml:space="preserve"> </w:t>
      </w:r>
      <w:r>
        <w:t xml:space="preserve">was checked for the expected sign, for monotonic response to the coefficient, and against the</w:t>
      </w:r>
      <w:r>
        <w:t xml:space="preserve"> </w:t>
      </w:r>
      <w:r>
        <w:t xml:space="preserve">limiting case without mass-transfer resistance. A unit-equivalence test confirmed that the</w:t>
      </w:r>
      <w:r>
        <w:t xml:space="preserve"> </w:t>
      </w:r>
      <w:r>
        <w:t xml:space="preserve">corrected implementation reproduces the previously generated field to within a maximum relative</w:t>
      </w:r>
      <w:r>
        <w:t xml:space="preserve"> </w:t>
      </w:r>
      <w:r>
        <w:t xml:space="preserve">difference of</w:t>
      </w:r>
      <w:r>
        <w:t xml:space="preserve"> </w:t>
      </w:r>
      <m:oMath>
        <m:r>
          <m:t>2.3</m:t>
        </m:r>
        <m:r>
          <m:rPr>
            <m:sty m:val="p"/>
          </m:rPr>
          <m:t>×</m:t>
        </m:r>
        <m:sSup>
          <m:e>
            <m:r>
              <m:t>10</m:t>
            </m:r>
          </m:e>
          <m:sup>
            <m:r>
              <m:rPr>
                <m:sty m:val="p"/>
              </m:rPr>
              <m:t>−</m:t>
            </m:r>
            <m:r>
              <m:t>7</m:t>
            </m:r>
          </m:sup>
        </m:sSup>
      </m:oMath>
      <w:r>
        <w:t xml:space="preserve">, with no change in any of the below-threshold duration</w:t>
      </w:r>
      <w:r>
        <w:t xml:space="preserve"> </w:t>
      </w:r>
      <w:r>
        <w:t xml:space="preserve">classifications tested. The Net3 input file is frozen and hash-checked and the computational</w:t>
      </w:r>
      <w:r>
        <w:t xml:space="preserve"> </w:t>
      </w:r>
      <w:r>
        <w:t xml:space="preserve">environment is pinned. Full results are given in Appendix B.</w:t>
      </w:r>
    </w:p>
    <w:bookmarkEnd w:id="22"/>
    <w:bookmarkEnd w:id="23"/>
    <w:bookmarkStart w:id="28" w:name="X8fff0967549037f4a7243dde66bbb1581386ec5"/>
    <w:p>
      <w:pPr>
        <w:pStyle w:val="Heading2"/>
      </w:pPr>
      <w:r>
        <w:t xml:space="preserve">2.3 Parameter sampling and inference formulations</w:t>
      </w:r>
    </w:p>
    <w:bookmarkStart w:id="24" w:name="priors-and-sobol-candidate-library"/>
    <w:p>
      <w:pPr>
        <w:pStyle w:val="Heading3"/>
      </w:pPr>
      <w:r>
        <w:t xml:space="preserve">2.3.1 Priors and Sobol candidate library</w:t>
      </w:r>
    </w:p>
    <w:p>
      <w:pPr>
        <w:pStyle w:val="FirstParagraph"/>
      </w:pPr>
      <w:r>
        <w:t xml:space="preserve">The three-dimensional baseline prior box was sampled with</w:t>
      </w:r>
      <w:r>
        <w:t xml:space="preserve"> </w:t>
      </w:r>
      <m:oMath>
        <m:r>
          <m:t>8192</m:t>
        </m:r>
        <m:r>
          <m:rPr>
            <m:sty m:val="p"/>
          </m:rPr>
          <m:t>=</m:t>
        </m:r>
        <m:sSup>
          <m:e>
            <m:r>
              <m:t>2</m:t>
            </m:r>
          </m:e>
          <m:sup>
            <m:r>
              <m:t>13</m:t>
            </m:r>
          </m:sup>
        </m:sSup>
      </m:oMath>
      <w:r>
        <w:t xml:space="preserve"> </w:t>
      </w:r>
      <w:r>
        <w:t xml:space="preserve">scrambled Sobol draws.</w:t>
      </w:r>
      <w:r>
        <w:t xml:space="preserve"> </w:t>
      </w:r>
      <w:r>
        <w:t xml:space="preserve">Each baseline candidate was simulated once and its predictions at all 92 junctions cached.</w:t>
      </w:r>
      <w:r>
        <w:t xml:space="preserve"> </w:t>
      </w:r>
      <w:r>
        <w:t xml:space="preserve">Experiments that changed only the observation realisation or the weighting rule reused this</w:t>
      </w:r>
      <w:r>
        <w:t xml:space="preserve"> </w:t>
      </w:r>
      <w:r>
        <w:t xml:space="preserve">common library; in particular the censored Gaussian, iid Gaussian and informal GLUE formulations</w:t>
      </w:r>
      <w:r>
        <w:t xml:space="preserve"> </w:t>
      </w:r>
      <w:r>
        <w:t xml:space="preserve">were evaluated on identical prior draws and identical model predictions, so any difference</w:t>
      </w:r>
      <w:r>
        <w:t xml:space="preserve"> </w:t>
      </w:r>
      <w:r>
        <w:t xml:space="preserve">between those baseline inference results is attributable to the weighting formulation rather</w:t>
      </w:r>
      <w:r>
        <w:t xml:space="preserve"> </w:t>
      </w:r>
      <w:r>
        <w:t xml:space="preserve">than to sampling or to different forward simulations. Experiments that altered the prior domain</w:t>
      </w:r>
      <w:r>
        <w:t xml:space="preserve"> </w:t>
      </w:r>
      <w:r>
        <w:t xml:space="preserve">or a forward-model parameter — the displaced-prior tests of Section 2.4.2, the bulk-decay cases</w:t>
      </w:r>
      <w:r>
        <w:t xml:space="preserve"> </w:t>
      </w:r>
      <w:r>
        <w:t xml:space="preserve">of Section 2.5.5 and the scenarios of Section 2.8.4 — generated their own prediction libraries</w:t>
      </w:r>
      <w:r>
        <w:t xml:space="preserve"> </w:t>
      </w:r>
      <w:r>
        <w:t xml:space="preserve">under the same sampling principles.</w:t>
      </w:r>
    </w:p>
    <w:p>
      <w:pPr>
        <w:pStyle w:val="BodyText"/>
      </w:pPr>
      <w:r>
        <w:t xml:space="preserve">Sampling convergence of the baseline weighted ensemble was assessed on the nested leading Sobol</w:t>
      </w:r>
      <w:r>
        <w:t xml:space="preserve"> </w:t>
      </w:r>
      <w:r>
        <w:t xml:space="preserve">subsets of 1024, 2048, 4096 and 8192 candidates, comparing posterior medians, quantiles and</w:t>
      </w:r>
      <w:r>
        <w:t xml:space="preserve"> </w:t>
      </w:r>
      <w:r>
        <w:t xml:space="preserve">effective sample size. The effective sample size,</w:t>
      </w:r>
      <w:r>
        <w:t xml:space="preserve"> </w:t>
      </w:r>
      <m:oMath>
        <m:r>
          <m:rPr>
            <m:sty m:val="p"/>
          </m:rPr>
          <m:t>E</m:t>
        </m:r>
        <m:r>
          <m:rPr>
            <m:sty m:val="p"/>
          </m:rPr>
          <m:t>S</m:t>
        </m:r>
        <m:r>
          <m:rPr>
            <m:sty m:val="p"/>
          </m:rPr>
          <m:t>S</m:t>
        </m:r>
        <m:r>
          <m:rPr>
            <m:sty m:val="p"/>
          </m:rPr>
          <m:t>=</m:t>
        </m:r>
        <m:r>
          <m:t>1</m:t>
        </m:r>
        <m:r>
          <m:rPr>
            <m:sty m:val="p"/>
          </m:rPr>
          <m:t>/</m:t>
        </m:r>
        <m:nary>
          <m:naryPr>
            <m:chr m:val="∑"/>
            <m:limLoc m:val="undOvr"/>
            <m:subHide m:val="off"/>
            <m:supHide m:val="on"/>
          </m:naryPr>
          <m:sub>
            <m:r>
              <m:t>i</m:t>
            </m:r>
          </m:sub>
          <m:sup>
            <m:r>
              <m:t/>
            </m:r>
          </m:sup>
          <m:e>
            <m:sSubSup>
              <m:e>
                <m:r>
                  <m:t>w</m:t>
                </m:r>
              </m:e>
              <m:sub>
                <m:r>
                  <m:t>i</m:t>
                </m:r>
              </m:sub>
              <m:sup>
                <m:r>
                  <m:t>2</m:t>
                </m:r>
              </m:sup>
            </m:sSubSup>
          </m:e>
        </m:nary>
      </m:oMath>
      <w:r>
        <w:t xml:space="preserve">, is reported</w:t>
      </w:r>
      <w:r>
        <w:t xml:space="preserve"> </w:t>
      </w:r>
      <w:r>
        <w:t xml:space="preserve">throughout as a diagnostic of how far the discrete weights concentrate.</w:t>
      </w:r>
    </w:p>
    <w:bookmarkEnd w:id="24"/>
    <w:bookmarkStart w:id="25" w:name="censored-gaussian-likelihood"/>
    <w:p>
      <w:pPr>
        <w:pStyle w:val="Heading3"/>
      </w:pPr>
      <w:r>
        <w:t xml:space="preserve">2.3.2 Censored Gaussian likelihood</w:t>
      </w:r>
    </w:p>
    <w:p>
      <w:pPr>
        <w:pStyle w:val="FirstParagraph"/>
      </w:pPr>
      <w:r>
        <w:t xml:space="preserve">The primary inference rule was a censored Gaussian likelihood. Up to additive constants</w:t>
      </w:r>
      <w:r>
        <w:t xml:space="preserve"> </w:t>
      </w:r>
      <w:r>
        <w:t xml:space="preserve">independent of the parameter vector</w:t>
      </w:r>
      <w:r>
        <w:t xml:space="preserve"> </w:t>
      </w:r>
      <m:oMath>
        <m:r>
          <m:t>θ</m:t>
        </m:r>
      </m:oMath>
      <w:r>
        <w:t xml:space="preserve">,</w:t>
      </w:r>
    </w:p>
    <w:p>
      <w:pPr>
        <w:pStyle w:val="BodyText"/>
      </w:pPr>
      <m:oMathPara>
        <m:oMathParaPr>
          <m:jc m:val="center"/>
        </m:oMathParaPr>
        <m:oMath>
          <m:r>
            <m:t>ℓ</m:t>
          </m:r>
          <m:r>
            <m:rPr>
              <m:sty m:val="p"/>
            </m:rPr>
            <m:t>(</m:t>
          </m:r>
          <m:r>
            <m:t>θ</m:t>
          </m:r>
          <m:r>
            <m:rPr>
              <m:sty m:val="p"/>
            </m:rPr>
            <m:t>)</m:t>
          </m:r>
          <m:r>
            <m:rPr>
              <m:sty m:val="p"/>
            </m:rPr>
            <m:t>=</m:t>
          </m:r>
          <m:r>
            <m:rPr>
              <m:sty m:val="p"/>
            </m:rPr>
            <m:t>−</m:t>
          </m:r>
          <m:f>
            <m:fPr>
              <m:type m:val="bar"/>
            </m:fPr>
            <m:num>
              <m:r>
                <m:t>1</m:t>
              </m:r>
            </m:num>
            <m:den>
              <m:r>
                <m:t>2</m:t>
              </m:r>
            </m:den>
          </m:f>
          <m:nary>
            <m:naryPr>
              <m:chr m:val="∑"/>
              <m:limLoc m:val="undOvr"/>
              <m:subHide m:val="off"/>
              <m:supHide m:val="on"/>
            </m:naryPr>
            <m:sub>
              <m:sSub>
                <m:e>
                  <m:r>
                    <m:t>y</m:t>
                  </m:r>
                </m:e>
                <m:sub>
                  <m:r>
                    <m:t>i</m:t>
                  </m:r>
                </m:sub>
              </m:sSub>
              <m:r>
                <m:rPr>
                  <m:sty m:val="p"/>
                </m:rPr>
                <m:t>&gt;</m:t>
              </m:r>
              <m:r>
                <m:t>0</m:t>
              </m:r>
            </m:sub>
            <m:sup>
              <m:r>
                <m:t/>
              </m:r>
            </m:sup>
            <m:e>
              <m:sSup>
                <m:e>
                  <m:d>
                    <m:dPr>
                      <m:begChr m:val="["/>
                      <m:sepChr m:val=""/>
                      <m:endChr m:val="]"/>
                      <m:grow/>
                    </m:dPr>
                    <m:e>
                      <m:f>
                        <m:fPr>
                          <m:type m:val="bar"/>
                        </m:fPr>
                        <m:num>
                          <m:sSub>
                            <m:e>
                              <m:r>
                                <m:t>y</m:t>
                              </m:r>
                            </m:e>
                            <m:sub>
                              <m:r>
                                <m:t>i</m:t>
                              </m:r>
                            </m:sub>
                          </m:sSub>
                          <m:r>
                            <m:rPr>
                              <m:sty m:val="p"/>
                            </m:rPr>
                            <m:t>−</m:t>
                          </m:r>
                          <m:sSub>
                            <m:e>
                              <m:r>
                                <m:t>μ</m:t>
                              </m:r>
                            </m:e>
                            <m:sub>
                              <m:r>
                                <m:t>i</m:t>
                              </m:r>
                            </m:sub>
                          </m:sSub>
                          <m:r>
                            <m:rPr>
                              <m:sty m:val="p"/>
                            </m:rPr>
                            <m:t>(</m:t>
                          </m:r>
                          <m:r>
                            <m:t>θ</m:t>
                          </m:r>
                          <m:r>
                            <m:rPr>
                              <m:sty m:val="p"/>
                            </m:rPr>
                            <m:t>)</m:t>
                          </m:r>
                        </m:num>
                        <m:den>
                          <m:r>
                            <m:t>σ</m:t>
                          </m:r>
                        </m:den>
                      </m:f>
                    </m:e>
                  </m:d>
                </m:e>
                <m:sup>
                  <m:r>
                    <m:t>2</m:t>
                  </m:r>
                </m:sup>
              </m:sSup>
            </m:e>
          </m:nary>
          <m:r>
            <m:rPr>
              <m:sty m:val="p"/>
            </m:rPr>
            <m:t>+</m:t>
          </m:r>
          <m:nary>
            <m:naryPr>
              <m:chr m:val="∑"/>
              <m:limLoc m:val="undOvr"/>
              <m:subHide m:val="off"/>
              <m:supHide m:val="on"/>
            </m:naryPr>
            <m:sub>
              <m:sSub>
                <m:e>
                  <m:r>
                    <m:t>y</m:t>
                  </m:r>
                </m:e>
                <m:sub>
                  <m:r>
                    <m:t>i</m:t>
                  </m:r>
                </m:sub>
              </m:sSub>
              <m:r>
                <m:rPr>
                  <m:sty m:val="p"/>
                </m:rPr>
                <m:t>=</m:t>
              </m:r>
              <m:r>
                <m:t>0</m:t>
              </m:r>
            </m:sub>
            <m:sup>
              <m:r>
                <m:t/>
              </m:r>
            </m:sup>
            <m:e>
              <m:r>
                <m:rPr>
                  <m:sty m:val="p"/>
                </m:rPr>
                <m:t>log</m:t>
              </m:r>
            </m:e>
          </m:nary>
          <m:r>
            <m:rPr>
              <m:sty m:val="p"/>
            </m:rPr>
            <m:t>Φ</m:t>
          </m:r>
          <m:d>
            <m:dPr>
              <m:begChr m:val="["/>
              <m:sepChr m:val=""/>
              <m:endChr m:val="]"/>
              <m:grow/>
            </m:dPr>
            <m:e>
              <m:r>
                <m:rPr>
                  <m:sty m:val="p"/>
                </m:rPr>
                <m:t>−</m:t>
              </m:r>
              <m:f>
                <m:fPr>
                  <m:type m:val="bar"/>
                </m:fPr>
                <m:num>
                  <m:sSub>
                    <m:e>
                      <m:r>
                        <m:t>μ</m:t>
                      </m:r>
                    </m:e>
                    <m:sub>
                      <m:r>
                        <m:t>i</m:t>
                      </m:r>
                    </m:sub>
                  </m:sSub>
                  <m:r>
                    <m:rPr>
                      <m:sty m:val="p"/>
                    </m:rPr>
                    <m:t>(</m:t>
                  </m:r>
                  <m:r>
                    <m:t>θ</m:t>
                  </m:r>
                  <m:r>
                    <m:rPr>
                      <m:sty m:val="p"/>
                    </m:rPr>
                    <m:t>)</m:t>
                  </m:r>
                </m:num>
                <m:den>
                  <m:r>
                    <m:t>σ</m:t>
                  </m:r>
                </m:den>
              </m:f>
            </m:e>
          </m:d>
          <m:r>
            <m:rPr>
              <m:sty m:val="p"/>
            </m:rPr>
            <m:t>,</m:t>
          </m:r>
        </m:oMath>
      </m:oMathPara>
    </w:p>
    <w:p>
      <w:pPr>
        <w:pStyle w:val="FirstParagraph"/>
      </w:pPr>
      <w:r>
        <w:t xml:space="preserve">where</w:t>
      </w:r>
      <w:r>
        <w:t xml:space="preserve"> </w:t>
      </w:r>
      <m:oMath>
        <m:sSub>
          <m:e>
            <m:r>
              <m:t>y</m:t>
            </m:r>
          </m:e>
          <m:sub>
            <m:r>
              <m:t>i</m:t>
            </m:r>
          </m:sub>
        </m:sSub>
      </m:oMath>
      <w:r>
        <w:t xml:space="preserve"> </w:t>
      </w:r>
      <w:r>
        <w:t xml:space="preserve">is an observed concentration,</w:t>
      </w:r>
      <w:r>
        <w:t xml:space="preserve"> </w:t>
      </w:r>
      <m:oMath>
        <m:sSub>
          <m:e>
            <m:r>
              <m:t>μ</m:t>
            </m:r>
          </m:e>
          <m:sub>
            <m:r>
              <m:t>i</m:t>
            </m:r>
          </m:sub>
        </m:sSub>
        <m:r>
          <m:rPr>
            <m:sty m:val="p"/>
          </m:rPr>
          <m:t>(</m:t>
        </m:r>
        <m:r>
          <m:t>θ</m:t>
        </m:r>
        <m:r>
          <m:rPr>
            <m:sty m:val="p"/>
          </m:rPr>
          <m:t>)</m:t>
        </m:r>
      </m:oMath>
      <w:r>
        <w:t xml:space="preserve"> </w:t>
      </w:r>
      <w:r>
        <w:t xml:space="preserve">the corresponding model prediction and</w:t>
      </w:r>
      <w:r>
        <w:t xml:space="preserve"> </w:t>
      </w:r>
      <m:oMath>
        <m:r>
          <m:rPr>
            <m:sty m:val="p"/>
          </m:rPr>
          <m:t>Φ</m:t>
        </m:r>
      </m:oMath>
      <w:r>
        <w:t xml:space="preserve"> </w:t>
      </w:r>
      <w:r>
        <w:t xml:space="preserve">the standard-normal cumulative distribution function. Positive observations contribute</w:t>
      </w:r>
      <w:r>
        <w:t xml:space="preserve"> </w:t>
      </w:r>
      <w:r>
        <w:t xml:space="preserve">Gaussian residual terms; observations recorded at the zero floor contribute the probability that</w:t>
      </w:r>
      <w:r>
        <w:t xml:space="preserve"> </w:t>
      </w:r>
      <w:r>
        <w:t xml:space="preserve">the latent reading lies at or below that floor.</w:t>
      </w:r>
    </w:p>
    <w:p>
      <w:pPr>
        <w:pStyle w:val="BodyText"/>
      </w:pPr>
      <w:r>
        <w:t xml:space="preserve">The rule uses the uniform priors of Section 2.1.3 and has no behavioural acceptance threshold.</w:t>
      </w:r>
      <w:r>
        <w:t xml:space="preserve"> </w:t>
      </w:r>
      <w:r>
        <w:t xml:space="preserve">Because candidates are drawn directly from those priors, their normalised likelihood weights are</w:t>
      </w:r>
      <w:r>
        <w:t xml:space="preserve"> </w:t>
      </w:r>
      <w:r>
        <w:t xml:space="preserve">a discrete Monte Carlo approximation to the posterior over the sampled space. Weights were</w:t>
      </w:r>
      <w:r>
        <w:t xml:space="preserve"> </w:t>
      </w:r>
      <w:r>
        <w:t xml:space="preserve">computed in numerically stable form as</w:t>
      </w:r>
    </w:p>
    <w:p>
      <w:pPr>
        <w:pStyle w:val="BodyText"/>
      </w:pPr>
      <m:oMathPara>
        <m:oMathParaPr>
          <m:jc m:val="center"/>
        </m:oMathParaPr>
        <m:oMath>
          <m:sSub>
            <m:e>
              <m:r>
                <m:t>w</m:t>
              </m:r>
            </m:e>
            <m:sub>
              <m:r>
                <m:t>i</m:t>
              </m:r>
            </m:sub>
          </m:sSub>
          <m:r>
            <m:rPr>
              <m:sty m:val="p"/>
            </m:rPr>
            <m:t>=</m:t>
          </m:r>
          <m:f>
            <m:fPr>
              <m:type m:val="bar"/>
            </m:fPr>
            <m:num>
              <m:r>
                <m:rPr>
                  <m:sty m:val="p"/>
                </m:rPr>
                <m:t>exp</m:t>
              </m:r>
              <m:d>
                <m:dPr>
                  <m:begChr m:val="["/>
                  <m:sepChr m:val=""/>
                  <m:endChr m:val="]"/>
                  <m:grow/>
                </m:dPr>
                <m:e>
                  <m:r>
                    <m:t>ℓ</m:t>
                  </m:r>
                  <m:r>
                    <m:rPr>
                      <m:sty m:val="p"/>
                    </m:rPr>
                    <m:t>(</m:t>
                  </m:r>
                  <m:sSub>
                    <m:e>
                      <m:r>
                        <m:t>θ</m:t>
                      </m:r>
                    </m:e>
                    <m:sub>
                      <m:r>
                        <m:t>i</m:t>
                      </m:r>
                    </m:sub>
                  </m:sSub>
                  <m:r>
                    <m:rPr>
                      <m:sty m:val="p"/>
                    </m:rPr>
                    <m:t>)</m:t>
                  </m:r>
                  <m:r>
                    <m:rPr>
                      <m:sty m:val="p"/>
                    </m:rPr>
                    <m:t>−</m:t>
                  </m:r>
                  <m:sSub>
                    <m:e>
                      <m:r>
                        <m:t>ℓ</m:t>
                      </m:r>
                    </m:e>
                    <m:sub>
                      <m:r>
                        <m:rPr>
                          <m:sty m:val="p"/>
                        </m:rPr>
                        <m:t>max</m:t>
                      </m:r>
                    </m:sub>
                  </m:sSub>
                </m:e>
              </m:d>
            </m:num>
            <m:den>
              <m:nary>
                <m:naryPr>
                  <m:chr m:val="∑"/>
                  <m:limLoc m:val="undOvr"/>
                  <m:subHide m:val="off"/>
                  <m:supHide m:val="on"/>
                </m:naryPr>
                <m:sub>
                  <m:r>
                    <m:t>j</m:t>
                  </m:r>
                </m:sub>
                <m:sup>
                  <m:r>
                    <m:t/>
                  </m:r>
                </m:sup>
                <m:e>
                  <m:r>
                    <m:rPr>
                      <m:sty m:val="p"/>
                    </m:rPr>
                    <m:t>exp</m:t>
                  </m:r>
                </m:e>
              </m:nary>
              <m:d>
                <m:dPr>
                  <m:begChr m:val="["/>
                  <m:sepChr m:val=""/>
                  <m:endChr m:val="]"/>
                  <m:grow/>
                </m:dPr>
                <m:e>
                  <m:r>
                    <m:t>ℓ</m:t>
                  </m:r>
                  <m:r>
                    <m:rPr>
                      <m:sty m:val="p"/>
                    </m:rPr>
                    <m:t>(</m:t>
                  </m:r>
                  <m:sSub>
                    <m:e>
                      <m:r>
                        <m:t>θ</m:t>
                      </m:r>
                    </m:e>
                    <m:sub>
                      <m:r>
                        <m:t>j</m:t>
                      </m:r>
                    </m:sub>
                  </m:sSub>
                  <m:r>
                    <m:rPr>
                      <m:sty m:val="p"/>
                    </m:rPr>
                    <m:t>)</m:t>
                  </m:r>
                  <m:r>
                    <m:rPr>
                      <m:sty m:val="p"/>
                    </m:rPr>
                    <m:t>−</m:t>
                  </m:r>
                  <m:sSub>
                    <m:e>
                      <m:r>
                        <m:t>ℓ</m:t>
                      </m:r>
                    </m:e>
                    <m:sub>
                      <m:r>
                        <m:rPr>
                          <m:sty m:val="p"/>
                        </m:rPr>
                        <m:t>max</m:t>
                      </m:r>
                    </m:sub>
                  </m:sSub>
                </m:e>
              </m:d>
            </m:den>
          </m:f>
          <m:r>
            <m:rPr>
              <m:sty m:val="p"/>
            </m:rPr>
            <m:t>,</m:t>
          </m:r>
        </m:oMath>
      </m:oMathPara>
    </w:p>
    <w:p>
      <w:pPr>
        <w:pStyle w:val="FirstParagraph"/>
      </w:pPr>
      <w:r>
        <w:t xml:space="preserve">from which weighted means, standard deviations, quantiles and effective sample sizes follow.</w:t>
      </w:r>
    </w:p>
    <w:bookmarkEnd w:id="25"/>
    <w:bookmarkStart w:id="26" w:name="formal-iid-gaussian-comparator"/>
    <w:p>
      <w:pPr>
        <w:pStyle w:val="Heading3"/>
      </w:pPr>
      <w:r>
        <w:t xml:space="preserve">2.3.3 Formal iid Gaussian comparator</w:t>
      </w:r>
    </w:p>
    <w:p>
      <w:pPr>
        <w:pStyle w:val="FirstParagraph"/>
      </w:pPr>
      <w:r>
        <w:t xml:space="preserve">A formal iid comparator used the same prior draws, the same observation-error standard deviation</w:t>
      </w:r>
      <w:r>
        <w:t xml:space="preserve"> </w:t>
      </w:r>
      <w:r>
        <w:t xml:space="preserve">and the same Gaussian residual model, but treated every recorded value as exact, including those</w:t>
      </w:r>
      <w:r>
        <w:t xml:space="preserve"> </w:t>
      </w:r>
      <w:r>
        <w:t xml:space="preserve">at the zero floor. It therefore differs from the primary rule only in its handling of censored</w:t>
      </w:r>
      <w:r>
        <w:t xml:space="preserve"> </w:t>
      </w:r>
      <w:r>
        <w:t xml:space="preserve">readings, and exists solely to quantify what that handling contributes; it is not a second</w:t>
      </w:r>
      <w:r>
        <w:t xml:space="preserve"> </w:t>
      </w:r>
      <w:r>
        <w:t xml:space="preserve">primary analysis.</w:t>
      </w:r>
    </w:p>
    <w:bookmarkEnd w:id="26"/>
    <w:bookmarkStart w:id="27" w:name="informal-glue-behavioural-comparator"/>
    <w:p>
      <w:pPr>
        <w:pStyle w:val="Heading3"/>
      </w:pPr>
      <w:r>
        <w:t xml:space="preserve">2.3.4 Informal GLUE behavioural comparator</w:t>
      </w:r>
    </w:p>
    <w:p>
      <w:pPr>
        <w:pStyle w:val="FirstParagraph"/>
      </w:pPr>
      <w:r>
        <w:t xml:space="preserve">The specific informal GLUE weighting used in the original analysis of this system was retained</w:t>
      </w:r>
      <w:r>
        <w:t xml:space="preserve"> </w:t>
      </w:r>
      <w:r>
        <w:t xml:space="preserve">as a comparator, so that its effect could be measured on the same observations and predictions</w:t>
      </w:r>
      <w:r>
        <w:t xml:space="preserve"> </w:t>
      </w:r>
      <w:r>
        <w:t xml:space="preserve">as the formal rules. Candidate</w:t>
      </w:r>
      <w:r>
        <w:t xml:space="preserve"> </w:t>
      </w:r>
      <m:oMath>
        <m:r>
          <m:t>i</m:t>
        </m:r>
      </m:oMath>
      <w:r>
        <w:t xml:space="preserve"> </w:t>
      </w:r>
      <w:r>
        <w:t xml:space="preserve">received weight</w:t>
      </w:r>
    </w:p>
    <w:p>
      <w:pPr>
        <w:pStyle w:val="BodyText"/>
      </w:pPr>
      <m:oMathPara>
        <m:oMathParaPr>
          <m:jc m:val="center"/>
        </m:oMathParaPr>
        <m:oMath>
          <m:sSubSup>
            <m:e>
              <m:r>
                <m:t>w</m:t>
              </m:r>
            </m:e>
            <m:sub>
              <m:r>
                <m:t>i</m:t>
              </m:r>
            </m:sub>
            <m:sup>
              <m:r>
                <m:rPr>
                  <m:sty m:val="p"/>
                </m:rPr>
                <m:t>G</m:t>
              </m:r>
              <m:r>
                <m:rPr>
                  <m:sty m:val="p"/>
                </m:rPr>
                <m:t>L</m:t>
              </m:r>
              <m:r>
                <m:rPr>
                  <m:sty m:val="p"/>
                </m:rPr>
                <m:t>U</m:t>
              </m:r>
              <m:r>
                <m:rPr>
                  <m:sty m:val="p"/>
                </m:rPr>
                <m:t>E</m:t>
              </m:r>
            </m:sup>
          </m:sSubSup>
          <m:r>
            <m:rPr>
              <m:sty m:val="p"/>
            </m:rPr>
            <m:t>∝</m:t>
          </m:r>
          <m:r>
            <m:rPr>
              <m:sty m:val="p"/>
            </m:rPr>
            <m:t>exp</m:t>
          </m:r>
          <m:d>
            <m:dPr>
              <m:begChr m:val="["/>
              <m:sepChr m:val=""/>
              <m:endChr m:val="]"/>
              <m:grow/>
            </m:dPr>
            <m:e>
              <m:r>
                <m:rPr>
                  <m:sty m:val="p"/>
                </m:rPr>
                <m:t>−</m:t>
              </m:r>
              <m:f>
                <m:fPr>
                  <m:type m:val="bar"/>
                </m:fPr>
                <m:num>
                  <m:r>
                    <m:t>1</m:t>
                  </m:r>
                </m:num>
                <m:den>
                  <m:r>
                    <m:t>2</m:t>
                  </m:r>
                </m:den>
              </m:f>
              <m:sSup>
                <m:e>
                  <m:d>
                    <m:dPr>
                      <m:begChr m:val="("/>
                      <m:sepChr m:val=""/>
                      <m:endChr m:val=")"/>
                      <m:grow/>
                    </m:dPr>
                    <m:e>
                      <m:f>
                        <m:fPr>
                          <m:type m:val="bar"/>
                        </m:fPr>
                        <m:num>
                          <m:sSub>
                            <m:e>
                              <m:r>
                                <m:rPr>
                                  <m:sty m:val="p"/>
                                </m:rPr>
                                <m:t>R</m:t>
                              </m:r>
                              <m:r>
                                <m:rPr>
                                  <m:sty m:val="p"/>
                                </m:rPr>
                                <m:t>M</m:t>
                              </m:r>
                              <m:r>
                                <m:rPr>
                                  <m:sty m:val="p"/>
                                </m:rPr>
                                <m:t>S</m:t>
                              </m:r>
                              <m:r>
                                <m:rPr>
                                  <m:sty m:val="p"/>
                                </m:rPr>
                                <m:t>E</m:t>
                              </m:r>
                            </m:e>
                            <m:sub>
                              <m:r>
                                <m:t>i</m:t>
                              </m:r>
                            </m:sub>
                          </m:sSub>
                        </m:num>
                        <m:den>
                          <m:r>
                            <m:t>σ</m:t>
                          </m:r>
                        </m:den>
                      </m:f>
                    </m:e>
                  </m:d>
                </m:e>
                <m:sup>
                  <m:r>
                    <m:t>2</m:t>
                  </m:r>
                </m:sup>
              </m:sSup>
            </m:e>
          </m:d>
          <m:r>
            <m:rPr>
              <m:sty m:val="b"/>
            </m:rPr>
            <m:t>1</m:t>
          </m:r>
          <m:d>
            <m:dPr>
              <m:begChr m:val="("/>
              <m:sepChr m:val=""/>
              <m:endChr m:val=")"/>
              <m:grow/>
            </m:dPr>
            <m:e>
              <m:sSub>
                <m:e>
                  <m:r>
                    <m:rPr>
                      <m:sty m:val="p"/>
                    </m:rPr>
                    <m:t>R</m:t>
                  </m:r>
                  <m:r>
                    <m:rPr>
                      <m:sty m:val="p"/>
                    </m:rPr>
                    <m:t>M</m:t>
                  </m:r>
                  <m:r>
                    <m:rPr>
                      <m:sty m:val="p"/>
                    </m:rPr>
                    <m:t>S</m:t>
                  </m:r>
                  <m:r>
                    <m:rPr>
                      <m:sty m:val="p"/>
                    </m:rPr>
                    <m:t>E</m:t>
                  </m:r>
                </m:e>
                <m:sub>
                  <m:r>
                    <m:t>i</m:t>
                  </m:r>
                </m:sub>
              </m:sSub>
              <m:r>
                <m:rPr>
                  <m:sty m:val="p"/>
                </m:rPr>
                <m:t>&lt;</m:t>
              </m:r>
              <m:r>
                <m:t>T</m:t>
              </m:r>
            </m:e>
          </m:d>
          <m:r>
            <m:rPr>
              <m:sty m:val="p"/>
            </m:rPr>
            <m:t>,</m:t>
          </m:r>
        </m:oMath>
      </m:oMathPara>
    </w:p>
    <w:p>
      <w:pPr>
        <w:pStyle w:val="FirstParagraph"/>
      </w:pPr>
      <w:r>
        <w:t xml:space="preserve">with</w:t>
      </w:r>
      <w:r>
        <w:t xml:space="preserve"> </w:t>
      </w:r>
      <m:oMath>
        <m:r>
          <m:t>T</m:t>
        </m:r>
      </m:oMath>
      <w:r>
        <w:t xml:space="preserve"> </w:t>
      </w:r>
      <w:r>
        <w:t xml:space="preserve">a behavioural RMSE threshold. Three thresholds were examined: 0.107, 0.110 and 0.120 mg</w:t>
      </w:r>
      <w:r>
        <w:t xml:space="preserve"> </w:t>
      </w:r>
      <w:r>
        <w:t xml:space="preserve">L</w:t>
      </w:r>
      <w:r>
        <w:rPr>
          <w:vertAlign w:val="superscript"/>
        </w:rPr>
        <w:t xml:space="preserve">-1</w:t>
      </w:r>
      <w:r>
        <w:t xml:space="preserve">. The first is the approximate one-sided 95% upper acceptance band of the RMSE objective</w:t>
      </w:r>
      <w:r>
        <w:t xml:space="preserve"> </w:t>
      </w:r>
      <w:r>
        <w:t xml:space="preserve">evaluated at the truth,</w:t>
      </w:r>
    </w:p>
    <w:p>
      <w:pPr>
        <w:pStyle w:val="BodyText"/>
      </w:pPr>
      <m:oMathPara>
        <m:oMathParaPr>
          <m:jc m:val="center"/>
        </m:oMathParaPr>
        <m:oMath>
          <m:r>
            <m:t>T</m:t>
          </m:r>
          <m:r>
            <m:rPr>
              <m:sty m:val="p"/>
            </m:rPr>
            <m:t>(</m:t>
          </m:r>
          <m:r>
            <m:t>σ</m:t>
          </m:r>
          <m:r>
            <m:rPr>
              <m:sty m:val="p"/>
            </m:rPr>
            <m:t>)</m:t>
          </m:r>
          <m:r>
            <m:rPr>
              <m:sty m:val="p"/>
            </m:rPr>
            <m:t>=</m:t>
          </m:r>
          <m:r>
            <m:t>σ</m:t>
          </m:r>
          <m:d>
            <m:dPr>
              <m:begChr m:val="("/>
              <m:sepChr m:val=""/>
              <m:endChr m:val=")"/>
              <m:grow/>
            </m:dPr>
            <m:e>
              <m:r>
                <m:t>1</m:t>
              </m:r>
              <m:r>
                <m:rPr>
                  <m:sty m:val="p"/>
                </m:rPr>
                <m:t>+</m:t>
              </m:r>
              <m:f>
                <m:fPr>
                  <m:type m:val="bar"/>
                </m:fPr>
                <m:num>
                  <m:r>
                    <m:t>z</m:t>
                  </m:r>
                </m:num>
                <m:den>
                  <m:rad>
                    <m:radPr>
                      <m:degHide m:val="on"/>
                    </m:radPr>
                    <m:deg/>
                    <m:e>
                      <m:r>
                        <m:t>2</m:t>
                      </m:r>
                      <m:r>
                        <m:t>N</m:t>
                      </m:r>
                    </m:e>
                  </m:rad>
                </m:den>
              </m:f>
            </m:e>
          </m:d>
          <m:r>
            <m:rPr>
              <m:sty m:val="p"/>
            </m:rPr>
            <m:t>,</m:t>
          </m:r>
        </m:oMath>
      </m:oMathPara>
    </w:p>
    <w:p>
      <w:pPr>
        <w:pStyle w:val="FirstParagraph"/>
      </w:pPr>
      <w:r>
        <w:t xml:space="preserve">which for</w:t>
      </w:r>
      <w:r>
        <w:t xml:space="preserve"> </w:t>
      </w:r>
      <m:oMath>
        <m:r>
          <m:t>z</m:t>
        </m:r>
        <m:r>
          <m:rPr>
            <m:sty m:val="p"/>
          </m:rPr>
          <m:t>=</m:t>
        </m:r>
        <m:r>
          <m:t>1.645</m:t>
        </m:r>
      </m:oMath>
      <w:r>
        <w:t xml:space="preserve">,</w:t>
      </w:r>
      <w:r>
        <w:t xml:space="preserve"> </w:t>
      </w:r>
      <m:oMath>
        <m:r>
          <m:t>N</m:t>
        </m:r>
        <m:r>
          <m:rPr>
            <m:sty m:val="p"/>
          </m:rPr>
          <m:t>=</m:t>
        </m:r>
        <m:r>
          <m:t>294</m:t>
        </m:r>
      </m:oMath>
      <w:r>
        <w:t xml:space="preserve"> </w:t>
      </w:r>
      <w:r>
        <w:t xml:space="preserve">and</w:t>
      </w:r>
      <w:r>
        <w:t xml:space="preserve"> </w:t>
      </w:r>
      <m:oMath>
        <m:r>
          <m:t>σ</m:t>
        </m:r>
        <m:r>
          <m:rPr>
            <m:sty m:val="p"/>
          </m:rPr>
          <m:t>=</m:t>
        </m:r>
        <m:r>
          <m:t>0.1</m:t>
        </m:r>
      </m:oMath>
      <w:r>
        <w:t xml:space="preserve"> </w:t>
      </w:r>
      <w:r>
        <w:t xml:space="preserve">mg L</w:t>
      </w:r>
      <w:r>
        <w:rPr>
          <w:vertAlign w:val="superscript"/>
        </w:rPr>
        <w:t xml:space="preserve">-1</w:t>
      </w:r>
      <w:r>
        <w:t xml:space="preserve"> </w:t>
      </w:r>
      <w:r>
        <w:t xml:space="preserve">gives 0.1068 mg L</w:t>
      </w:r>
      <w:r>
        <w:rPr>
          <w:vertAlign w:val="superscript"/>
        </w:rPr>
        <w:t xml:space="preserve">-1</w:t>
      </w:r>
      <w:r>
        <w:t xml:space="preserve">. This is a</w:t>
      </w:r>
      <w:r>
        <w:t xml:space="preserve"> </w:t>
      </w:r>
      <w:r>
        <w:t xml:space="preserve">statement about the sampling distribution of the objective at the truth, not a credible interval</w:t>
      </w:r>
      <w:r>
        <w:t xml:space="preserve"> </w:t>
      </w:r>
      <w:r>
        <w:t xml:space="preserve">for the parameters. The 0.120 mg L</w:t>
      </w:r>
      <w:r>
        <w:rPr>
          <w:vertAlign w:val="superscript"/>
        </w:rPr>
        <w:t xml:space="preserve">-1</w:t>
      </w:r>
      <w:r>
        <w:t xml:space="preserve"> </w:t>
      </w:r>
      <w:r>
        <w:t xml:space="preserve">threshold reproduces the original analysis and 0.110</w:t>
      </w:r>
      <w:r>
        <w:t xml:space="preserve"> </w:t>
      </w:r>
      <w:r>
        <w:t xml:space="preserve">provides an intermediate case. Threshold sensitivity is a property of this comparator alone;</w:t>
      </w:r>
      <w:r>
        <w:t xml:space="preserve"> </w:t>
      </w:r>
      <w:r>
        <w:t xml:space="preserve">neither formal rule uses an acceptance threshold.</w:t>
      </w:r>
    </w:p>
    <w:bookmarkEnd w:id="27"/>
    <w:bookmarkEnd w:id="28"/>
    <w:bookmarkStart w:id="34" w:name="identifiability-analysis"/>
    <w:p>
      <w:pPr>
        <w:pStyle w:val="Heading2"/>
      </w:pPr>
      <w:r>
        <w:t xml:space="preserve">2.4 Identifiability analysis</w:t>
      </w:r>
    </w:p>
    <w:bookmarkStart w:id="29" w:name="prior-contraction"/>
    <w:p>
      <w:pPr>
        <w:pStyle w:val="Heading3"/>
      </w:pPr>
      <w:r>
        <w:t xml:space="preserve">2.4.1 Prior contraction</w:t>
      </w:r>
    </w:p>
    <w:p>
      <w:pPr>
        <w:pStyle w:val="FirstParagraph"/>
      </w:pPr>
      <w:r>
        <w:t xml:space="preserve">Posterior contraction was summarised by the retained-standard-deviation ratio</w:t>
      </w:r>
      <w:r>
        <w:t xml:space="preserve"> </w:t>
      </w:r>
      <m:oMath>
        <m:sSub>
          <m:e>
            <m:r>
              <m:t>R</m:t>
            </m:r>
          </m:e>
          <m:sub>
            <m:r>
              <m:rPr>
                <m:sty m:val="p"/>
              </m:rPr>
              <m:t>S</m:t>
            </m:r>
            <m:r>
              <m:rPr>
                <m:sty m:val="p"/>
              </m:rPr>
              <m:t>D</m:t>
            </m:r>
            <m:r>
              <m:rPr>
                <m:sty m:val="p"/>
              </m:rPr>
              <m:t>,</m:t>
            </m:r>
            <m:r>
              <m:t>j</m:t>
            </m:r>
          </m:sub>
        </m:sSub>
        <m:r>
          <m:rPr>
            <m:sty m:val="p"/>
          </m:rPr>
          <m:t>=</m:t>
        </m:r>
        <m:sSub>
          <m:e>
            <m:r>
              <m:t>σ</m:t>
            </m:r>
          </m:e>
          <m:sub>
            <m:r>
              <m:rPr>
                <m:sty m:val="p"/>
              </m:rPr>
              <m:t>p</m:t>
            </m:r>
            <m:r>
              <m:rPr>
                <m:sty m:val="p"/>
              </m:rPr>
              <m:t>o</m:t>
            </m:r>
            <m:r>
              <m:rPr>
                <m:sty m:val="p"/>
              </m:rPr>
              <m:t>s</m:t>
            </m:r>
            <m:r>
              <m:rPr>
                <m:sty m:val="p"/>
              </m:rPr>
              <m:t>t</m:t>
            </m:r>
            <m:r>
              <m:rPr>
                <m:sty m:val="p"/>
              </m:rPr>
              <m:t>,</m:t>
            </m:r>
            <m:r>
              <m:t>j</m:t>
            </m:r>
          </m:sub>
        </m:sSub>
        <m:r>
          <m:rPr>
            <m:sty m:val="p"/>
          </m:rPr>
          <m:t>/</m:t>
        </m:r>
        <m:sSub>
          <m:e>
            <m:r>
              <m:t>σ</m:t>
            </m:r>
          </m:e>
          <m:sub>
            <m:r>
              <m:rPr>
                <m:sty m:val="p"/>
              </m:rPr>
              <m:t>p</m:t>
            </m:r>
            <m:r>
              <m:rPr>
                <m:sty m:val="p"/>
              </m:rPr>
              <m:t>r</m:t>
            </m:r>
            <m:r>
              <m:rPr>
                <m:sty m:val="p"/>
              </m:rPr>
              <m:t>i</m:t>
            </m:r>
            <m:r>
              <m:rPr>
                <m:sty m:val="p"/>
              </m:rPr>
              <m:t>o</m:t>
            </m:r>
            <m:r>
              <m:rPr>
                <m:sty m:val="p"/>
              </m:rPr>
              <m:t>r</m:t>
            </m:r>
            <m:r>
              <m:rPr>
                <m:sty m:val="p"/>
              </m:rPr>
              <m:t>,</m:t>
            </m:r>
            <m:r>
              <m:t>j</m:t>
            </m:r>
          </m:sub>
        </m:sSub>
      </m:oMath>
      <w:r>
        <w:t xml:space="preserve">, reported throughout as</w:t>
      </w:r>
      <w:r>
        <w:t xml:space="preserve"> </w:t>
      </w:r>
      <w:r>
        <w:rPr>
          <w:i/>
          <w:iCs/>
        </w:rPr>
        <w:t xml:space="preserve">SD retained</w:t>
      </w:r>
      <w:r>
        <w:t xml:space="preserve">. A</w:t>
      </w:r>
      <w:r>
        <w:t xml:space="preserve"> </w:t>
      </w:r>
      <w:r>
        <w:t xml:space="preserve">value near one indicates little reduction in prior dispersion; smaller values indicate stronger</w:t>
      </w:r>
      <w:r>
        <w:t xml:space="preserve"> </w:t>
      </w:r>
      <w:r>
        <w:t xml:space="preserve">contraction. Posterior means are reported alongside it because contraction and truth recovery</w:t>
      </w:r>
      <w:r>
        <w:t xml:space="preserve"> </w:t>
      </w:r>
      <w:r>
        <w:t xml:space="preserve">are distinct: a mean close to the synthetic truth is weak evidence when the prior is already</w:t>
      </w:r>
      <w:r>
        <w:t xml:space="preserve"> </w:t>
      </w:r>
      <w:r>
        <w:t xml:space="preserve">favourably placed, and a narrow posterior can still be displaced under model or observation</w:t>
      </w:r>
      <w:r>
        <w:t xml:space="preserve"> </w:t>
      </w:r>
      <w:r>
        <w:t xml:space="preserve">error. SD retention is therefore treated as a contraction diagnostic, not as a sufficient</w:t>
      </w:r>
      <w:r>
        <w:t xml:space="preserve"> </w:t>
      </w:r>
      <w:r>
        <w:t xml:space="preserve">identifiability test on its own, which is why the four further analyses below are needed.</w:t>
      </w:r>
    </w:p>
    <w:bookmarkEnd w:id="29"/>
    <w:bookmarkStart w:id="30" w:name="displaced-prior-tests"/>
    <w:p>
      <w:pPr>
        <w:pStyle w:val="Heading3"/>
      </w:pPr>
      <w:r>
        <w:t xml:space="preserve">2.4.2 Displaced-prior tests</w:t>
      </w:r>
    </w:p>
    <w:p>
      <w:pPr>
        <w:pStyle w:val="FirstParagraph"/>
      </w:pPr>
      <w:r>
        <w:t xml:space="preserve">To separate information supplied by the observations from favourable prior placement, the</w:t>
      </w:r>
      <w:r>
        <w:t xml:space="preserve"> </w:t>
      </w:r>
      <w:r>
        <w:t xml:space="preserve">calibration was repeated over 30 independent noise realisations using displaced prior boxes of</w:t>
      </w:r>
      <w:r>
        <w:t xml:space="preserve"> </w:t>
      </w:r>
      <w:r>
        <w:t xml:space="preserve">unchanged width. In the DOWN design all three prior midpoints were moved by one prior standard</w:t>
      </w:r>
      <w:r>
        <w:t xml:space="preserve"> </w:t>
      </w:r>
      <w:r>
        <w:t xml:space="preserve">deviation towards stronger decay. In the OLDUP design only the old-zone prior changed direction,</w:t>
      </w:r>
      <w:r>
        <w:t xml:space="preserve"> </w:t>
      </w:r>
      <w:r>
        <w:t xml:space="preserve">towards weaker decay, while the average and new priors kept their DOWN positions; OLDUP is</w:t>
      </w:r>
      <w:r>
        <w:t xml:space="preserve"> </w:t>
      </w:r>
      <w:r>
        <w:t xml:space="preserve">therefore a directional check for the old coefficient rather than a second like-for-like</w:t>
      </w:r>
      <w:r>
        <w:t xml:space="preserve"> </w:t>
      </w:r>
      <w:r>
        <w:t xml:space="preserve">three-parameter test. An upper cap of −0.005 m day</w:t>
      </w:r>
      <w:r>
        <w:rPr>
          <w:vertAlign w:val="superscript"/>
        </w:rPr>
        <w:t xml:space="preserve">-1</w:t>
      </w:r>
      <w:r>
        <w:t xml:space="preserve">, imposed to keep the old prior in the</w:t>
      </w:r>
      <w:r>
        <w:t xml:space="preserve"> </w:t>
      </w:r>
      <w:r>
        <w:t xml:space="preserve">non-positive decay domain, reduced its realised midpoint displacement to about 0.92 prior</w:t>
      </w:r>
      <w:r>
        <w:t xml:space="preserve"> </w:t>
      </w:r>
      <w:r>
        <w:t xml:space="preserve">standard deviations.</w:t>
      </w:r>
    </w:p>
    <w:p>
      <w:pPr>
        <w:pStyle w:val="BodyText"/>
      </w:pPr>
      <w:r>
        <w:t xml:space="preserve">Recovery was measured as the fraction of the imposed displacement closed,</w:t>
      </w:r>
    </w:p>
    <w:p>
      <w:pPr>
        <w:pStyle w:val="BodyText"/>
      </w:pPr>
      <m:oMathPara>
        <m:oMathParaPr>
          <m:jc m:val="center"/>
        </m:oMathParaPr>
        <m:oMath>
          <m:sSub>
            <m:e>
              <m:r>
                <m:t>G</m:t>
              </m:r>
            </m:e>
            <m:sub>
              <m:r>
                <m:t>j</m:t>
              </m:r>
            </m:sub>
          </m:sSub>
          <m:r>
            <m:rPr>
              <m:sty m:val="p"/>
            </m:rPr>
            <m:t>=</m:t>
          </m:r>
          <m:f>
            <m:fPr>
              <m:type m:val="bar"/>
            </m:fPr>
            <m:num>
              <m:sSub>
                <m:e>
                  <m:r>
                    <m:t>μ</m:t>
                  </m:r>
                </m:e>
                <m:sub>
                  <m:r>
                    <m:rPr>
                      <m:sty m:val="p"/>
                    </m:rPr>
                    <m:t>p</m:t>
                  </m:r>
                  <m:r>
                    <m:rPr>
                      <m:sty m:val="p"/>
                    </m:rPr>
                    <m:t>o</m:t>
                  </m:r>
                  <m:r>
                    <m:rPr>
                      <m:sty m:val="p"/>
                    </m:rPr>
                    <m:t>s</m:t>
                  </m:r>
                  <m:r>
                    <m:rPr>
                      <m:sty m:val="p"/>
                    </m:rPr>
                    <m:t>t</m:t>
                  </m:r>
                  <m:r>
                    <m:rPr>
                      <m:sty m:val="p"/>
                    </m:rPr>
                    <m:t>,</m:t>
                  </m:r>
                  <m:r>
                    <m:t>j</m:t>
                  </m:r>
                </m:sub>
              </m:sSub>
              <m:r>
                <m:rPr>
                  <m:sty m:val="p"/>
                </m:rPr>
                <m:t>−</m:t>
              </m:r>
              <m:sSub>
                <m:e>
                  <m:r>
                    <m:t>m</m:t>
                  </m:r>
                </m:e>
                <m:sub>
                  <m:r>
                    <m:rPr>
                      <m:sty m:val="p"/>
                    </m:rPr>
                    <m:t>d</m:t>
                  </m:r>
                  <m:r>
                    <m:rPr>
                      <m:sty m:val="p"/>
                    </m:rPr>
                    <m:t>i</m:t>
                  </m:r>
                  <m:r>
                    <m:rPr>
                      <m:sty m:val="p"/>
                    </m:rPr>
                    <m:t>s</m:t>
                  </m:r>
                  <m:r>
                    <m:rPr>
                      <m:sty m:val="p"/>
                    </m:rPr>
                    <m:t>p</m:t>
                  </m:r>
                  <m:r>
                    <m:rPr>
                      <m:sty m:val="p"/>
                    </m:rPr>
                    <m:t>,</m:t>
                  </m:r>
                  <m:r>
                    <m:t>j</m:t>
                  </m:r>
                </m:sub>
              </m:sSub>
            </m:num>
            <m:den>
              <m:sSub>
                <m:e>
                  <m:r>
                    <m:t>k</m:t>
                  </m:r>
                </m:e>
                <m:sub>
                  <m:r>
                    <m:rPr>
                      <m:sty m:val="p"/>
                    </m:rPr>
                    <m:t>t</m:t>
                  </m:r>
                  <m:r>
                    <m:rPr>
                      <m:sty m:val="p"/>
                    </m:rPr>
                    <m:t>r</m:t>
                  </m:r>
                  <m:r>
                    <m:rPr>
                      <m:sty m:val="p"/>
                    </m:rPr>
                    <m:t>u</m:t>
                  </m:r>
                  <m:r>
                    <m:rPr>
                      <m:sty m:val="p"/>
                    </m:rPr>
                    <m:t>e</m:t>
                  </m:r>
                  <m:r>
                    <m:rPr>
                      <m:sty m:val="p"/>
                    </m:rPr>
                    <m:t>,</m:t>
                  </m:r>
                  <m:r>
                    <m:t>j</m:t>
                  </m:r>
                </m:sub>
              </m:sSub>
              <m:r>
                <m:rPr>
                  <m:sty m:val="p"/>
                </m:rPr>
                <m:t>−</m:t>
              </m:r>
              <m:sSub>
                <m:e>
                  <m:r>
                    <m:t>m</m:t>
                  </m:r>
                </m:e>
                <m:sub>
                  <m:r>
                    <m:rPr>
                      <m:sty m:val="p"/>
                    </m:rPr>
                    <m:t>d</m:t>
                  </m:r>
                  <m:r>
                    <m:rPr>
                      <m:sty m:val="p"/>
                    </m:rPr>
                    <m:t>i</m:t>
                  </m:r>
                  <m:r>
                    <m:rPr>
                      <m:sty m:val="p"/>
                    </m:rPr>
                    <m:t>s</m:t>
                  </m:r>
                  <m:r>
                    <m:rPr>
                      <m:sty m:val="p"/>
                    </m:rPr>
                    <m:t>p</m:t>
                  </m:r>
                  <m:r>
                    <m:rPr>
                      <m:sty m:val="p"/>
                    </m:rPr>
                    <m:t>,</m:t>
                  </m:r>
                  <m:r>
                    <m:t>j</m:t>
                  </m:r>
                </m:sub>
              </m:sSub>
            </m:den>
          </m:f>
          <m:r>
            <m:rPr>
              <m:sty m:val="p"/>
            </m:rPr>
            <m:t>,</m:t>
          </m:r>
        </m:oMath>
      </m:oMathPara>
    </w:p>
    <w:p>
      <w:pPr>
        <w:pStyle w:val="FirstParagraph"/>
      </w:pPr>
      <w:r>
        <w:t xml:space="preserve">where</w:t>
      </w:r>
      <w:r>
        <w:t xml:space="preserve"> </w:t>
      </w:r>
      <m:oMath>
        <m:sSub>
          <m:e>
            <m:r>
              <m:t>m</m:t>
            </m:r>
          </m:e>
          <m:sub>
            <m:r>
              <m:rPr>
                <m:sty m:val="p"/>
              </m:rPr>
              <m:t>d</m:t>
            </m:r>
            <m:r>
              <m:rPr>
                <m:sty m:val="p"/>
              </m:rPr>
              <m:t>i</m:t>
            </m:r>
            <m:r>
              <m:rPr>
                <m:sty m:val="p"/>
              </m:rPr>
              <m:t>s</m:t>
            </m:r>
            <m:r>
              <m:rPr>
                <m:sty m:val="p"/>
              </m:rPr>
              <m:t>p</m:t>
            </m:r>
            <m:r>
              <m:rPr>
                <m:sty m:val="p"/>
              </m:rPr>
              <m:t>,</m:t>
            </m:r>
            <m:r>
              <m:t>j</m:t>
            </m:r>
          </m:sub>
        </m:sSub>
      </m:oMath>
      <w:r>
        <w:t xml:space="preserve"> </w:t>
      </w:r>
      <w:r>
        <w:t xml:space="preserve">is the displaced midpoint.</w:t>
      </w:r>
      <w:r>
        <w:t xml:space="preserve"> </w:t>
      </w:r>
      <m:oMath>
        <m:sSub>
          <m:e>
            <m:r>
              <m:t>G</m:t>
            </m:r>
          </m:e>
          <m:sub>
            <m:r>
              <m:t>j</m:t>
            </m:r>
          </m:sub>
        </m:sSub>
        <m:r>
          <m:rPr>
            <m:sty m:val="p"/>
          </m:rPr>
          <m:t>=</m:t>
        </m:r>
        <m:r>
          <m:t>0</m:t>
        </m:r>
      </m:oMath>
      <w:r>
        <w:t xml:space="preserve"> </w:t>
      </w:r>
      <w:r>
        <w:t xml:space="preserve">means the estimate stays at</w:t>
      </w:r>
      <w:r>
        <w:t xml:space="preserve"> </w:t>
      </w:r>
      <w:r>
        <w:t xml:space="preserve">that midpoint,</w:t>
      </w:r>
      <w:r>
        <w:t xml:space="preserve"> </w:t>
      </w:r>
      <m:oMath>
        <m:sSub>
          <m:e>
            <m:r>
              <m:t>G</m:t>
            </m:r>
          </m:e>
          <m:sub>
            <m:r>
              <m:t>j</m:t>
            </m:r>
          </m:sub>
        </m:sSub>
        <m:r>
          <m:rPr>
            <m:sty m:val="p"/>
          </m:rPr>
          <m:t>=</m:t>
        </m:r>
        <m:r>
          <m:t>1</m:t>
        </m:r>
      </m:oMath>
      <w:r>
        <w:t xml:space="preserve"> </w:t>
      </w:r>
      <w:r>
        <w:t xml:space="preserve">means full recovery to the truth, and values above one mean movement</w:t>
      </w:r>
      <w:r>
        <w:t xml:space="preserve"> </w:t>
      </w:r>
      <w:r>
        <w:t xml:space="preserve">beyond it.</w:t>
      </w:r>
    </w:p>
    <w:bookmarkEnd w:id="30"/>
    <w:bookmarkStart w:id="31" w:name="fisher-information-and-cramérrao-bounds"/>
    <w:p>
      <w:pPr>
        <w:pStyle w:val="Heading3"/>
      </w:pPr>
      <w:r>
        <w:t xml:space="preserve">2.4.3 Fisher information and Cramér–Rao bounds</w:t>
      </w:r>
    </w:p>
    <w:p>
      <w:pPr>
        <w:pStyle w:val="FirstParagraph"/>
      </w:pPr>
      <w:r>
        <w:t xml:space="preserve">A priori local identifiability was assessed from the sensitivity Jacobian of the 294 monitored</w:t>
      </w:r>
      <w:r>
        <w:t xml:space="preserve"> </w:t>
      </w:r>
      <w:r>
        <w:t xml:space="preserve">values with respect to the parameters. For independent homoscedastic Gaussian errors,</w:t>
      </w:r>
    </w:p>
    <w:p>
      <w:pPr>
        <w:pStyle w:val="BodyText"/>
      </w:pPr>
      <m:oMathPara>
        <m:oMathParaPr>
          <m:jc m:val="center"/>
        </m:oMathParaPr>
        <m:oMath>
          <m:r>
            <m:rPr>
              <m:sty m:val="bi"/>
            </m:rPr>
            <m:t>F</m:t>
          </m:r>
          <m:r>
            <m:rPr>
              <m:sty m:val="p"/>
            </m:rPr>
            <m:t>=</m:t>
          </m:r>
          <m:f>
            <m:fPr>
              <m:type m:val="bar"/>
            </m:fPr>
            <m:num>
              <m:r>
                <m:t>1</m:t>
              </m:r>
            </m:num>
            <m:den>
              <m:sSup>
                <m:e>
                  <m:r>
                    <m:t>σ</m:t>
                  </m:r>
                </m:e>
                <m:sup>
                  <m:r>
                    <m:t>2</m:t>
                  </m:r>
                </m:sup>
              </m:sSup>
            </m:den>
          </m:f>
          <m:sSup>
            <m:e>
              <m:r>
                <m:rPr>
                  <m:sty m:val="bi"/>
                </m:rPr>
                <m:t>J</m:t>
              </m:r>
            </m:e>
            <m:sup>
              <m:r>
                <m:rPr>
                  <m:scr m:val="sans-serif"/>
                  <m:sty m:val="p"/>
                </m:rPr>
                <m:t>T</m:t>
              </m:r>
            </m:sup>
          </m:sSup>
          <m:r>
            <m:rPr>
              <m:sty m:val="bi"/>
            </m:rPr>
            <m:t>J</m:t>
          </m:r>
          <m:r>
            <m:rPr>
              <m:sty m:val="p"/>
            </m:rPr>
            <m:t>,</m:t>
          </m:r>
          <m:sSub>
            <m:e>
              <m:r>
                <m:t>J</m:t>
              </m:r>
            </m:e>
            <m:sub>
              <m:r>
                <m:t>i</m:t>
              </m:r>
              <m:r>
                <m:t>j</m:t>
              </m:r>
            </m:sub>
          </m:sSub>
          <m:r>
            <m:rPr>
              <m:sty m:val="p"/>
            </m:rPr>
            <m:t>=</m:t>
          </m:r>
          <m:f>
            <m:fPr>
              <m:type m:val="bar"/>
            </m:fPr>
            <m:num>
              <m:r>
                <m:rPr>
                  <m:sty m:val="p"/>
                </m:rPr>
                <m:t>∂</m:t>
              </m:r>
              <m:sSub>
                <m:e>
                  <m:r>
                    <m:t>C</m:t>
                  </m:r>
                </m:e>
                <m:sub>
                  <m:r>
                    <m:t>i</m:t>
                  </m:r>
                </m:sub>
              </m:sSub>
            </m:num>
            <m:den>
              <m:r>
                <m:rPr>
                  <m:sty m:val="p"/>
                </m:rPr>
                <m:t>∂</m:t>
              </m:r>
              <m:sSub>
                <m:e>
                  <m:r>
                    <m:t>θ</m:t>
                  </m:r>
                </m:e>
                <m:sub>
                  <m:r>
                    <m:t>j</m:t>
                  </m:r>
                </m:sub>
              </m:sSub>
            </m:den>
          </m:f>
          <m:r>
            <m:rPr>
              <m:sty m:val="p"/>
            </m:rPr>
            <m:t>.</m:t>
          </m:r>
        </m:oMath>
      </m:oMathPara>
    </w:p>
    <w:p>
      <w:pPr>
        <w:pStyle w:val="FirstParagraph"/>
      </w:pPr>
      <w:r>
        <w:t xml:space="preserve">The Jacobian was evaluated at the synthetic truth using coefficient-specific central finite</w:t>
      </w:r>
      <w:r>
        <w:t xml:space="preserve"> </w:t>
      </w:r>
      <w:r>
        <w:t xml:space="preserve">differences, with the stability of the resulting bounds checked over several step sizes. This</w:t>
      </w:r>
      <w:r>
        <w:t xml:space="preserve"> </w:t>
      </w:r>
      <w:r>
        <w:t xml:space="preserve">calculation assumes independent Gaussian errors at</w:t>
      </w:r>
      <w:r>
        <w:t xml:space="preserve"> </w:t>
      </w:r>
      <m:oMath>
        <m:r>
          <m:t>σ</m:t>
        </m:r>
        <m:r>
          <m:rPr>
            <m:sty m:val="p"/>
          </m:rPr>
          <m:t>=</m:t>
        </m:r>
        <m:r>
          <m:t>0.1</m:t>
        </m:r>
      </m:oMath>
      <w:r>
        <w:t xml:space="preserve"> </w:t>
      </w:r>
      <w:r>
        <w:t xml:space="preserve">mg L</w:t>
      </w:r>
      <w:r>
        <w:rPr>
          <w:vertAlign w:val="superscript"/>
        </w:rPr>
        <w:t xml:space="preserve">-1</w:t>
      </w:r>
      <w:r>
        <w:t xml:space="preserve"> </w:t>
      </w:r>
      <w:r>
        <w:t xml:space="preserve">and does</w:t>
      </w:r>
      <w:r>
        <w:t xml:space="preserve"> </w:t>
      </w:r>
      <w:r>
        <w:rPr>
          <w:b/>
          <w:bCs/>
        </w:rPr>
        <w:t xml:space="preserve">not</w:t>
      </w:r>
      <w:r>
        <w:t xml:space="preserve"> </w:t>
      </w:r>
      <w:r>
        <w:t xml:space="preserve">include the censoring correction, so it serves as a local information benchmark rather than as a</w:t>
      </w:r>
      <w:r>
        <w:t xml:space="preserve"> </w:t>
      </w:r>
      <w:r>
        <w:t xml:space="preserve">duplicate of the primary likelihood.</w:t>
      </w:r>
    </w:p>
    <w:p>
      <w:pPr>
        <w:pStyle w:val="BodyText"/>
      </w:pPr>
      <w:r>
        <w:t xml:space="preserve">Three nested parameterisations were examined: (A) the three wall-decay coefficients alone; (B)</w:t>
      </w:r>
      <w:r>
        <w:t xml:space="preserve"> </w:t>
      </w:r>
      <w:r>
        <w:t xml:space="preserve">those plus bulk decay; and (C) those plus bulk decay and six monitor-specific offsets, each</w:t>
      </w:r>
      <w:r>
        <w:t xml:space="preserve"> </w:t>
      </w:r>
      <w:r>
        <w:t xml:space="preserve">constant across that monitor’s 49 observations. In cases B and C the nuisance parameters were</w:t>
      </w:r>
      <w:r>
        <w:t xml:space="preserve"> </w:t>
      </w:r>
      <w:r>
        <w:t xml:space="preserve">marginalised by the Schur complement,</w:t>
      </w:r>
      <w:r>
        <w:t xml:space="preserve"> </w:t>
      </w:r>
      <m:oMath>
        <m:sSub>
          <m:e>
            <m:r>
              <m:rPr>
                <m:sty m:val="bi"/>
              </m:rPr>
              <m:t>F</m:t>
            </m:r>
          </m:e>
          <m:sub>
            <m:r>
              <m:rPr>
                <m:sty m:val="p"/>
              </m:rPr>
              <m:t>m</m:t>
            </m:r>
            <m:r>
              <m:rPr>
                <m:sty m:val="p"/>
              </m:rPr>
              <m:t>a</m:t>
            </m:r>
            <m:r>
              <m:rPr>
                <m:sty m:val="p"/>
              </m:rPr>
              <m:t>r</m:t>
            </m:r>
            <m:r>
              <m:rPr>
                <m:sty m:val="p"/>
              </m:rPr>
              <m:t>g</m:t>
            </m:r>
          </m:sub>
        </m:sSub>
        <m:r>
          <m:rPr>
            <m:sty m:val="p"/>
          </m:rPr>
          <m:t>=</m:t>
        </m:r>
        <m:sSub>
          <m:e>
            <m:r>
              <m:rPr>
                <m:sty m:val="bi"/>
              </m:rPr>
              <m:t>F</m:t>
            </m:r>
          </m:e>
          <m:sub>
            <m:r>
              <m:t>p</m:t>
            </m:r>
            <m:r>
              <m:t>p</m:t>
            </m:r>
          </m:sub>
        </m:sSub>
        <m:r>
          <m:rPr>
            <m:sty m:val="p"/>
          </m:rPr>
          <m:t>−</m:t>
        </m:r>
        <m:sSub>
          <m:e>
            <m:r>
              <m:rPr>
                <m:sty m:val="bi"/>
              </m:rPr>
              <m:t>F</m:t>
            </m:r>
          </m:e>
          <m:sub>
            <m:r>
              <m:t>p</m:t>
            </m:r>
            <m:r>
              <m:t>n</m:t>
            </m:r>
          </m:sub>
        </m:sSub>
        <m:sSubSup>
          <m:e>
            <m:r>
              <m:rPr>
                <m:sty m:val="bi"/>
              </m:rPr>
              <m:t>F</m:t>
            </m:r>
          </m:e>
          <m:sub>
            <m:r>
              <m:t>n</m:t>
            </m:r>
            <m:r>
              <m:t>n</m:t>
            </m:r>
          </m:sub>
          <m:sup>
            <m:r>
              <m:rPr>
                <m:sty m:val="p"/>
              </m:rPr>
              <m:t>−</m:t>
            </m:r>
            <m:r>
              <m:t>1</m:t>
            </m:r>
          </m:sup>
        </m:sSubSup>
        <m:sSub>
          <m:e>
            <m:r>
              <m:rPr>
                <m:sty m:val="bi"/>
              </m:rPr>
              <m:t>F</m:t>
            </m:r>
          </m:e>
          <m:sub>
            <m:r>
              <m:t>n</m:t>
            </m:r>
            <m:r>
              <m:t>p</m:t>
            </m:r>
          </m:sub>
        </m:sSub>
      </m:oMath>
      <w:r>
        <w:t xml:space="preserve">, with pseudo-inversion where required.</w:t>
      </w:r>
      <w:r>
        <w:t xml:space="preserve"> </w:t>
      </w:r>
      <w:r>
        <w:t xml:space="preserve">Marginal Cramér–Rao standard deviations were normalised by the corresponding prior standard</w:t>
      </w:r>
      <w:r>
        <w:t xml:space="preserve"> </w:t>
      </w:r>
      <w:r>
        <w:t xml:space="preserve">deviation, and a ratio below one was adopted as the diagnostic criterion for local practical</w:t>
      </w:r>
      <w:r>
        <w:t xml:space="preserve"> </w:t>
      </w:r>
      <w:r>
        <w:t xml:space="preserve">identifiability. This is a study-specific benchmark relative to the chosen prior scale, not a</w:t>
      </w:r>
      <w:r>
        <w:t xml:space="preserve"> </w:t>
      </w:r>
      <w:r>
        <w:t xml:space="preserve">universal identifiability threshold.</w:t>
      </w:r>
    </w:p>
    <w:bookmarkEnd w:id="31"/>
    <w:bookmarkStart w:id="32" w:name="continuous-profile-likelihood"/>
    <w:p>
      <w:pPr>
        <w:pStyle w:val="Heading3"/>
      </w:pPr>
      <w:r>
        <w:t xml:space="preserve">2.4.4 Continuous profile likelihood</w:t>
      </w:r>
    </w:p>
    <w:p>
      <w:pPr>
        <w:pStyle w:val="FirstParagraph"/>
      </w:pPr>
      <w:r>
        <w:t xml:space="preserve">Likelihood geometry was assessed by continuous single-parameter profiles: each wall coefficient</w:t>
      </w:r>
      <w:r>
        <w:t xml:space="preserve"> </w:t>
      </w:r>
      <w:r>
        <w:t xml:space="preserve">was fixed in turn while the other two were re-optimised by Nelder–Mead within their prior</w:t>
      </w:r>
      <w:r>
        <w:t xml:space="preserve"> </w:t>
      </w:r>
      <w:r>
        <w:t xml:space="preserve">bounds, and the endpoints of the 95% interval were located by Brent bisection at</w:t>
      </w:r>
    </w:p>
    <w:p>
      <w:pPr>
        <w:pStyle w:val="BodyText"/>
      </w:pPr>
      <m:oMathPara>
        <m:oMathParaPr>
          <m:jc m:val="center"/>
        </m:oMathParaPr>
        <m:oMath>
          <m:r>
            <m:rPr>
              <m:sty m:val="p"/>
            </m:rPr>
            <m:t>Δ</m:t>
          </m:r>
          <m:r>
            <m:rPr>
              <m:sty m:val="p"/>
            </m:rPr>
            <m:t>N</m:t>
          </m:r>
          <m:r>
            <m:rPr>
              <m:sty m:val="p"/>
            </m:rPr>
            <m:t>L</m:t>
          </m:r>
          <m:r>
            <m:rPr>
              <m:sty m:val="p"/>
            </m:rPr>
            <m:t>L</m:t>
          </m:r>
          <m:r>
            <m:rPr>
              <m:sty m:val="p"/>
            </m:rPr>
            <m:t>≤</m:t>
          </m:r>
          <m:f>
            <m:fPr>
              <m:type m:val="lin"/>
            </m:fPr>
            <m:num>
              <m:r>
                <m:t>1</m:t>
              </m:r>
            </m:num>
            <m:den>
              <m:r>
                <m:t>2</m:t>
              </m:r>
            </m:den>
          </m:f>
          <m:sSubSup>
            <m:e>
              <m:r>
                <m:t>χ</m:t>
              </m:r>
            </m:e>
            <m:sub>
              <m:r>
                <m:t>1</m:t>
              </m:r>
              <m:r>
                <m:rPr>
                  <m:sty m:val="p"/>
                </m:rPr>
                <m:t>,</m:t>
              </m:r>
              <m:r>
                <m:t>0.95</m:t>
              </m:r>
            </m:sub>
            <m:sup>
              <m:r>
                <m:t>2</m:t>
              </m:r>
            </m:sup>
          </m:sSubSup>
          <m:r>
            <m:rPr>
              <m:sty m:val="p"/>
            </m:rPr>
            <m:t>≈</m:t>
          </m:r>
          <m:r>
            <m:t>1.92</m:t>
          </m:r>
          <m:r>
            <m:rPr>
              <m:sty m:val="p"/>
            </m:rPr>
            <m:t>.</m:t>
          </m:r>
        </m:oMath>
      </m:oMathPara>
    </w:p>
    <w:p>
      <w:pPr>
        <w:pStyle w:val="FirstParagraph"/>
      </w:pPr>
      <w:r>
        <w:t xml:space="preserve">Profiles were computed under the primary censored likelihood, with an iid Gaussian profile</w:t>
      </w:r>
      <w:r>
        <w:t xml:space="preserve"> </w:t>
      </w:r>
      <w:r>
        <w:t xml:space="preserve">retained as a censoring benchmark. A 21-point-per-parameter grid was kept for visualisation</w:t>
      </w:r>
      <w:r>
        <w:t xml:space="preserve"> </w:t>
      </w:r>
      <w:r>
        <w:t xml:space="preserve">only, because a discrete grid can place interval endpoints only at its nodes.</w:t>
      </w:r>
    </w:p>
    <w:bookmarkEnd w:id="32"/>
    <w:bookmarkStart w:id="33" w:name="repeated-noise-calibration"/>
    <w:p>
      <w:pPr>
        <w:pStyle w:val="Heading3"/>
      </w:pPr>
      <w:r>
        <w:t xml:space="preserve">2.4.5 Repeated-noise calibration</w:t>
      </w:r>
    </w:p>
    <w:p>
      <w:pPr>
        <w:pStyle w:val="FirstParagraph"/>
      </w:pPr>
      <w:r>
        <w:t xml:space="preserve">Repeated-sampling behaviour was assessed by recalibrating for 100 independent observation-noise</w:t>
      </w:r>
      <w:r>
        <w:t xml:space="preserve"> </w:t>
      </w:r>
      <w:r>
        <w:t xml:space="preserve">realisations. For each coefficient the analysis recorded the bias of the posterior mean, the</w:t>
      </w:r>
      <w:r>
        <w:t xml:space="preserve"> </w:t>
      </w:r>
      <w:r>
        <w:t xml:space="preserve">empirical standard deviation of that mean across realisations, its ratio to the Case-A</w:t>
      </w:r>
      <w:r>
        <w:t xml:space="preserve"> </w:t>
      </w:r>
      <w:r>
        <w:t xml:space="preserve">Cramér–Rao bound, and the mean posterior standard deviation reported</w:t>
      </w:r>
      <w:r>
        <w:t xml:space="preserve"> </w:t>
      </w:r>
      <w:r>
        <w:rPr>
          <w:i/>
          <w:iCs/>
        </w:rPr>
        <w:t xml:space="preserve">within</w:t>
      </w:r>
      <w:r>
        <w:t xml:space="preserve"> </w:t>
      </w:r>
      <w:r>
        <w:t xml:space="preserve">individual</w:t>
      </w:r>
      <w:r>
        <w:t xml:space="preserve"> </w:t>
      </w:r>
      <w:r>
        <w:t xml:space="preserve">realisations — the last of these asking whether the uncertainty a single calibration claims</w:t>
      </w:r>
      <w:r>
        <w:t xml:space="preserve"> </w:t>
      </w:r>
      <w:r>
        <w:t xml:space="preserve">matches the estimator’s actual sampling spread. Empirical coverage was evaluated for nominal 90%</w:t>
      </w:r>
      <w:r>
        <w:t xml:space="preserve"> </w:t>
      </w:r>
      <w:r>
        <w:t xml:space="preserve">and 95% weighted posterior-quantile intervals, with normal-approximation intervals as a</w:t>
      </w:r>
      <w:r>
        <w:t xml:space="preserve"> </w:t>
      </w:r>
      <w:r>
        <w:t xml:space="preserve">secondary check.</w:t>
      </w:r>
    </w:p>
    <w:p>
      <w:pPr>
        <w:pStyle w:val="BodyText"/>
      </w:pPr>
      <w:r>
        <w:t xml:space="preserve">The observation-error draws are independent, but all 100 calibrations are evaluated against the</w:t>
      </w:r>
      <w:r>
        <w:t xml:space="preserve"> </w:t>
      </w:r>
      <w:r>
        <w:t xml:space="preserve">same 8192-member Sobol prediction library, so their finite-library Monte Carlo errors are</w:t>
      </w:r>
      <w:r>
        <w:t xml:space="preserve"> </w:t>
      </w:r>
      <w:r>
        <w:t xml:space="preserve">correlated; the effective-sample-size distribution is reported as a numerical-resolution</w:t>
      </w:r>
      <w:r>
        <w:t xml:space="preserve"> </w:t>
      </w:r>
      <w:r>
        <w:t xml:space="preserve">diagnostic.</w:t>
      </w:r>
    </w:p>
    <w:bookmarkEnd w:id="33"/>
    <w:bookmarkEnd w:id="34"/>
    <w:bookmarkStart w:id="40" w:name="Xa4060916f3009b6808c6bd693808505833e030c"/>
    <w:p>
      <w:pPr>
        <w:pStyle w:val="Heading2"/>
      </w:pPr>
      <w:r>
        <w:t xml:space="preserve">2.5 Robustness to measurement and nuisance errors</w:t>
      </w:r>
    </w:p>
    <w:p>
      <w:pPr>
        <w:pStyle w:val="FirstParagraph"/>
      </w:pPr>
      <w:r>
        <w:t xml:space="preserve">Two kinds of effect are distinguished throughout, and reported on different scales.</w:t>
      </w:r>
      <w:r>
        <w:t xml:space="preserve"> </w:t>
      </w:r>
      <w:r>
        <w:rPr>
          <w:i/>
          <w:iCs/>
        </w:rPr>
        <w:t xml:space="preserve">Widening</w:t>
      </w:r>
      <w:r>
        <w:t xml:space="preserve"> </w:t>
      </w:r>
      <w:r>
        <w:t xml:space="preserve">is the loss of precision when an uncertainty source is represented in the inference;</w:t>
      </w:r>
      <w:r>
        <w:t xml:space="preserve"> </w:t>
      </w:r>
      <w:r>
        <w:rPr>
          <w:i/>
          <w:iCs/>
        </w:rPr>
        <w:t xml:space="preserve">displacement</w:t>
      </w:r>
      <w:r>
        <w:t xml:space="preserve"> </w:t>
      </w:r>
      <w:r>
        <w:t xml:space="preserve">is the movement of an estimate when a perturbation is imposed but not</w:t>
      </w:r>
      <w:r>
        <w:t xml:space="preserve"> </w:t>
      </w:r>
      <w:r>
        <w:t xml:space="preserve">represented. For coefficient</w:t>
      </w:r>
      <w:r>
        <w:t xml:space="preserve"> </w:t>
      </w:r>
      <m:oMath>
        <m:r>
          <m:t>j</m:t>
        </m:r>
      </m:oMath>
      <w:r>
        <w:t xml:space="preserve"> </w:t>
      </w:r>
      <w:r>
        <w:t xml:space="preserve">the standardised displacement is</w:t>
      </w:r>
    </w:p>
    <w:p>
      <w:pPr>
        <w:pStyle w:val="BodyText"/>
      </w:pPr>
      <m:oMathPara>
        <m:oMathParaPr>
          <m:jc m:val="center"/>
        </m:oMathParaPr>
        <m:oMath>
          <m:sSub>
            <m:e>
              <m:r>
                <m:t>Z</m:t>
              </m:r>
            </m:e>
            <m:sub>
              <m:r>
                <m:rPr>
                  <m:sty m:val="p"/>
                </m:rPr>
                <m:t>Δ</m:t>
              </m:r>
              <m:r>
                <m:rPr>
                  <m:sty m:val="p"/>
                </m:rPr>
                <m:t>,</m:t>
              </m:r>
              <m:r>
                <m:t>j</m:t>
              </m:r>
            </m:sub>
          </m:sSub>
          <m:r>
            <m:rPr>
              <m:sty m:val="p"/>
            </m:rPr>
            <m:t>=</m:t>
          </m:r>
          <m:f>
            <m:fPr>
              <m:type m:val="bar"/>
            </m:fPr>
            <m:num>
              <m:sSub>
                <m:e>
                  <m:r>
                    <m:rPr>
                      <m:sty m:val="p"/>
                    </m:rPr>
                    <m:t>median</m:t>
                  </m:r>
                </m:e>
                <m:sub>
                  <m:r>
                    <m:t>r</m:t>
                  </m:r>
                </m:sub>
              </m:sSub>
              <m:d>
                <m:dPr>
                  <m:begChr m:val="("/>
                  <m:sepChr m:val=""/>
                  <m:endChr m:val=")"/>
                  <m:grow/>
                </m:dPr>
                <m:e>
                  <m:sSubSup>
                    <m:e>
                      <m:r>
                        <m:t>μ</m:t>
                      </m:r>
                    </m:e>
                    <m:sub>
                      <m:r>
                        <m:t>j</m:t>
                      </m:r>
                      <m:r>
                        <m:rPr>
                          <m:sty m:val="p"/>
                        </m:rPr>
                        <m:t>,</m:t>
                      </m:r>
                      <m:r>
                        <m:t>r</m:t>
                      </m:r>
                    </m:sub>
                    <m:sup>
                      <m:r>
                        <m:rPr>
                          <m:sty m:val="p"/>
                        </m:rPr>
                        <m:t>p</m:t>
                      </m:r>
                      <m:r>
                        <m:rPr>
                          <m:sty m:val="p"/>
                        </m:rPr>
                        <m:t>e</m:t>
                      </m:r>
                      <m:r>
                        <m:rPr>
                          <m:sty m:val="p"/>
                        </m:rPr>
                        <m:t>r</m:t>
                      </m:r>
                      <m:r>
                        <m:rPr>
                          <m:sty m:val="p"/>
                        </m:rPr>
                        <m:t>t</m:t>
                      </m:r>
                    </m:sup>
                  </m:sSubSup>
                </m:e>
              </m:d>
              <m:r>
                <m:rPr>
                  <m:sty m:val="p"/>
                </m:rPr>
                <m:t>−</m:t>
              </m:r>
              <m:sSub>
                <m:e>
                  <m:r>
                    <m:rPr>
                      <m:sty m:val="p"/>
                    </m:rPr>
                    <m:t>median</m:t>
                  </m:r>
                </m:e>
                <m:sub>
                  <m:r>
                    <m:t>r</m:t>
                  </m:r>
                </m:sub>
              </m:sSub>
              <m:d>
                <m:dPr>
                  <m:begChr m:val="("/>
                  <m:sepChr m:val=""/>
                  <m:endChr m:val=")"/>
                  <m:grow/>
                </m:dPr>
                <m:e>
                  <m:sSubSup>
                    <m:e>
                      <m:r>
                        <m:t>μ</m:t>
                      </m:r>
                    </m:e>
                    <m:sub>
                      <m:r>
                        <m:t>j</m:t>
                      </m:r>
                      <m:r>
                        <m:rPr>
                          <m:sty m:val="p"/>
                        </m:rPr>
                        <m:t>,</m:t>
                      </m:r>
                      <m:r>
                        <m:t>r</m:t>
                      </m:r>
                    </m:sub>
                    <m:sup>
                      <m:r>
                        <m:rPr>
                          <m:sty m:val="p"/>
                        </m:rPr>
                        <m:t>r</m:t>
                      </m:r>
                      <m:r>
                        <m:rPr>
                          <m:sty m:val="p"/>
                        </m:rPr>
                        <m:t>e</m:t>
                      </m:r>
                      <m:r>
                        <m:rPr>
                          <m:sty m:val="p"/>
                        </m:rPr>
                        <m:t>f</m:t>
                      </m:r>
                    </m:sup>
                  </m:sSubSup>
                </m:e>
              </m:d>
            </m:num>
            <m:den>
              <m:sSub>
                <m:e>
                  <m:r>
                    <m:rPr>
                      <m:sty m:val="p"/>
                    </m:rPr>
                    <m:t>median</m:t>
                  </m:r>
                </m:e>
                <m:sub>
                  <m:r>
                    <m:t>r</m:t>
                  </m:r>
                </m:sub>
              </m:sSub>
              <m:d>
                <m:dPr>
                  <m:begChr m:val="("/>
                  <m:sepChr m:val=""/>
                  <m:endChr m:val=")"/>
                  <m:grow/>
                </m:dPr>
                <m:e>
                  <m:sSubSup>
                    <m:e>
                      <m:r>
                        <m:t>σ</m:t>
                      </m:r>
                    </m:e>
                    <m:sub>
                      <m:r>
                        <m:t>j</m:t>
                      </m:r>
                      <m:r>
                        <m:rPr>
                          <m:sty m:val="p"/>
                        </m:rPr>
                        <m:t>,</m:t>
                      </m:r>
                      <m:r>
                        <m:t>r</m:t>
                      </m:r>
                    </m:sub>
                    <m:sup>
                      <m:r>
                        <m:rPr>
                          <m:sty m:val="p"/>
                        </m:rPr>
                        <m:t>r</m:t>
                      </m:r>
                      <m:r>
                        <m:rPr>
                          <m:sty m:val="p"/>
                        </m:rPr>
                        <m:t>e</m:t>
                      </m:r>
                      <m:r>
                        <m:rPr>
                          <m:sty m:val="p"/>
                        </m:rPr>
                        <m:t>f</m:t>
                      </m:r>
                    </m:sup>
                  </m:sSubSup>
                </m:e>
              </m:d>
            </m:den>
          </m:f>
          <m:r>
            <m:rPr>
              <m:sty m:val="p"/>
            </m:rPr>
            <m:t>,</m:t>
          </m:r>
        </m:oMath>
      </m:oMathPara>
    </w:p>
    <w:p>
      <w:pPr>
        <w:pStyle w:val="FirstParagraph"/>
      </w:pPr>
      <w:r>
        <w:t xml:space="preserve">where the reference is the set of 30 unbiased realisations at</w:t>
      </w:r>
      <w:r>
        <w:t xml:space="preserve"> </w:t>
      </w:r>
      <m:oMath>
        <m:r>
          <m:t>σ</m:t>
        </m:r>
        <m:r>
          <m:rPr>
            <m:sty m:val="p"/>
          </m:rPr>
          <m:t>=</m:t>
        </m:r>
        <m:r>
          <m:t>0.1</m:t>
        </m:r>
      </m:oMath>
      <w:r>
        <w:t xml:space="preserve"> </w:t>
      </w:r>
      <w:r>
        <w:t xml:space="preserve">mg L</w:t>
      </w:r>
      <w:r>
        <w:rPr>
          <w:vertAlign w:val="superscript"/>
        </w:rPr>
        <w:t xml:space="preserve">-1</w:t>
      </w:r>
      <w:r>
        <w:t xml:space="preserve">. The</w:t>
      </w:r>
      <w:r>
        <w:t xml:space="preserve"> </w:t>
      </w:r>
      <w:r>
        <w:t xml:space="preserve">denominator is thus the median</w:t>
      </w:r>
      <w:r>
        <w:t xml:space="preserve"> </w:t>
      </w:r>
      <w:r>
        <w:rPr>
          <w:i/>
          <w:iCs/>
        </w:rPr>
        <w:t xml:space="preserve">within-realisation</w:t>
      </w:r>
      <w:r>
        <w:t xml:space="preserve"> </w:t>
      </w:r>
      <w:r>
        <w:t xml:space="preserve">posterior standard deviation under the</w:t>
      </w:r>
      <w:r>
        <w:t xml:space="preserve"> </w:t>
      </w:r>
      <w:r>
        <w:t xml:space="preserve">repeated unbiased baseline, not the single-realisation value of Section 3.2.</w:t>
      </w:r>
    </w:p>
    <w:bookmarkStart w:id="35" w:name="random-measurement-error"/>
    <w:p>
      <w:pPr>
        <w:pStyle w:val="Heading3"/>
      </w:pPr>
      <w:r>
        <w:t xml:space="preserve">2.5.1 Random measurement error</w:t>
      </w:r>
    </w:p>
    <w:p>
      <w:pPr>
        <w:pStyle w:val="FirstParagraph"/>
      </w:pPr>
      <w:r>
        <w:t xml:space="preserve">Sensitivity was evaluated at</w:t>
      </w:r>
      <w:r>
        <w:t xml:space="preserve"> </w:t>
      </w:r>
      <m:oMath>
        <m:r>
          <m:t>σ</m:t>
        </m:r>
        <m:r>
          <m:rPr>
            <m:sty m:val="p"/>
          </m:rPr>
          <m:t>=</m:t>
        </m:r>
        <m:r>
          <m:t>0.02</m:t>
        </m:r>
      </m:oMath>
      <w:r>
        <w:t xml:space="preserve">, 0.05, 0.10 and 0.15 mg L</w:t>
      </w:r>
      <w:r>
        <w:rPr>
          <w:vertAlign w:val="superscript"/>
        </w:rPr>
        <w:t xml:space="preserve">-1</w:t>
      </w:r>
      <w:r>
        <w:t xml:space="preserve"> </w:t>
      </w:r>
      <w:r>
        <w:t xml:space="preserve">with 30 independently</w:t>
      </w:r>
      <w:r>
        <w:t xml:space="preserve"> </w:t>
      </w:r>
      <w:r>
        <w:t xml:space="preserve">generated noise realisations at each level. The same</w:t>
      </w:r>
      <w:r>
        <w:t xml:space="preserve"> </w:t>
      </w:r>
      <m:oMath>
        <m:r>
          <m:t>σ</m:t>
        </m:r>
      </m:oMath>
      <w:r>
        <w:t xml:space="preserve"> </w:t>
      </w:r>
      <w:r>
        <w:t xml:space="preserve">was used both to generate the</w:t>
      </w:r>
      <w:r>
        <w:t xml:space="preserve"> </w:t>
      </w:r>
      <w:r>
        <w:t xml:space="preserve">observations and in the corresponding likelihood, and the informal comparator used the</w:t>
      </w:r>
      <w:r>
        <w:t xml:space="preserve"> </w:t>
      </w:r>
      <m:oMath>
        <m:r>
          <m:t>σ</m:t>
        </m:r>
      </m:oMath>
      <w:r>
        <w:t xml:space="preserve">-dependent threshold of Section 2.3.4.</w:t>
      </w:r>
    </w:p>
    <w:p>
      <w:pPr>
        <w:pStyle w:val="BodyText"/>
      </w:pPr>
      <w:r>
        <w:t xml:space="preserve">Effective sample size distinguishes inferential change from inadequate numerical resolution. A</w:t>
      </w:r>
      <w:r>
        <w:t xml:space="preserve"> </w:t>
      </w:r>
      <w:r>
        <w:t xml:space="preserve">row was flagged as sampling-limited when its median ESS fell below 100, or when any realisation</w:t>
      </w:r>
      <w:r>
        <w:t xml:space="preserve"> </w:t>
      </w:r>
      <w:r>
        <w:t xml:space="preserve">produced an empty behavioural set; contraction from such rows is not interpreted as a</w:t>
      </w:r>
      <w:r>
        <w:t xml:space="preserve"> </w:t>
      </w:r>
      <w:r>
        <w:t xml:space="preserve">quantitative estimate of the benefit of that sensor precision, because a sharper likelihood</w:t>
      </w:r>
      <w:r>
        <w:t xml:space="preserve"> </w:t>
      </w:r>
      <w:r>
        <w:t xml:space="preserve">concentrates on a library drawn for the baseline noise level.</w:t>
      </w:r>
    </w:p>
    <w:bookmarkEnd w:id="35"/>
    <w:bookmarkStart w:id="36" w:name="temporal-autocorrelation"/>
    <w:p>
      <w:pPr>
        <w:pStyle w:val="Heading3"/>
      </w:pPr>
      <w:r>
        <w:t xml:space="preserve">2.5.2 Temporal autocorrelation</w:t>
      </w:r>
    </w:p>
    <w:p>
      <w:pPr>
        <w:pStyle w:val="FirstParagraph"/>
      </w:pPr>
      <w:r>
        <w:t xml:space="preserve">Temporal dependence was treated as an assumed covariance sensitivity rather than an estimated</w:t>
      </w:r>
      <w:r>
        <w:t xml:space="preserve"> </w:t>
      </w:r>
      <w:r>
        <w:t xml:space="preserve">property, since the baseline observations are generated independently. Each monitor’s 49 hourly</w:t>
      </w:r>
      <w:r>
        <w:t xml:space="preserve"> </w:t>
      </w:r>
      <w:r>
        <w:t xml:space="preserve">residuals were assigned a first-order autoregressive covariance</w:t>
      </w:r>
      <w:r>
        <w:t xml:space="preserve"> </w:t>
      </w:r>
      <m:oMath>
        <m:sSub>
          <m:e>
            <m:r>
              <m:rPr>
                <m:sty m:val="p"/>
              </m:rPr>
              <m:t>Σ</m:t>
            </m:r>
          </m:e>
          <m:sub>
            <m:r>
              <m:t>m</m:t>
            </m:r>
          </m:sub>
        </m:sSub>
        <m:r>
          <m:rPr>
            <m:sty m:val="p"/>
          </m:rPr>
          <m:t>(</m:t>
        </m:r>
        <m:r>
          <m:t>t</m:t>
        </m:r>
        <m:r>
          <m:rPr>
            <m:sty m:val="p"/>
          </m:rPr>
          <m:t>,</m:t>
        </m:r>
        <m:r>
          <m:t>s</m:t>
        </m:r>
        <m:r>
          <m:rPr>
            <m:sty m:val="p"/>
          </m:rPr>
          <m:t>)</m:t>
        </m:r>
        <m:r>
          <m:rPr>
            <m:sty m:val="p"/>
          </m:rPr>
          <m:t>=</m:t>
        </m:r>
        <m:sSup>
          <m:e>
            <m:r>
              <m:t>σ</m:t>
            </m:r>
          </m:e>
          <m:sup>
            <m:r>
              <m:t>2</m:t>
            </m:r>
          </m:sup>
        </m:sSup>
        <m:sSup>
          <m:e>
            <m:r>
              <m:t>ρ</m:t>
            </m:r>
          </m:e>
          <m:sup>
            <m:r>
              <m:rPr>
                <m:sty m:val="p"/>
              </m:rPr>
              <m:t>|</m:t>
            </m:r>
            <m:r>
              <m:t>t</m:t>
            </m:r>
            <m:r>
              <m:rPr>
                <m:sty m:val="p"/>
              </m:rPr>
              <m:t>−</m:t>
            </m:r>
            <m:r>
              <m:t>s</m:t>
            </m:r>
            <m:r>
              <m:rPr>
                <m:sty m:val="p"/>
              </m:rPr>
              <m:t>|</m:t>
            </m:r>
          </m:sup>
        </m:sSup>
      </m:oMath>
      <w:r>
        <w:t xml:space="preserve">, with the six monitor blocks mutually independent, and the Fisher</w:t>
      </w:r>
      <w:r>
        <w:t xml:space="preserve"> </w:t>
      </w:r>
      <w:r>
        <w:t xml:space="preserve">information recomputed as</w:t>
      </w:r>
      <w:r>
        <w:t xml:space="preserve"> </w:t>
      </w:r>
      <m:oMath>
        <m:sSub>
          <m:e>
            <m:r>
              <m:rPr>
                <m:sty m:val="bi"/>
              </m:rPr>
              <m:t>F</m:t>
            </m:r>
          </m:e>
          <m:sub>
            <m:r>
              <m:rPr>
                <m:sty m:val="p"/>
              </m:rPr>
              <m:t>A</m:t>
            </m:r>
            <m:r>
              <m:rPr>
                <m:sty m:val="p"/>
              </m:rPr>
              <m:t>R</m:t>
            </m:r>
            <m:r>
              <m:rPr>
                <m:sty m:val="p"/>
              </m:rPr>
              <m:t>1</m:t>
            </m:r>
          </m:sub>
        </m:sSub>
        <m:r>
          <m:rPr>
            <m:sty m:val="p"/>
          </m:rPr>
          <m:t>=</m:t>
        </m:r>
        <m:sSup>
          <m:e>
            <m:r>
              <m:rPr>
                <m:sty m:val="bi"/>
              </m:rPr>
              <m:t>J</m:t>
            </m:r>
          </m:e>
          <m:sup>
            <m:r>
              <m:rPr>
                <m:scr m:val="sans-serif"/>
                <m:sty m:val="p"/>
              </m:rPr>
              <m:t>T</m:t>
            </m:r>
          </m:sup>
        </m:sSup>
        <m:sSup>
          <m:e>
            <m:r>
              <m:rPr>
                <m:sty m:val="b"/>
              </m:rPr>
              <m:t>Σ</m:t>
            </m:r>
          </m:e>
          <m:sup>
            <m:r>
              <m:rPr>
                <m:sty m:val="p"/>
              </m:rPr>
              <m:t>−</m:t>
            </m:r>
            <m:r>
              <m:t>1</m:t>
            </m:r>
          </m:sup>
        </m:sSup>
        <m:r>
          <m:rPr>
            <m:sty m:val="bi"/>
          </m:rPr>
          <m:t>J</m:t>
        </m:r>
      </m:oMath>
      <w:r>
        <w:t xml:space="preserve"> </w:t>
      </w:r>
      <w:r>
        <w:t xml:space="preserve">rather than by a scalar</w:t>
      </w:r>
      <w:r>
        <w:t xml:space="preserve"> </w:t>
      </w:r>
      <w:r>
        <w:t xml:space="preserve">effective-sample-size correction. The principal case used</w:t>
      </w:r>
      <w:r>
        <w:t xml:space="preserve"> </w:t>
      </w:r>
      <m:oMath>
        <m:r>
          <m:t>ρ</m:t>
        </m:r>
        <m:r>
          <m:rPr>
            <m:sty m:val="p"/>
          </m:rPr>
          <m:t>=</m:t>
        </m:r>
        <m:r>
          <m:t>0.4</m:t>
        </m:r>
      </m:oMath>
      <w:r>
        <w:t xml:space="preserve">, with a sweep over</w:t>
      </w:r>
      <w:r>
        <w:t xml:space="preserve"> </w:t>
      </w:r>
      <m:oMath>
        <m:r>
          <m:t>ρ</m:t>
        </m:r>
        <m:r>
          <m:rPr>
            <m:sty m:val="p"/>
          </m:rPr>
          <m:t>=</m:t>
        </m:r>
        <m:r>
          <m:t>0</m:t>
        </m:r>
      </m:oMath>
      <w:r>
        <w:t xml:space="preserve">, 0.2, 0.4, 0.6 and 0.8.</w:t>
      </w:r>
    </w:p>
    <w:bookmarkEnd w:id="36"/>
    <w:bookmarkStart w:id="37" w:name="sensor-bias-and-drift"/>
    <w:p>
      <w:pPr>
        <w:pStyle w:val="Heading3"/>
      </w:pPr>
      <w:r>
        <w:t xml:space="preserve">2.5.3 Sensor bias and drift</w:t>
      </w:r>
    </w:p>
    <w:p>
      <w:pPr>
        <w:pStyle w:val="FirstParagraph"/>
      </w:pPr>
      <w:r>
        <w:t xml:space="preserve">Systematic error was added to the synthetic measurement before the non-negativity floor,</w:t>
      </w:r>
      <w:r>
        <w:t xml:space="preserve"> </w:t>
      </w:r>
      <m:oMath>
        <m:sSub>
          <m:e>
            <m:r>
              <m:t>C</m:t>
            </m:r>
          </m:e>
          <m:sub>
            <m:r>
              <m:rPr>
                <m:sty m:val="p"/>
              </m:rPr>
              <m:t>o</m:t>
            </m:r>
            <m:r>
              <m:rPr>
                <m:sty m:val="p"/>
              </m:rPr>
              <m:t>b</m:t>
            </m:r>
            <m:r>
              <m:rPr>
                <m:sty m:val="p"/>
              </m:rPr>
              <m:t>s</m:t>
            </m:r>
          </m:sub>
        </m:sSub>
        <m:r>
          <m:rPr>
            <m:sty m:val="p"/>
          </m:rPr>
          <m:t>=</m:t>
        </m:r>
        <m:r>
          <m:rPr>
            <m:sty m:val="p"/>
          </m:rPr>
          <m:t>max</m:t>
        </m:r>
        <m:d>
          <m:dPr>
            <m:begChr m:val="["/>
            <m:sepChr m:val=""/>
            <m:endChr m:val="]"/>
            <m:grow/>
          </m:dPr>
          <m:e>
            <m:r>
              <m:t>0</m:t>
            </m:r>
            <m:r>
              <m:rPr>
                <m:sty m:val="p"/>
              </m:rPr>
              <m:t>,</m:t>
            </m:r>
            <m:sSub>
              <m:e>
                <m:r>
                  <m:t>C</m:t>
                </m:r>
              </m:e>
              <m:sub>
                <m:r>
                  <m:rPr>
                    <m:sty m:val="p"/>
                  </m:rPr>
                  <m:t>t</m:t>
                </m:r>
                <m:r>
                  <m:rPr>
                    <m:sty m:val="p"/>
                  </m:rPr>
                  <m:t>r</m:t>
                </m:r>
                <m:r>
                  <m:rPr>
                    <m:sty m:val="p"/>
                  </m:rPr>
                  <m:t>u</m:t>
                </m:r>
                <m:r>
                  <m:rPr>
                    <m:sty m:val="p"/>
                  </m:rPr>
                  <m:t>e</m:t>
                </m:r>
              </m:sub>
            </m:sSub>
            <m:r>
              <m:rPr>
                <m:sty m:val="p"/>
              </m:rPr>
              <m:t>+</m:t>
            </m:r>
            <m:r>
              <m:t>ϵ</m:t>
            </m:r>
            <m:r>
              <m:rPr>
                <m:sty m:val="p"/>
              </m:rPr>
              <m:t>+</m:t>
            </m:r>
            <m:r>
              <m:t>b</m:t>
            </m:r>
          </m:e>
        </m:d>
      </m:oMath>
      <w:r>
        <w:t xml:space="preserve">, so that a negative</w:t>
      </w:r>
      <w:r>
        <w:t xml:space="preserve"> </w:t>
      </w:r>
      <w:r>
        <w:t xml:space="preserve">offset pushes more readings onto the floor than a positive one of the same size. Offsets of</w:t>
      </w:r>
      <w:r>
        <w:t xml:space="preserve"> </w:t>
      </w:r>
      <w:r>
        <w:t xml:space="preserve">±0.025, ±0.05 and ±0.10 mg L</w:t>
      </w:r>
      <w:r>
        <w:rPr>
          <w:vertAlign w:val="superscript"/>
        </w:rPr>
        <w:t xml:space="preserve">-1</w:t>
      </w:r>
      <w:r>
        <w:t xml:space="preserve"> </w:t>
      </w:r>
      <w:r>
        <w:t xml:space="preserve">were first applied at old-zone monitor 15, then offsets of</w:t>
      </w:r>
      <w:r>
        <w:t xml:space="preserve"> </w:t>
      </w:r>
      <w:r>
        <w:t xml:space="preserve">−0.10, −0.05, +0.05 and +0.10 mg L</w:t>
      </w:r>
      <w:r>
        <w:rPr>
          <w:vertAlign w:val="superscript"/>
        </w:rPr>
        <w:t xml:space="preserve">-1</w:t>
      </w:r>
      <w:r>
        <w:t xml:space="preserve"> </w:t>
      </w:r>
      <w:r>
        <w:t xml:space="preserve">were applied separately at each of the six monitors,</w:t>
      </w:r>
      <w:r>
        <w:t xml:space="preserve"> </w:t>
      </w:r>
      <w:r>
        <w:t xml:space="preserve">giving 24 arms. Each used 30 noise realisations, and candidate predictions were unchanged</w:t>
      </w:r>
      <w:r>
        <w:t xml:space="preserve"> </w:t>
      </w:r>
      <w:r>
        <w:t xml:space="preserve">because only the observations are perturbed.</w:t>
      </w:r>
    </w:p>
    <w:p>
      <w:pPr>
        <w:pStyle w:val="BodyText"/>
      </w:pPr>
      <w:r>
        <w:t xml:space="preserve">Drift was examined at monitors 15 and 231 as a linear ramp</w:t>
      </w:r>
      <w:r>
        <w:t xml:space="preserve"> </w:t>
      </w:r>
      <m:oMath>
        <m:r>
          <m:t>b</m:t>
        </m:r>
        <m:r>
          <m:rPr>
            <m:sty m:val="p"/>
          </m:rPr>
          <m:t>(</m:t>
        </m:r>
        <m:r>
          <m:t>t</m:t>
        </m:r>
        <m:r>
          <m:rPr>
            <m:sty m:val="p"/>
          </m:rPr>
          <m:t>)</m:t>
        </m:r>
        <m:r>
          <m:rPr>
            <m:sty m:val="p"/>
          </m:rPr>
          <m:t>=</m:t>
        </m:r>
        <m:r>
          <m:t>D</m:t>
        </m:r>
        <m:r>
          <m:rPr>
            <m:sty m:val="p"/>
          </m:rPr>
          <m:t>(</m:t>
        </m:r>
        <m:r>
          <m:t>t</m:t>
        </m:r>
        <m:r>
          <m:rPr>
            <m:sty m:val="p"/>
          </m:rPr>
          <m:t>−</m:t>
        </m:r>
        <m:sSub>
          <m:e>
            <m:r>
              <m:t>t</m:t>
            </m:r>
          </m:e>
          <m:sub>
            <m:r>
              <m:t>0</m:t>
            </m:r>
          </m:sub>
        </m:sSub>
        <m:r>
          <m:rPr>
            <m:sty m:val="p"/>
          </m:rPr>
          <m:t>)</m:t>
        </m:r>
        <m:r>
          <m:rPr>
            <m:sty m:val="p"/>
          </m:rPr>
          <m:t>/</m:t>
        </m:r>
        <m:r>
          <m:t>48</m:t>
        </m:r>
      </m:oMath>
      <w:r>
        <w:t xml:space="preserve"> </w:t>
      </w:r>
      <w:r>
        <w:t xml:space="preserve">over the</w:t>
      </w:r>
      <w:r>
        <w:t xml:space="preserve"> </w:t>
      </w:r>
      <w:r>
        <w:t xml:space="preserve">120–168 h window, with</w:t>
      </w:r>
      <w:r>
        <w:t xml:space="preserve"> </w:t>
      </w:r>
      <m:oMath>
        <m:r>
          <m:t>D</m:t>
        </m:r>
        <m:r>
          <m:rPr>
            <m:sty m:val="p"/>
          </m:rPr>
          <m:t>=</m:t>
        </m:r>
        <m:r>
          <m:rPr>
            <m:sty m:val="p"/>
          </m:rPr>
          <m:t>±</m:t>
        </m:r>
        <m:r>
          <m:t>0.05</m:t>
        </m:r>
      </m:oMath>
      <w:r>
        <w:t xml:space="preserve"> </w:t>
      </w:r>
      <w:r>
        <w:t xml:space="preserve">and</w:t>
      </w:r>
      <w:r>
        <w:t xml:space="preserve"> </w:t>
      </w:r>
      <m:oMath>
        <m:r>
          <m:rPr>
            <m:sty m:val="p"/>
          </m:rPr>
          <m:t>±</m:t>
        </m:r>
        <m:r>
          <m:t>0.10</m:t>
        </m:r>
      </m:oMath>
      <w:r>
        <w:t xml:space="preserve"> </w:t>
      </w:r>
      <w:r>
        <w:t xml:space="preserve">mg L</w:t>
      </w:r>
      <w:r>
        <w:rPr>
          <w:vertAlign w:val="superscript"/>
        </w:rPr>
        <w:t xml:space="preserve">-1</w:t>
      </w:r>
      <w:r>
        <w:t xml:space="preserve">, so the sensor is correct at the</w:t>
      </w:r>
      <w:r>
        <w:t xml:space="preserve"> </w:t>
      </w:r>
      <w:r>
        <w:t xml:space="preserve">start and off by</w:t>
      </w:r>
      <w:r>
        <w:t xml:space="preserve"> </w:t>
      </w:r>
      <m:oMath>
        <m:r>
          <m:t>D</m:t>
        </m:r>
      </m:oMath>
      <w:r>
        <w:t xml:space="preserve"> </w:t>
      </w:r>
      <w:r>
        <w:t xml:space="preserve">at the end. Each ramp was paired, under identical noise, with two</w:t>
      </w:r>
      <w:r>
        <w:t xml:space="preserve"> </w:t>
      </w:r>
      <w:r>
        <w:t xml:space="preserve">constant-offset controls:</w:t>
      </w:r>
      <w:r>
        <w:t xml:space="preserve"> </w:t>
      </w:r>
      <m:oMath>
        <m:r>
          <m:t>b</m:t>
        </m:r>
        <m:r>
          <m:rPr>
            <m:sty m:val="p"/>
          </m:rPr>
          <m:t>=</m:t>
        </m:r>
        <m:r>
          <m:t>D</m:t>
        </m:r>
        <m:r>
          <m:rPr>
            <m:sty m:val="p"/>
          </m:rPr>
          <m:t>/</m:t>
        </m:r>
        <m:r>
          <m:t>2</m:t>
        </m:r>
      </m:oMath>
      <w:r>
        <w:t xml:space="preserve">, its mean offset, and</w:t>
      </w:r>
      <w:r>
        <w:t xml:space="preserve"> </w:t>
      </w:r>
      <m:oMath>
        <m:r>
          <m:t>b</m:t>
        </m:r>
        <m:r>
          <m:rPr>
            <m:sty m:val="p"/>
          </m:rPr>
          <m:t>=</m:t>
        </m:r>
        <m:r>
          <m:t>D</m:t>
        </m:r>
      </m:oMath>
      <w:r>
        <w:t xml:space="preserve">, its endpoint offset. This</w:t>
      </w:r>
      <w:r>
        <w:t xml:space="preserve"> </w:t>
      </w:r>
      <w:r>
        <w:t xml:space="preserve">separates the effect of the drift’s temporal shape from that of its mean magnitude.</w:t>
      </w:r>
    </w:p>
    <w:bookmarkEnd w:id="37"/>
    <w:bookmarkStart w:id="38" w:name="zero-floor-censoring"/>
    <w:p>
      <w:pPr>
        <w:pStyle w:val="Heading3"/>
      </w:pPr>
      <w:r>
        <w:t xml:space="preserve">2.5.4 Zero-floor censoring</w:t>
      </w:r>
    </w:p>
    <w:p>
      <w:pPr>
        <w:pStyle w:val="FirstParagraph"/>
      </w:pPr>
      <w:r>
        <w:t xml:space="preserve">The primary censored likelihood and the formal iid exact-zero comparator were applied to the</w:t>
      </w:r>
      <w:r>
        <w:t xml:space="preserve"> </w:t>
      </w:r>
      <w:r>
        <w:t xml:space="preserve">same synthetic observation sets over 30 noise realisations, so that only the statistical</w:t>
      </w:r>
      <w:r>
        <w:t xml:space="preserve"> </w:t>
      </w:r>
      <w:r>
        <w:t xml:space="preserve">treatment of readings recorded at zero changed while the observations and predictions stayed</w:t>
      </w:r>
      <w:r>
        <w:t xml:space="preserve"> </w:t>
      </w:r>
      <w:r>
        <w:t xml:space="preserve">identical. The number of floored readings and the resulting risk ranking were recorded alongside</w:t>
      </w:r>
      <w:r>
        <w:t xml:space="preserve"> </w:t>
      </w:r>
      <w:r>
        <w:t xml:space="preserve">the coefficient difference.</w:t>
      </w:r>
    </w:p>
    <w:bookmarkEnd w:id="38"/>
    <w:bookmarkStart w:id="39" w:name="bulk-decay-misspecification"/>
    <w:p>
      <w:pPr>
        <w:pStyle w:val="Heading3"/>
      </w:pPr>
      <w:r>
        <w:t xml:space="preserve">2.5.5 Bulk-decay misspecification</w:t>
      </w:r>
    </w:p>
    <w:p>
      <w:pPr>
        <w:pStyle w:val="FirstParagraph"/>
      </w:pPr>
      <w:r>
        <w:t xml:space="preserve">Observations were generated at the true</w:t>
      </w:r>
      <w:r>
        <w:t xml:space="preserve"> </w:t>
      </w:r>
      <m:oMath>
        <m:sSub>
          <m:e>
            <m:r>
              <m:t>k</m:t>
            </m:r>
          </m:e>
          <m:sub>
            <m:r>
              <m:t>b</m:t>
            </m:r>
          </m:sub>
        </m:sSub>
        <m:r>
          <m:rPr>
            <m:sty m:val="p"/>
          </m:rPr>
          <m:t>=</m:t>
        </m:r>
        <m:r>
          <m:rPr>
            <m:sty m:val="p"/>
          </m:rPr>
          <m:t>−</m:t>
        </m:r>
        <m:r>
          <m:t>0.5</m:t>
        </m:r>
      </m:oMath>
      <w:r>
        <w:t xml:space="preserve"> </w:t>
      </w:r>
      <w:r>
        <w:t xml:space="preserve">day</w:t>
      </w:r>
      <w:r>
        <w:rPr>
          <w:vertAlign w:val="superscript"/>
        </w:rPr>
        <w:t xml:space="preserve">-1</w:t>
      </w:r>
      <w:r>
        <w:t xml:space="preserve"> </w:t>
      </w:r>
      <w:r>
        <w:t xml:space="preserve">and the wall coefficients</w:t>
      </w:r>
      <w:r>
        <w:t xml:space="preserve"> </w:t>
      </w:r>
      <w:r>
        <w:t xml:space="preserve">recalibrated with</w:t>
      </w:r>
      <w:r>
        <w:t xml:space="preserve"> </w:t>
      </w:r>
      <m:oMath>
        <m:sSub>
          <m:e>
            <m:r>
              <m:t>k</m:t>
            </m:r>
          </m:e>
          <m:sub>
            <m:r>
              <m:t>b</m:t>
            </m:r>
          </m:sub>
        </m:sSub>
      </m:oMath>
      <w:r>
        <w:t xml:space="preserve"> </w:t>
      </w:r>
      <w:r>
        <w:t xml:space="preserve">fixed at −0.4 and −0.6 day</w:t>
      </w:r>
      <w:r>
        <w:rPr>
          <w:vertAlign w:val="superscript"/>
        </w:rPr>
        <w:t xml:space="preserve">-1</w:t>
      </w:r>
      <w:r>
        <w:t xml:space="preserve">, that is ±20% misspecification, over the</w:t>
      </w:r>
      <w:r>
        <w:t xml:space="preserve"> </w:t>
      </w:r>
      <w:r>
        <w:t xml:space="preserve">same 30 noise realisations. Besides parameter displacement, the resulting risk fields were</w:t>
      </w:r>
      <w:r>
        <w:t xml:space="preserve"> </w:t>
      </w:r>
      <w:r>
        <w:t xml:space="preserve">compared under both the duration-based</w:t>
      </w:r>
      <w:r>
        <w:t xml:space="preserve"> </w:t>
      </w:r>
      <m:oMath>
        <m:acc>
          <m:accPr>
            <m:chr m:val="‾"/>
          </m:accPr>
          <m:e>
            <m:r>
              <m:t>P</m:t>
            </m:r>
          </m:e>
        </m:acc>
        <m:r>
          <m:rPr>
            <m:sty m:val="p"/>
          </m:rPr>
          <m:t>=</m:t>
        </m:r>
        <m:r>
          <m:t>E</m:t>
        </m:r>
        <m:r>
          <m:rPr>
            <m:sty m:val="p"/>
          </m:rPr>
          <m:t>[</m:t>
        </m:r>
        <m:r>
          <m:t>D</m:t>
        </m:r>
        <m:r>
          <m:rPr>
            <m:sty m:val="p"/>
          </m:rPr>
          <m:t>]</m:t>
        </m:r>
        <m:r>
          <m:rPr>
            <m:sty m:val="p"/>
          </m:rPr>
          <m:t>/</m:t>
        </m:r>
        <m:r>
          <m:t>48</m:t>
        </m:r>
      </m:oMath>
      <w:r>
        <w:t xml:space="preserve"> </w:t>
      </w:r>
      <w:r>
        <w:t xml:space="preserve">and the cumulative-deficit</w:t>
      </w:r>
      <w:r>
        <w:t xml:space="preserve"> </w:t>
      </w:r>
      <m:oMath>
        <m:r>
          <m:t>E</m:t>
        </m:r>
        <m:r>
          <m:rPr>
            <m:sty m:val="p"/>
          </m:rPr>
          <m:t>[</m:t>
        </m:r>
        <m:r>
          <m:t>A</m:t>
        </m:r>
        <m:r>
          <m:rPr>
            <m:sty m:val="p"/>
          </m:rPr>
          <m:t>]</m:t>
        </m:r>
      </m:oMath>
      <w:r>
        <w:t xml:space="preserve"> </w:t>
      </w:r>
      <w:r>
        <w:t xml:space="preserve">rankings defined in Section 2.8.1.</w:t>
      </w:r>
    </w:p>
    <w:bookmarkEnd w:id="39"/>
    <w:bookmarkEnd w:id="40"/>
    <w:bookmarkStart w:id="44" w:name="structural-heterogeneity-experiments"/>
    <w:p>
      <w:pPr>
        <w:pStyle w:val="Heading2"/>
      </w:pPr>
      <w:r>
        <w:t xml:space="preserve">2.6 Structural heterogeneity experiments</w:t>
      </w:r>
    </w:p>
    <w:p>
      <w:pPr>
        <w:pStyle w:val="FirstParagraph"/>
      </w:pPr>
      <w:r>
        <w:t xml:space="preserve">Headline structural effects use the primary censored likelihood; the length-structured</w:t>
      </w:r>
      <w:r>
        <w:t xml:space="preserve"> </w:t>
      </w:r>
      <w:r>
        <w:t xml:space="preserve">experiment was additionally run with the informal GLUE comparator, to test whether the inference</w:t>
      </w:r>
      <w:r>
        <w:t xml:space="preserve"> </w:t>
      </w:r>
      <w:r>
        <w:t xml:space="preserve">formulation alters the apparent response to structural misspecification.</w:t>
      </w:r>
    </w:p>
    <w:bookmarkStart w:id="41" w:name="symmetric-within-zone-heterogeneity"/>
    <w:p>
      <w:pPr>
        <w:pStyle w:val="Heading3"/>
      </w:pPr>
      <w:r>
        <w:t xml:space="preserve">2.6.1 Symmetric within-zone heterogeneity</w:t>
      </w:r>
    </w:p>
    <w:p>
      <w:pPr>
        <w:pStyle w:val="FirstParagraph"/>
      </w:pPr>
      <w:r>
        <w:t xml:space="preserve">Unstructured heterogeneity was generated as</w:t>
      </w:r>
      <w:r>
        <w:t xml:space="preserve"> </w:t>
      </w:r>
      <m:oMath>
        <m:sSub>
          <m:e>
            <m:r>
              <m:t>k</m:t>
            </m:r>
          </m:e>
          <m:sub>
            <m:r>
              <m:t>w</m:t>
            </m:r>
            <m:r>
              <m:rPr>
                <m:sty m:val="p"/>
              </m:rPr>
              <m:t>,</m:t>
            </m:r>
            <m:r>
              <m:t>p</m:t>
            </m:r>
          </m:sub>
        </m:sSub>
        <m:r>
          <m:rPr>
            <m:sty m:val="p"/>
          </m:rPr>
          <m:t>=</m:t>
        </m:r>
        <m:sSub>
          <m:e>
            <m:acc>
              <m:accPr>
                <m:chr m:val="‾"/>
              </m:accPr>
              <m:e>
                <m:r>
                  <m:t>k</m:t>
                </m:r>
              </m:e>
            </m:acc>
          </m:e>
          <m:sub>
            <m:r>
              <m:t>w</m:t>
            </m:r>
            <m:r>
              <m:rPr>
                <m:sty m:val="p"/>
              </m:rPr>
              <m:t>,</m:t>
            </m:r>
            <m:r>
              <m:t>z</m:t>
            </m:r>
          </m:sub>
        </m:sSub>
        <m:r>
          <m:rPr>
            <m:sty m:val="p"/>
          </m:rPr>
          <m:t>(</m:t>
        </m:r>
        <m:r>
          <m:t>1</m:t>
        </m:r>
        <m:r>
          <m:rPr>
            <m:sty m:val="p"/>
          </m:rPr>
          <m:t>+</m:t>
        </m:r>
        <m:sSub>
          <m:e>
            <m:r>
              <m:t>δ</m:t>
            </m:r>
          </m:e>
          <m:sub>
            <m:r>
              <m:t>p</m:t>
            </m:r>
          </m:sub>
        </m:sSub>
        <m:r>
          <m:rPr>
            <m:sty m:val="p"/>
          </m:rPr>
          <m:t>)</m:t>
        </m:r>
      </m:oMath>
      <w:r>
        <w:t xml:space="preserve"> </w:t>
      </w:r>
      <w:r>
        <w:t xml:space="preserve">with</w:t>
      </w:r>
      <w:r>
        <w:t xml:space="preserve"> </w:t>
      </w:r>
      <m:oMath>
        <m:sSub>
          <m:e>
            <m:r>
              <m:t>δ</m:t>
            </m:r>
          </m:e>
          <m:sub>
            <m:r>
              <m:t>p</m:t>
            </m:r>
          </m:sub>
        </m:sSub>
        <m:r>
          <m:rPr>
            <m:sty m:val="p"/>
          </m:rPr>
          <m:t>∼</m:t>
        </m:r>
        <m:r>
          <m:t>U</m:t>
        </m:r>
        <m:r>
          <m:rPr>
            <m:sty m:val="p"/>
          </m:rPr>
          <m:t>(</m:t>
        </m:r>
        <m:r>
          <m:rPr>
            <m:sty m:val="p"/>
          </m:rPr>
          <m:t>−</m:t>
        </m:r>
        <m:r>
          <m:t>J</m:t>
        </m:r>
        <m:r>
          <m:rPr>
            <m:sty m:val="p"/>
          </m:rPr>
          <m:t>,</m:t>
        </m:r>
        <m:r>
          <m:t>J</m:t>
        </m:r>
        <m:r>
          <m:rPr>
            <m:sty m:val="p"/>
          </m:rPr>
          <m:t>)</m:t>
        </m:r>
      </m:oMath>
      <w:r>
        <w:t xml:space="preserve"> </w:t>
      </w:r>
      <w:r>
        <w:t xml:space="preserve">and</w:t>
      </w:r>
      <w:r>
        <w:t xml:space="preserve"> </w:t>
      </w:r>
      <m:oMath>
        <m:r>
          <m:t>J</m:t>
        </m:r>
        <m:r>
          <m:rPr>
            <m:sty m:val="p"/>
          </m:rPr>
          <m:t>=</m:t>
        </m:r>
        <m:r>
          <m:t>0</m:t>
        </m:r>
      </m:oMath>
      <w:r>
        <w:t xml:space="preserve">, 0.20, 0.35 or 0.50. The perturbation distribution is symmetric about</w:t>
      </w:r>
      <w:r>
        <w:t xml:space="preserve"> </w:t>
      </w:r>
      <w:r>
        <w:t xml:space="preserve">the nominal zone coefficient, but a finite random field need not have exactly zero sample mean,</w:t>
      </w:r>
      <w:r>
        <w:t xml:space="preserve"> </w:t>
      </w:r>
      <w:r>
        <w:t xml:space="preserve">so coefficient error is evaluated against each realised field’s own arithmetic zone mean rather</w:t>
      </w:r>
      <w:r>
        <w:t xml:space="preserve"> </w:t>
      </w:r>
      <w:r>
        <w:t xml:space="preserve">than the nominal value.</w:t>
      </w:r>
    </w:p>
    <w:p>
      <w:pPr>
        <w:pStyle w:val="BodyText"/>
      </w:pPr>
      <w:r>
        <w:t xml:space="preserve">The zero-jitter arm is a homogeneous paired control. The same underlying random variates and the</w:t>
      </w:r>
      <w:r>
        <w:t xml:space="preserve"> </w:t>
      </w:r>
      <w:r>
        <w:t xml:space="preserve">same noise realisation were reused across the magnitude sweep, so differences between arms</w:t>
      </w:r>
      <w:r>
        <w:t xml:space="preserve"> </w:t>
      </w:r>
      <w:r>
        <w:t xml:space="preserve">reflect heterogeneity magnitude rather than a different spatial arrangement or noise draw.</w:t>
      </w:r>
      <w:r>
        <w:t xml:space="preserve"> </w:t>
      </w:r>
      <w:r>
        <w:t xml:space="preserve">Because one spatial realisation cannot establish a systematic effect, the</w:t>
      </w:r>
      <w:r>
        <w:t xml:space="preserve"> </w:t>
      </w:r>
      <m:oMath>
        <m:r>
          <m:t>J</m:t>
        </m:r>
        <m:r>
          <m:rPr>
            <m:sty m:val="p"/>
          </m:rPr>
          <m:t>=</m:t>
        </m:r>
        <m:r>
          <m:t>0.20</m:t>
        </m:r>
      </m:oMath>
      <w:r>
        <w:t xml:space="preserve"> </w:t>
      </w:r>
      <w:r>
        <w:t xml:space="preserve">case was</w:t>
      </w:r>
      <w:r>
        <w:t xml:space="preserve"> </w:t>
      </w:r>
      <w:r>
        <w:t xml:space="preserve">repeated over 25 independently generated pipe-level fields with the noise realisation held</w:t>
      </w:r>
      <w:r>
        <w:t xml:space="preserve"> </w:t>
      </w:r>
      <w:r>
        <w:t xml:space="preserve">fixed, so that the resulting between-field scatter isolates sensitivity to the arrangement</w:t>
      </w:r>
      <w:r>
        <w:t xml:space="preserve"> </w:t>
      </w:r>
      <w:r>
        <w:t xml:space="preserve">itself.</w:t>
      </w:r>
    </w:p>
    <w:bookmarkEnd w:id="41"/>
    <w:bookmarkStart w:id="42" w:name="Xc770ed18be51e4d709ad6e0d514ce9a99225075"/>
    <w:p>
      <w:pPr>
        <w:pStyle w:val="Heading3"/>
      </w:pPr>
      <w:r>
        <w:t xml:space="preserve">2.6.2 Length-structured within-zone heterogeneity</w:t>
      </w:r>
    </w:p>
    <w:p>
      <w:pPr>
        <w:pStyle w:val="FirstParagraph"/>
      </w:pPr>
      <w:r>
        <w:t xml:space="preserve">The second experiment introduced deterministic structure while keeping the same three zones.</w:t>
      </w:r>
      <w:r>
        <w:t xml:space="preserve"> </w:t>
      </w:r>
      <w:r>
        <w:t xml:space="preserve">Within each zone, pipes were ranked by length and given a centred rank score</w:t>
      </w:r>
      <w:r>
        <w:t xml:space="preserve"> </w:t>
      </w:r>
      <m:oMath>
        <m:sSub>
          <m:e>
            <m:r>
              <m:t>s</m:t>
            </m:r>
          </m:e>
          <m:sub>
            <m:r>
              <m:t>p</m:t>
            </m:r>
          </m:sub>
        </m:sSub>
        <m:r>
          <m:rPr>
            <m:sty m:val="p"/>
          </m:rPr>
          <m:t>∈</m:t>
        </m:r>
        <m:r>
          <m:rPr>
            <m:sty m:val="p"/>
          </m:rPr>
          <m:t>[</m:t>
        </m:r>
        <m:r>
          <m:rPr>
            <m:sty m:val="p"/>
          </m:rPr>
          <m:t>−</m:t>
        </m:r>
        <m:r>
          <m:t>1</m:t>
        </m:r>
        <m:r>
          <m:rPr>
            <m:sty m:val="p"/>
          </m:rPr>
          <m:t>,</m:t>
        </m:r>
        <m:r>
          <m:t>1</m:t>
        </m:r>
        <m:r>
          <m:rPr>
            <m:sty m:val="p"/>
          </m:rPr>
          <m:t>]</m:t>
        </m:r>
      </m:oMath>
      <w:r>
        <w:t xml:space="preserve"> </w:t>
      </w:r>
      <w:r>
        <w:t xml:space="preserve">rising from the shortest to the longest pipe and having zero mean, and the pipe coefficient was</w:t>
      </w:r>
      <w:r>
        <w:t xml:space="preserve"> </w:t>
      </w:r>
      <w:r>
        <w:t xml:space="preserve">set to</w:t>
      </w:r>
    </w:p>
    <w:p>
      <w:pPr>
        <w:pStyle w:val="BodyText"/>
      </w:pPr>
      <m:oMathPara>
        <m:oMathParaPr>
          <m:jc m:val="center"/>
        </m:oMathParaPr>
        <m:oMath>
          <m:sSub>
            <m:e>
              <m:r>
                <m:t>k</m:t>
              </m:r>
            </m:e>
            <m:sub>
              <m:r>
                <m:t>w</m:t>
              </m:r>
              <m:r>
                <m:rPr>
                  <m:sty m:val="p"/>
                </m:rPr>
                <m:t>,</m:t>
              </m:r>
              <m:r>
                <m:t>p</m:t>
              </m:r>
            </m:sub>
          </m:sSub>
          <m:r>
            <m:rPr>
              <m:sty m:val="p"/>
            </m:rPr>
            <m:t>=</m:t>
          </m:r>
          <m:sSub>
            <m:e>
              <m:acc>
                <m:accPr>
                  <m:chr m:val="‾"/>
                </m:accPr>
                <m:e>
                  <m:r>
                    <m:t>k</m:t>
                  </m:r>
                </m:e>
              </m:acc>
            </m:e>
            <m:sub>
              <m:r>
                <m:t>w</m:t>
              </m:r>
              <m:r>
                <m:rPr>
                  <m:sty m:val="p"/>
                </m:rPr>
                <m:t>,</m:t>
              </m:r>
              <m:r>
                <m:t>z</m:t>
              </m:r>
            </m:sub>
          </m:sSub>
          <m:d>
            <m:dPr>
              <m:begChr m:val="("/>
              <m:sepChr m:val=""/>
              <m:endChr m:val=")"/>
              <m:grow/>
            </m:dPr>
            <m:e>
              <m:r>
                <m:t>1</m:t>
              </m:r>
              <m:r>
                <m:rPr>
                  <m:sty m:val="p"/>
                </m:rPr>
                <m:t>+</m:t>
              </m:r>
              <m:r>
                <m:t>λ</m:t>
              </m:r>
              <m:sSub>
                <m:e>
                  <m:r>
                    <m:t>s</m:t>
                  </m:r>
                </m:e>
                <m:sub>
                  <m:r>
                    <m:t>p</m:t>
                  </m:r>
                </m:sub>
              </m:sSub>
            </m:e>
          </m:d>
          <m:r>
            <m:rPr>
              <m:sty m:val="p"/>
            </m:rPr>
            <m:t>.</m:t>
          </m:r>
        </m:oMath>
      </m:oMathPara>
    </w:p>
    <w:p>
      <w:pPr>
        <w:pStyle w:val="FirstParagraph"/>
      </w:pPr>
      <w:r>
        <w:t xml:space="preserve">Since</w:t>
      </w:r>
      <w:r>
        <w:t xml:space="preserve"> </w:t>
      </w:r>
      <m:oMath>
        <m:sSub>
          <m:e>
            <m:acc>
              <m:accPr>
                <m:chr m:val="‾"/>
              </m:accPr>
              <m:e>
                <m:r>
                  <m:t>k</m:t>
                </m:r>
              </m:e>
            </m:acc>
          </m:e>
          <m:sub>
            <m:r>
              <m:t>w</m:t>
            </m:r>
            <m:r>
              <m:rPr>
                <m:sty m:val="p"/>
              </m:rPr>
              <m:t>,</m:t>
            </m:r>
            <m:r>
              <m:t>z</m:t>
            </m:r>
          </m:sub>
        </m:sSub>
        <m:r>
          <m:rPr>
            <m:sty m:val="p"/>
          </m:rPr>
          <m:t>&lt;</m:t>
        </m:r>
        <m:r>
          <m:t>0</m:t>
        </m:r>
      </m:oMath>
      <w:r>
        <w:t xml:space="preserve">, a larger</w:t>
      </w:r>
      <w:r>
        <w:t xml:space="preserve"> </w:t>
      </w:r>
      <m:oMath>
        <m:sSub>
          <m:e>
            <m:r>
              <m:t>s</m:t>
            </m:r>
          </m:e>
          <m:sub>
            <m:r>
              <m:t>p</m:t>
            </m:r>
          </m:sub>
        </m:sSub>
      </m:oMath>
      <w:r>
        <w:t xml:space="preserve"> </w:t>
      </w:r>
      <w:r>
        <w:t xml:space="preserve">makes the coefficient more negative, so longer pipes</w:t>
      </w:r>
      <w:r>
        <w:t xml:space="preserve"> </w:t>
      </w:r>
      <w:r>
        <w:t xml:space="preserve">decay more strongly. The zero mean of</w:t>
      </w:r>
      <w:r>
        <w:t xml:space="preserve"> </w:t>
      </w:r>
      <m:oMath>
        <m:sSub>
          <m:e>
            <m:r>
              <m:t>s</m:t>
            </m:r>
          </m:e>
          <m:sub>
            <m:r>
              <m:t>p</m:t>
            </m:r>
          </m:sub>
        </m:sSub>
      </m:oMath>
      <w:r>
        <w:t xml:space="preserve"> </w:t>
      </w:r>
      <w:r>
        <w:t xml:space="preserve">holds each zone’s arithmetic coefficient exactly at</w:t>
      </w:r>
      <w:r>
        <w:t xml:space="preserve"> </w:t>
      </w:r>
      <m:oMath>
        <m:sSub>
          <m:e>
            <m:acc>
              <m:accPr>
                <m:chr m:val="‾"/>
              </m:accPr>
              <m:e>
                <m:r>
                  <m:t>k</m:t>
                </m:r>
              </m:e>
            </m:acc>
          </m:e>
          <m:sub>
            <m:r>
              <m:t>w</m:t>
            </m:r>
            <m:r>
              <m:rPr>
                <m:sty m:val="p"/>
              </m:rPr>
              <m:t>,</m:t>
            </m:r>
            <m:r>
              <m:t>z</m:t>
            </m:r>
          </m:sub>
        </m:sSub>
      </m:oMath>
      <w:r>
        <w:t xml:space="preserve"> </w:t>
      </w:r>
      <w:r>
        <w:t xml:space="preserve">while its length-weighted mean shifts towards stronger decay, which is what</w:t>
      </w:r>
      <w:r>
        <w:t xml:space="preserve"> </w:t>
      </w:r>
      <w:r>
        <w:t xml:space="preserve">makes the two candidate targets distinguishable.</w:t>
      </w:r>
    </w:p>
    <w:p>
      <w:pPr>
        <w:pStyle w:val="BodyText"/>
      </w:pPr>
      <w:r>
        <w:t xml:space="preserve">The length-structure amplitude was varied over</w:t>
      </w:r>
      <w:r>
        <w:t xml:space="preserve"> </w:t>
      </w:r>
      <m:oMath>
        <m:r>
          <m:t>λ</m:t>
        </m:r>
        <m:r>
          <m:rPr>
            <m:sty m:val="p"/>
          </m:rPr>
          <m:t>=</m:t>
        </m:r>
        <m:r>
          <m:t>0</m:t>
        </m:r>
      </m:oMath>
      <w:r>
        <w:t xml:space="preserve">, 0.25, 0.50 and 0.75.</w:t>
      </w:r>
      <w:r>
        <w:t xml:space="preserve"> </w:t>
      </w:r>
      <m:oMath>
        <m:r>
          <m:t>λ</m:t>
        </m:r>
      </m:oMath>
      <w:r>
        <w:rPr>
          <w:b/>
          <w:bCs/>
        </w:rPr>
        <w:t xml:space="preserve"> </w:t>
      </w:r>
      <w:r>
        <w:rPr>
          <w:b/>
          <w:bCs/>
        </w:rPr>
        <w:t xml:space="preserve">is a modulation amplitude, not a Pearson or Spearman correlation coefficient</w:t>
      </w:r>
      <w:r>
        <w:t xml:space="preserve">: the length</w:t>
      </w:r>
      <w:r>
        <w:t xml:space="preserve"> </w:t>
      </w:r>
      <w:r>
        <w:t xml:space="preserve">ranking and the coefficient ranking are perfectly monotone for any</w:t>
      </w:r>
      <w:r>
        <w:t xml:space="preserve"> </w:t>
      </w:r>
      <m:oMath>
        <m:r>
          <m:t>λ</m:t>
        </m:r>
        <m:r>
          <m:rPr>
            <m:sty m:val="p"/>
          </m:rPr>
          <m:t>&gt;</m:t>
        </m:r>
        <m:r>
          <m:t>0</m:t>
        </m:r>
      </m:oMath>
      <w:r>
        <w:t xml:space="preserve">, and</w:t>
      </w:r>
      <w:r>
        <w:t xml:space="preserve"> </w:t>
      </w:r>
      <m:oMath>
        <m:r>
          <m:t>λ</m:t>
        </m:r>
      </m:oMath>
      <w:r>
        <w:t xml:space="preserve"> </w:t>
      </w:r>
      <w:r>
        <w:t xml:space="preserve">sets only how far the coefficients spread about the zone mean. At</w:t>
      </w:r>
      <w:r>
        <w:t xml:space="preserve"> </w:t>
      </w:r>
      <m:oMath>
        <m:r>
          <m:t>λ</m:t>
        </m:r>
        <m:r>
          <m:rPr>
            <m:sty m:val="p"/>
          </m:rPr>
          <m:t>=</m:t>
        </m:r>
        <m:r>
          <m:t>0</m:t>
        </m:r>
      </m:oMath>
      <w:r>
        <w:t xml:space="preserve"> </w:t>
      </w:r>
      <w:r>
        <w:t xml:space="preserve">the truth is</w:t>
      </w:r>
      <w:r>
        <w:t xml:space="preserve"> </w:t>
      </w:r>
      <w:r>
        <w:t xml:space="preserve">homogeneous and the two target means coincide. Each non-zero amplitude used 30 independent noise</w:t>
      </w:r>
      <w:r>
        <w:t xml:space="preserve"> </w:t>
      </w:r>
      <w:r>
        <w:t xml:space="preserve">realisations. Only the truth is heterogeneous; calibration retains the three-zone homogeneous</w:t>
      </w:r>
      <w:r>
        <w:t xml:space="preserve"> </w:t>
      </w:r>
      <w:r>
        <w:t xml:space="preserve">model with one fitted coefficient per zone.</w:t>
      </w:r>
    </w:p>
    <w:bookmarkEnd w:id="42"/>
    <w:bookmarkStart w:id="43" w:name="structural-effect-metrics"/>
    <w:p>
      <w:pPr>
        <w:pStyle w:val="Heading3"/>
      </w:pPr>
      <w:r>
        <w:t xml:space="preserve">2.6.3 Structural-effect metrics</w:t>
      </w:r>
    </w:p>
    <w:p>
      <w:pPr>
        <w:pStyle w:val="FirstParagraph"/>
      </w:pPr>
      <w:r>
        <w:t xml:space="preserve">Four quantities are reported because they answer different questions. The raw bias of the fitted</w:t>
      </w:r>
      <w:r>
        <w:t xml:space="preserve"> </w:t>
      </w:r>
      <w:r>
        <w:t xml:space="preserve">coefficient is</w:t>
      </w:r>
      <w:r>
        <w:t xml:space="preserve"> </w:t>
      </w:r>
      <m:oMath>
        <m:r>
          <m:rPr>
            <m:sty m:val="p"/>
          </m:rPr>
          <m:t>Δ</m:t>
        </m:r>
        <m:sSub>
          <m:e>
            <m:r>
              <m:t>k</m:t>
            </m:r>
          </m:e>
          <m:sub>
            <m:r>
              <m:rPr>
                <m:sty m:val="p"/>
              </m:rPr>
              <m:t>r</m:t>
            </m:r>
            <m:r>
              <m:rPr>
                <m:sty m:val="p"/>
              </m:rPr>
              <m:t>a</m:t>
            </m:r>
            <m:r>
              <m:rPr>
                <m:sty m:val="p"/>
              </m:rPr>
              <m:t>w</m:t>
            </m:r>
          </m:sub>
        </m:sSub>
        <m:r>
          <m:rPr>
            <m:sty m:val="p"/>
          </m:rPr>
          <m:t>=</m:t>
        </m:r>
        <m:acc>
          <m:accPr>
            <m:chr m:val="̂"/>
          </m:accPr>
          <m:e>
            <m:r>
              <m:t>k</m:t>
            </m:r>
          </m:e>
        </m:acc>
        <m:r>
          <m:rPr>
            <m:sty m:val="p"/>
          </m:rPr>
          <m:t>−</m:t>
        </m:r>
        <m:sSub>
          <m:e>
            <m:r>
              <m:t>k</m:t>
            </m:r>
          </m:e>
          <m:sub>
            <m:r>
              <m:rPr>
                <m:sty m:val="p"/>
              </m:rPr>
              <m:t>a</m:t>
            </m:r>
            <m:r>
              <m:rPr>
                <m:sty m:val="p"/>
              </m:rPr>
              <m:t>r</m:t>
            </m:r>
            <m:r>
              <m:rPr>
                <m:sty m:val="p"/>
              </m:rPr>
              <m:t>i</m:t>
            </m:r>
            <m:r>
              <m:rPr>
                <m:sty m:val="p"/>
              </m:rPr>
              <m:t>t</m:t>
            </m:r>
            <m:r>
              <m:rPr>
                <m:sty m:val="p"/>
              </m:rPr>
              <m:t>h</m:t>
            </m:r>
          </m:sub>
        </m:sSub>
      </m:oMath>
      <w:r>
        <w:t xml:space="preserve">, where</w:t>
      </w:r>
      <w:r>
        <w:t xml:space="preserve"> </w:t>
      </w:r>
      <m:oMath>
        <m:acc>
          <m:accPr>
            <m:chr m:val="̂"/>
          </m:accPr>
          <m:e>
            <m:r>
              <m:t>k</m:t>
            </m:r>
          </m:e>
        </m:acc>
      </m:oMath>
      <w:r>
        <w:t xml:space="preserve"> </w:t>
      </w:r>
      <w:r>
        <w:t xml:space="preserve">is the</w:t>
      </w:r>
      <w:r>
        <w:t xml:space="preserve"> </w:t>
      </w:r>
      <w:r>
        <w:t xml:space="preserve">likelihood-weighted posterior mean and</w:t>
      </w:r>
      <w:r>
        <w:t xml:space="preserve"> </w:t>
      </w:r>
      <m:oMath>
        <m:sSub>
          <m:e>
            <m:r>
              <m:t>k</m:t>
            </m:r>
          </m:e>
          <m:sub>
            <m:r>
              <m:rPr>
                <m:sty m:val="p"/>
              </m:rPr>
              <m:t>a</m:t>
            </m:r>
            <m:r>
              <m:rPr>
                <m:sty m:val="p"/>
              </m:rPr>
              <m:t>r</m:t>
            </m:r>
            <m:r>
              <m:rPr>
                <m:sty m:val="p"/>
              </m:rPr>
              <m:t>i</m:t>
            </m:r>
            <m:r>
              <m:rPr>
                <m:sty m:val="p"/>
              </m:rPr>
              <m:t>t</m:t>
            </m:r>
            <m:r>
              <m:rPr>
                <m:sty m:val="p"/>
              </m:rPr>
              <m:t>h</m:t>
            </m:r>
          </m:sub>
        </m:sSub>
      </m:oMath>
      <w:r>
        <w:t xml:space="preserve"> </w:t>
      </w:r>
      <w:r>
        <w:t xml:space="preserve">the arithmetic mean of the</w:t>
      </w:r>
      <w:r>
        <w:t xml:space="preserve"> </w:t>
      </w:r>
      <w:r>
        <w:t xml:space="preserve">heterogeneous truth. For paired experiments the structural contribution is isolated by</w:t>
      </w:r>
      <w:r>
        <w:t xml:space="preserve"> </w:t>
      </w:r>
      <w:r>
        <w:t xml:space="preserve">subtracting the offset the same rule produces on a homogeneous truth under the same noise</w:t>
      </w:r>
      <w:r>
        <w:t xml:space="preserve"> </w:t>
      </w:r>
      <w:r>
        <w:t xml:space="preserve">realisation,</w:t>
      </w:r>
      <w:r>
        <w:t xml:space="preserve"> </w:t>
      </w:r>
      <m:oMath>
        <m:r>
          <m:rPr>
            <m:sty m:val="p"/>
          </m:rPr>
          <m:t>Δ</m:t>
        </m:r>
        <m:sSub>
          <m:e>
            <m:r>
              <m:t>k</m:t>
            </m:r>
          </m:e>
          <m:sub>
            <m:r>
              <m:rPr>
                <m:sty m:val="p"/>
              </m:rPr>
              <m:t>s</m:t>
            </m:r>
            <m:r>
              <m:rPr>
                <m:sty m:val="p"/>
              </m:rPr>
              <m:t>t</m:t>
            </m:r>
            <m:r>
              <m:rPr>
                <m:sty m:val="p"/>
              </m:rPr>
              <m:t>r</m:t>
            </m:r>
            <m:r>
              <m:rPr>
                <m:sty m:val="p"/>
              </m:rPr>
              <m:t>u</m:t>
            </m:r>
            <m:r>
              <m:rPr>
                <m:sty m:val="p"/>
              </m:rPr>
              <m:t>c</m:t>
            </m:r>
            <m:r>
              <m:rPr>
                <m:sty m:val="p"/>
              </m:rPr>
              <m:t>t</m:t>
            </m:r>
          </m:sub>
        </m:sSub>
        <m:r>
          <m:rPr>
            <m:sty m:val="p"/>
          </m:rPr>
          <m:t>=</m:t>
        </m:r>
        <m:r>
          <m:rPr>
            <m:sty m:val="p"/>
          </m:rPr>
          <m:t>Δ</m:t>
        </m:r>
        <m:sSub>
          <m:e>
            <m:r>
              <m:t>k</m:t>
            </m:r>
          </m:e>
          <m:sub>
            <m:r>
              <m:rPr>
                <m:sty m:val="p"/>
              </m:rPr>
              <m:t>r</m:t>
            </m:r>
            <m:r>
              <m:rPr>
                <m:sty m:val="p"/>
              </m:rPr>
              <m:t>a</m:t>
            </m:r>
            <m:r>
              <m:rPr>
                <m:sty m:val="p"/>
              </m:rPr>
              <m:t>w</m:t>
            </m:r>
          </m:sub>
        </m:sSub>
        <m:r>
          <m:rPr>
            <m:sty m:val="p"/>
          </m:rPr>
          <m:t>−</m:t>
        </m:r>
        <m:r>
          <m:rPr>
            <m:sty m:val="p"/>
          </m:rPr>
          <m:t>Δ</m:t>
        </m:r>
        <m:sSub>
          <m:e>
            <m:r>
              <m:t>k</m:t>
            </m:r>
          </m:e>
          <m:sub>
            <m:r>
              <m:rPr>
                <m:sty m:val="p"/>
              </m:rPr>
              <m:t>h</m:t>
            </m:r>
            <m:r>
              <m:rPr>
                <m:sty m:val="p"/>
              </m:rPr>
              <m:t>o</m:t>
            </m:r>
            <m:r>
              <m:rPr>
                <m:sty m:val="p"/>
              </m:rPr>
              <m:t>m</m:t>
            </m:r>
          </m:sub>
        </m:sSub>
      </m:oMath>
      <w:r>
        <w:t xml:space="preserve">.</w:t>
      </w:r>
      <w:r>
        <w:t xml:space="preserve"> </w:t>
      </w:r>
      <w:r>
        <w:t xml:space="preserve">That paired shift is placed on the scale of Section 2.5,</w:t>
      </w:r>
    </w:p>
    <w:p>
      <w:pPr>
        <w:pStyle w:val="BodyText"/>
      </w:pPr>
      <m:oMathPara>
        <m:oMathParaPr>
          <m:jc m:val="center"/>
        </m:oMathParaPr>
        <m:oMath>
          <m:sSub>
            <m:e>
              <m:r>
                <m:t>Z</m:t>
              </m:r>
            </m:e>
            <m:sub>
              <m:r>
                <m:t>j</m:t>
              </m:r>
            </m:sub>
          </m:sSub>
          <m:r>
            <m:rPr>
              <m:sty m:val="p"/>
            </m:rPr>
            <m:t>=</m:t>
          </m:r>
          <m:f>
            <m:fPr>
              <m:type m:val="bar"/>
            </m:fPr>
            <m:num>
              <m:r>
                <m:rPr>
                  <m:sty m:val="p"/>
                </m:rPr>
                <m:t>Δ</m:t>
              </m:r>
              <m:sSub>
                <m:e>
                  <m:r>
                    <m:t>k</m:t>
                  </m:r>
                </m:e>
                <m:sub>
                  <m:r>
                    <m:rPr>
                      <m:sty m:val="p"/>
                    </m:rPr>
                    <m:t>s</m:t>
                  </m:r>
                  <m:r>
                    <m:rPr>
                      <m:sty m:val="p"/>
                    </m:rPr>
                    <m:t>t</m:t>
                  </m:r>
                  <m:r>
                    <m:rPr>
                      <m:sty m:val="p"/>
                    </m:rPr>
                    <m:t>r</m:t>
                  </m:r>
                  <m:r>
                    <m:rPr>
                      <m:sty m:val="p"/>
                    </m:rPr>
                    <m:t>u</m:t>
                  </m:r>
                  <m:r>
                    <m:rPr>
                      <m:sty m:val="p"/>
                    </m:rPr>
                    <m:t>c</m:t>
                  </m:r>
                  <m:r>
                    <m:rPr>
                      <m:sty m:val="p"/>
                    </m:rPr>
                    <m:t>t</m:t>
                  </m:r>
                  <m:r>
                    <m:rPr>
                      <m:sty m:val="p"/>
                    </m:rPr>
                    <m:t>,</m:t>
                  </m:r>
                  <m:r>
                    <m:t>j</m:t>
                  </m:r>
                </m:sub>
              </m:sSub>
            </m:num>
            <m:den>
              <m:sSubSup>
                <m:e>
                  <m:acc>
                    <m:accPr>
                      <m:chr m:val="̃"/>
                    </m:accPr>
                    <m:e>
                      <m:r>
                        <m:t>σ</m:t>
                      </m:r>
                    </m:e>
                  </m:acc>
                </m:e>
                <m:sub>
                  <m:r>
                    <m:rPr>
                      <m:sty m:val="p"/>
                    </m:rPr>
                    <m:t>p</m:t>
                  </m:r>
                  <m:r>
                    <m:rPr>
                      <m:sty m:val="p"/>
                    </m:rPr>
                    <m:t>o</m:t>
                  </m:r>
                  <m:r>
                    <m:rPr>
                      <m:sty m:val="p"/>
                    </m:rPr>
                    <m:t>s</m:t>
                  </m:r>
                  <m:r>
                    <m:rPr>
                      <m:sty m:val="p"/>
                    </m:rPr>
                    <m:t>t</m:t>
                  </m:r>
                  <m:r>
                    <m:rPr>
                      <m:sty m:val="p"/>
                    </m:rPr>
                    <m:t>,</m:t>
                  </m:r>
                  <m:r>
                    <m:t>j</m:t>
                  </m:r>
                </m:sub>
                <m:sup>
                  <m:r>
                    <m:rPr>
                      <m:sty m:val="p"/>
                    </m:rPr>
                    <m:t>r</m:t>
                  </m:r>
                  <m:r>
                    <m:rPr>
                      <m:sty m:val="p"/>
                    </m:rPr>
                    <m:t>e</m:t>
                  </m:r>
                  <m:r>
                    <m:rPr>
                      <m:sty m:val="p"/>
                    </m:rPr>
                    <m:t>f</m:t>
                  </m:r>
                </m:sup>
              </m:sSubSup>
            </m:den>
          </m:f>
          <m:r>
            <m:rPr>
              <m:sty m:val="p"/>
            </m:rPr>
            <m:t>,</m:t>
          </m:r>
        </m:oMath>
      </m:oMathPara>
    </w:p>
    <w:p>
      <w:pPr>
        <w:pStyle w:val="FirstParagraph"/>
      </w:pPr>
      <w:r>
        <w:t xml:space="preserve">with the same repeated-baseline denominator, not the structured run’s own posterior standard</w:t>
      </w:r>
      <w:r>
        <w:t xml:space="preserve"> </w:t>
      </w:r>
      <w:r>
        <w:t xml:space="preserve">deviation.</w:t>
      </w:r>
    </w:p>
    <w:p>
      <w:pPr>
        <w:pStyle w:val="BodyText"/>
      </w:pPr>
      <w:r>
        <w:t xml:space="preserve">For the 30-realisation amplitude sweep, the position of the fit between the two candidate</w:t>
      </w:r>
      <w:r>
        <w:t xml:space="preserve"> </w:t>
      </w:r>
      <w:r>
        <w:t xml:space="preserve">targets is described by</w:t>
      </w:r>
    </w:p>
    <w:p>
      <w:pPr>
        <w:pStyle w:val="BodyText"/>
      </w:pPr>
      <m:oMathPara>
        <m:oMathParaPr>
          <m:jc m:val="center"/>
        </m:oMathParaPr>
        <m:oMath>
          <m:sSub>
            <m:e>
              <m:r>
                <m:t>f</m:t>
              </m:r>
            </m:e>
            <m:sub>
              <m:r>
                <m:t>j</m:t>
              </m:r>
            </m:sub>
          </m:sSub>
          <m:r>
            <m:rPr>
              <m:sty m:val="p"/>
            </m:rPr>
            <m:t>=</m:t>
          </m:r>
          <m:f>
            <m:fPr>
              <m:type m:val="bar"/>
            </m:fPr>
            <m:num>
              <m:sSub>
                <m:e>
                  <m:acc>
                    <m:accPr>
                      <m:chr m:val="̂"/>
                    </m:accPr>
                    <m:e>
                      <m:r>
                        <m:t>k</m:t>
                      </m:r>
                    </m:e>
                  </m:acc>
                </m:e>
                <m:sub>
                  <m:r>
                    <m:t>j</m:t>
                  </m:r>
                </m:sub>
              </m:sSub>
              <m:r>
                <m:rPr>
                  <m:sty m:val="p"/>
                </m:rPr>
                <m:t>−</m:t>
              </m:r>
              <m:sSub>
                <m:e>
                  <m:r>
                    <m:t>k</m:t>
                  </m:r>
                </m:e>
                <m:sub>
                  <m:r>
                    <m:rPr>
                      <m:sty m:val="p"/>
                    </m:rPr>
                    <m:t>a</m:t>
                  </m:r>
                  <m:r>
                    <m:rPr>
                      <m:sty m:val="p"/>
                    </m:rPr>
                    <m:t>r</m:t>
                  </m:r>
                  <m:r>
                    <m:rPr>
                      <m:sty m:val="p"/>
                    </m:rPr>
                    <m:t>i</m:t>
                  </m:r>
                  <m:r>
                    <m:rPr>
                      <m:sty m:val="p"/>
                    </m:rPr>
                    <m:t>t</m:t>
                  </m:r>
                  <m:r>
                    <m:rPr>
                      <m:sty m:val="p"/>
                    </m:rPr>
                    <m:t>h</m:t>
                  </m:r>
                  <m:r>
                    <m:rPr>
                      <m:sty m:val="p"/>
                    </m:rPr>
                    <m:t>,</m:t>
                  </m:r>
                  <m:r>
                    <m:t>j</m:t>
                  </m:r>
                </m:sub>
              </m:sSub>
            </m:num>
            <m:den>
              <m:sSub>
                <m:e>
                  <m:r>
                    <m:t>k</m:t>
                  </m:r>
                </m:e>
                <m:sub>
                  <m:r>
                    <m:rPr>
                      <m:sty m:val="p"/>
                    </m:rPr>
                    <m:t>l</m:t>
                  </m:r>
                  <m:r>
                    <m:rPr>
                      <m:sty m:val="p"/>
                    </m:rPr>
                    <m:t>e</m:t>
                  </m:r>
                  <m:r>
                    <m:rPr>
                      <m:sty m:val="p"/>
                    </m:rPr>
                    <m:t>n</m:t>
                  </m:r>
                  <m:r>
                    <m:rPr>
                      <m:sty m:val="p"/>
                    </m:rPr>
                    <m:t>g</m:t>
                  </m:r>
                  <m:r>
                    <m:rPr>
                      <m:sty m:val="p"/>
                    </m:rPr>
                    <m:t>t</m:t>
                  </m:r>
                  <m:r>
                    <m:rPr>
                      <m:sty m:val="p"/>
                    </m:rPr>
                    <m:t>h</m:t>
                  </m:r>
                  <m:r>
                    <m:rPr>
                      <m:sty m:val="p"/>
                    </m:rPr>
                    <m:t>,</m:t>
                  </m:r>
                  <m:r>
                    <m:t>j</m:t>
                  </m:r>
                </m:sub>
              </m:sSub>
              <m:r>
                <m:rPr>
                  <m:sty m:val="p"/>
                </m:rPr>
                <m:t>−</m:t>
              </m:r>
              <m:sSub>
                <m:e>
                  <m:r>
                    <m:t>k</m:t>
                  </m:r>
                </m:e>
                <m:sub>
                  <m:r>
                    <m:rPr>
                      <m:sty m:val="p"/>
                    </m:rPr>
                    <m:t>a</m:t>
                  </m:r>
                  <m:r>
                    <m:rPr>
                      <m:sty m:val="p"/>
                    </m:rPr>
                    <m:t>r</m:t>
                  </m:r>
                  <m:r>
                    <m:rPr>
                      <m:sty m:val="p"/>
                    </m:rPr>
                    <m:t>i</m:t>
                  </m:r>
                  <m:r>
                    <m:rPr>
                      <m:sty m:val="p"/>
                    </m:rPr>
                    <m:t>t</m:t>
                  </m:r>
                  <m:r>
                    <m:rPr>
                      <m:sty m:val="p"/>
                    </m:rPr>
                    <m:t>h</m:t>
                  </m:r>
                  <m:r>
                    <m:rPr>
                      <m:sty m:val="p"/>
                    </m:rPr>
                    <m:t>,</m:t>
                  </m:r>
                  <m:r>
                    <m:t>j</m:t>
                  </m:r>
                </m:sub>
              </m:sSub>
            </m:den>
          </m:f>
          <m:r>
            <m:rPr>
              <m:sty m:val="p"/>
            </m:rPr>
            <m:t>,</m:t>
          </m:r>
        </m:oMath>
      </m:oMathPara>
    </w:p>
    <w:p>
      <w:pPr>
        <w:pStyle w:val="FirstParagraph"/>
      </w:pPr>
      <w:r>
        <w:t xml:space="preserve">so</w:t>
      </w:r>
      <w:r>
        <w:t xml:space="preserve"> </w:t>
      </w:r>
      <m:oMath>
        <m:r>
          <m:t>f</m:t>
        </m:r>
        <m:r>
          <m:rPr>
            <m:sty m:val="p"/>
          </m:rPr>
          <m:t>=</m:t>
        </m:r>
        <m:r>
          <m:t>0</m:t>
        </m:r>
      </m:oMath>
      <w:r>
        <w:t xml:space="preserve"> </w:t>
      </w:r>
      <w:r>
        <w:t xml:space="preserve">is the arithmetic mean and</w:t>
      </w:r>
      <w:r>
        <w:t xml:space="preserve"> </w:t>
      </w:r>
      <m:oMath>
        <m:r>
          <m:t>f</m:t>
        </m:r>
        <m:r>
          <m:rPr>
            <m:sty m:val="p"/>
          </m:rPr>
          <m:t>=</m:t>
        </m:r>
        <m:r>
          <m:t>1</m:t>
        </m:r>
      </m:oMath>
      <w:r>
        <w:t xml:space="preserve"> </w:t>
      </w:r>
      <w:r>
        <w:t xml:space="preserve">the length-weighted reference. Unlike</w:t>
      </w:r>
      <w:r>
        <w:t xml:space="preserve"> </w:t>
      </w:r>
      <m:oMath>
        <m:r>
          <m:t>Z</m:t>
        </m:r>
      </m:oMath>
      <w:r>
        <w:t xml:space="preserve">, this</w:t>
      </w:r>
      <w:r>
        <w:t xml:space="preserve"> </w:t>
      </w:r>
      <w:r>
        <w:t xml:space="preserve">fraction is</w:t>
      </w:r>
      <w:r>
        <w:t xml:space="preserve"> </w:t>
      </w:r>
      <w:r>
        <w:rPr>
          <w:b/>
          <w:bCs/>
        </w:rPr>
        <w:t xml:space="preserve">raw rather than control-adjusted</w:t>
      </w:r>
      <w:r>
        <w:t xml:space="preserve">, and is summarised by its median and 5–95%</w:t>
      </w:r>
      <w:r>
        <w:t xml:space="preserve"> </w:t>
      </w:r>
      <w:r>
        <w:t xml:space="preserve">range across realisations. At</w:t>
      </w:r>
      <w:r>
        <w:t xml:space="preserve"> </w:t>
      </w:r>
      <m:oMath>
        <m:r>
          <m:t>λ</m:t>
        </m:r>
        <m:r>
          <m:rPr>
            <m:sty m:val="p"/>
          </m:rPr>
          <m:t>=</m:t>
        </m:r>
        <m:r>
          <m:t>0</m:t>
        </m:r>
      </m:oMath>
      <w:r>
        <w:t xml:space="preserve"> </w:t>
      </w:r>
      <w:r>
        <w:t xml:space="preserve">the two means coincide and</w:t>
      </w:r>
      <w:r>
        <w:t xml:space="preserve"> </w:t>
      </w:r>
      <m:oMath>
        <m:r>
          <m:t>f</m:t>
        </m:r>
      </m:oMath>
      <w:r>
        <w:t xml:space="preserve"> </w:t>
      </w:r>
      <w:r>
        <w:t xml:space="preserve">is undefined, so that</w:t>
      </w:r>
      <w:r>
        <w:t xml:space="preserve"> </w:t>
      </w:r>
      <w:r>
        <w:t xml:space="preserve">arm serves only as the control. Throughout, the length-weighted value is an illustrative</w:t>
      </w:r>
      <w:r>
        <w:t xml:space="preserve"> </w:t>
      </w:r>
      <w:r>
        <w:t xml:space="preserve">directional comparator, not the estimand of the homogeneous calibration, a common endpoint, or a</w:t>
      </w:r>
      <w:r>
        <w:t xml:space="preserve"> </w:t>
      </w:r>
      <w:r>
        <w:t xml:space="preserve">physical bound.</w:t>
      </w:r>
    </w:p>
    <w:bookmarkEnd w:id="43"/>
    <w:bookmarkEnd w:id="44"/>
    <w:bookmarkStart w:id="45" w:name="prediction-validation"/>
    <w:p>
      <w:pPr>
        <w:pStyle w:val="Heading2"/>
      </w:pPr>
      <w:r>
        <w:t xml:space="preserve">2.7 Prediction validation</w:t>
      </w:r>
    </w:p>
    <w:p>
      <w:pPr>
        <w:pStyle w:val="FirstParagraph"/>
      </w:pPr>
      <w:r>
        <w:t xml:space="preserve">Four complementary validation designs were used to separate predictive performance from</w:t>
      </w:r>
      <w:r>
        <w:t xml:space="preserve"> </w:t>
      </w:r>
      <w:r>
        <w:t xml:space="preserve">parameter identification. Leave-one-monitor-out withheld each of the six monitors in turn while</w:t>
      </w:r>
      <w:r>
        <w:t xml:space="preserve"> </w:t>
      </w:r>
      <w:r>
        <w:t xml:space="preserve">retaining the second monitor of that zone; leave-one-zone-out withheld both monitors of a zone,</w:t>
      </w:r>
      <w:r>
        <w:t xml:space="preserve"> </w:t>
      </w:r>
      <w:r>
        <w:t xml:space="preserve">removing all direct observation of it. Both were repeated over 30 independent noise</w:t>
      </w:r>
      <w:r>
        <w:t xml:space="preserve"> </w:t>
      </w:r>
      <w:r>
        <w:t xml:space="preserve">realisations.</w:t>
      </w:r>
    </w:p>
    <w:p>
      <w:pPr>
        <w:pStyle w:val="BodyText"/>
      </w:pPr>
      <w:r>
        <w:t xml:space="preserve">The two designs predict a</w:t>
      </w:r>
      <w:r>
        <w:t xml:space="preserve"> </w:t>
      </w:r>
      <w:r>
        <w:rPr>
          <w:i/>
          <w:iCs/>
        </w:rPr>
        <w:t xml:space="preserve">noisy</w:t>
      </w:r>
      <w:r>
        <w:t xml:space="preserve"> </w:t>
      </w:r>
      <w:r>
        <w:t xml:space="preserve">held-out observation, so their 90% predictive intervals</w:t>
      </w:r>
      <w:r>
        <w:t xml:space="preserve"> </w:t>
      </w:r>
      <w:r>
        <w:t xml:space="preserve">combine ensemble and observation variance,</w:t>
      </w:r>
      <w:r>
        <w:t xml:space="preserve"> </w:t>
      </w:r>
      <m:oMath>
        <m:acc>
          <m:accPr>
            <m:chr m:val="̂"/>
          </m:accPr>
          <m:e>
            <m:r>
              <m:t>C</m:t>
            </m:r>
          </m:e>
        </m:acc>
        <m:r>
          <m:rPr>
            <m:sty m:val="p"/>
          </m:rPr>
          <m:t>±</m:t>
        </m:r>
        <m:r>
          <m:t>1.645</m:t>
        </m:r>
        <m:rad>
          <m:radPr>
            <m:degHide m:val="on"/>
          </m:radPr>
          <m:deg/>
          <m:e>
            <m:sSub>
              <m:e>
                <m:r>
                  <m:rPr>
                    <m:sty m:val="p"/>
                  </m:rPr>
                  <m:t>Var</m:t>
                </m:r>
              </m:e>
              <m:sub>
                <m:r>
                  <m:t>w</m:t>
                </m:r>
              </m:sub>
            </m:sSub>
            <m:r>
              <m:rPr>
                <m:sty m:val="p"/>
              </m:rPr>
              <m:t>[</m:t>
            </m:r>
            <m:r>
              <m:t>C</m:t>
            </m:r>
            <m:r>
              <m:rPr>
                <m:sty m:val="p"/>
              </m:rPr>
              <m:t>]</m:t>
            </m:r>
            <m:r>
              <m:rPr>
                <m:sty m:val="p"/>
              </m:rPr>
              <m:t>+</m:t>
            </m:r>
            <m:sSup>
              <m:e>
                <m:r>
                  <m:t>σ</m:t>
                </m:r>
              </m:e>
              <m:sup>
                <m:r>
                  <m:t>2</m:t>
                </m:r>
              </m:sup>
            </m:sSup>
          </m:e>
        </m:rad>
      </m:oMath>
      <w:r>
        <w:t xml:space="preserve">. They report held-out RMSE and</w:t>
      </w:r>
      <w:r>
        <w:t xml:space="preserve"> </w:t>
      </w:r>
      <w:r>
        <w:t xml:space="preserve">empirical coverage; leave-one-zone-out additionally reports the withheld zone’s coefficient</w:t>
      </w:r>
      <w:r>
        <w:t xml:space="preserve"> </w:t>
      </w:r>
      <w:r>
        <w:t xml:space="preserve">error and SD retained.</w:t>
      </w:r>
    </w:p>
    <w:p>
      <w:pPr>
        <w:pStyle w:val="BodyText"/>
      </w:pPr>
      <w:r>
        <w:t xml:space="preserve">A separate spatial validation calibrated on all six monitors and predicted at 20 junctions that</w:t>
      </w:r>
      <w:r>
        <w:t xml:space="preserve"> </w:t>
      </w:r>
      <w:r>
        <w:t xml:space="preserve">never entered any calibration, scored against the</w:t>
      </w:r>
      <w:r>
        <w:t xml:space="preserve"> </w:t>
      </w:r>
      <w:r>
        <w:rPr>
          <w:i/>
          <w:iCs/>
        </w:rPr>
        <w:t xml:space="preserve">noise-free</w:t>
      </w:r>
      <w:r>
        <w:t xml:space="preserve"> </w:t>
      </w:r>
      <w:r>
        <w:t xml:space="preserve">truth — so its bands carry</w:t>
      </w:r>
      <w:r>
        <w:t xml:space="preserve"> </w:t>
      </w:r>
      <w:r>
        <w:t xml:space="preserve">ensemble parameter uncertainty only, without the</w:t>
      </w:r>
      <w:r>
        <w:t xml:space="preserve"> </w:t>
      </w:r>
      <m:oMath>
        <m:sSup>
          <m:e>
            <m:r>
              <m:t>σ</m:t>
            </m:r>
          </m:e>
          <m:sup>
            <m:r>
              <m:t>2</m:t>
            </m:r>
          </m:sup>
        </m:sSup>
      </m:oMath>
      <w:r>
        <w:t xml:space="preserve"> </w:t>
      </w:r>
      <w:r>
        <w:t xml:space="preserve">term — and summarised by mean</w:t>
      </w:r>
      <w:r>
        <w:t xml:space="preserve"> </w:t>
      </w:r>
      <w:r>
        <w:t xml:space="preserve">absolute relative error and coverage. Finally, leave-one-zone-out was repeated under ±20%</w:t>
      </w:r>
      <w:r>
        <w:t xml:space="preserve"> </w:t>
      </w:r>
      <w:r>
        <w:t xml:space="preserve">within-zone heterogeneity across eight independently generated fields, each with its own noise</w:t>
      </w:r>
      <w:r>
        <w:t xml:space="preserve"> </w:t>
      </w:r>
      <w:r>
        <w:t xml:space="preserve">draw, with coefficient error measured against that field’s own arithmetic zone mean.</w:t>
      </w:r>
    </w:p>
    <w:bookmarkEnd w:id="45"/>
    <w:bookmarkStart w:id="50" w:name="operational-risk-assessment"/>
    <w:p>
      <w:pPr>
        <w:pStyle w:val="Heading2"/>
      </w:pPr>
      <w:r>
        <w:t xml:space="preserve">2.8 Operational risk assessment</w:t>
      </w:r>
    </w:p>
    <w:bookmarkStart w:id="46" w:name="low-chlorine-metrics"/>
    <w:p>
      <w:pPr>
        <w:pStyle w:val="Heading3"/>
      </w:pPr>
      <w:r>
        <w:t xml:space="preserve">2.8.1 Low-chlorine metrics</w:t>
      </w:r>
    </w:p>
    <w:p>
      <w:pPr>
        <w:pStyle w:val="FirstParagraph"/>
      </w:pPr>
      <w:r>
        <w:t xml:space="preserve">The likelihood-weighted ensemble was propagated to all 92 junctions and evaluated against</w:t>
      </w:r>
      <w:r>
        <w:t xml:space="preserve"> </w:t>
      </w:r>
      <m:oMath>
        <m:sSub>
          <m:e>
            <m:r>
              <m:t>C</m:t>
            </m:r>
          </m:e>
          <m:sub>
            <m:r>
              <m:rPr>
                <m:sty m:val="p"/>
              </m:rPr>
              <m:t>c</m:t>
            </m:r>
            <m:r>
              <m:rPr>
                <m:sty m:val="p"/>
              </m:rPr>
              <m:t>r</m:t>
            </m:r>
            <m:r>
              <m:rPr>
                <m:sty m:val="p"/>
              </m:rPr>
              <m:t>i</m:t>
            </m:r>
            <m:r>
              <m:rPr>
                <m:sty m:val="p"/>
              </m:rPr>
              <m:t>t</m:t>
            </m:r>
          </m:sub>
        </m:sSub>
        <m:r>
          <m:rPr>
            <m:sty m:val="p"/>
          </m:rPr>
          <m:t>=</m:t>
        </m:r>
        <m:r>
          <m:t>0.2</m:t>
        </m:r>
      </m:oMath>
      <w:r>
        <w:t xml:space="preserve"> </w:t>
      </w:r>
      <w:r>
        <w:t xml:space="preserve">mg L</w:t>
      </w:r>
      <w:r>
        <w:rPr>
          <w:vertAlign w:val="superscript"/>
        </w:rPr>
        <w:t xml:space="preserve">-1</w:t>
      </w:r>
      <w:r>
        <w:t xml:space="preserve">, a representative operational threshold adopted for this</w:t>
      </w:r>
      <w:r>
        <w:t xml:space="preserve"> </w:t>
      </w:r>
      <w:r>
        <w:t xml:space="preserve">study rather than a regulatory limit. Five member-level quantities and their weighted summaries</w:t>
      </w:r>
      <w:r>
        <w:t xml:space="preserve"> </w:t>
      </w:r>
      <w:r>
        <w:t xml:space="preserve">are defined in Table 2. They are kept distinct because a window-breach probability, a</w:t>
      </w:r>
      <w:r>
        <w:t xml:space="preserve"> </w:t>
      </w:r>
      <w:r>
        <w:t xml:space="preserve">time-averaged breach probability, an expected duration, a cumulative deficit and a window</w:t>
      </w:r>
      <w:r>
        <w:t xml:space="preserve"> </w:t>
      </w:r>
      <w:r>
        <w:t xml:space="preserve">minimum describe different aspects of low-chlorine behaviour: the first records only whether a</w:t>
      </w:r>
      <w:r>
        <w:t xml:space="preserve"> </w:t>
      </w:r>
      <w:r>
        <w:t xml:space="preserve">threshold was crossed, whereas the deficit combines how long and how far. Duration and deficit</w:t>
      </w:r>
      <w:r>
        <w:t xml:space="preserve"> </w:t>
      </w:r>
      <w:r>
        <w:t xml:space="preserve">were integrated by trapezoid over the 48 one-hour intervals, and the per-member minimum was</w:t>
      </w:r>
      <w:r>
        <w:t xml:space="preserve"> </w:t>
      </w:r>
      <w:r>
        <w:t xml:space="preserve">summarised by weighted means and quantiles rather than reported as a single deterministic value.</w:t>
      </w:r>
    </w:p>
    <w:bookmarkEnd w:id="46"/>
    <w:bookmarkStart w:id="47" w:name="water-age-and-demand-weighting"/>
    <w:p>
      <w:pPr>
        <w:pStyle w:val="Heading3"/>
      </w:pPr>
      <w:r>
        <w:t xml:space="preserve">2.8.2 Water age and demand weighting</w:t>
      </w:r>
    </w:p>
    <w:p>
      <w:pPr>
        <w:pStyle w:val="FirstParagraph"/>
      </w:pPr>
      <w:r>
        <w:t xml:space="preserve">Water age was computed over the same assessment window from the same hydraulic model as a</w:t>
      </w:r>
      <w:r>
        <w:t xml:space="preserve"> </w:t>
      </w:r>
      <w:r>
        <w:t xml:space="preserve">reaction-independent diagnostic, and its spatial association with expected duration and</w:t>
      </w:r>
      <w:r>
        <w:t xml:space="preserve"> </w:t>
      </w:r>
      <w:r>
        <w:t xml:space="preserve">cumulative deficit described by Spearman rank correlation. Because the 92 junctions share pipes,</w:t>
      </w:r>
      <w:r>
        <w:t xml:space="preserve"> </w:t>
      </w:r>
      <w:r>
        <w:t xml:space="preserve">tanks, flow paths and demand patterns they are not independent samples, so no junction-level</w:t>
      </w:r>
      <w:r>
        <w:t xml:space="preserve"> </w:t>
      </w:r>
      <w:r>
        <w:t xml:space="preserve">p-value is reported. For the duration association only, descriptive width was obtained from a</w:t>
      </w:r>
      <w:r>
        <w:t xml:space="preserve"> </w:t>
      </w:r>
      <w:r>
        <w:t xml:space="preserve">spatial block bootstrap: coordinates were standardised, divided into ten groups by k-means, and</w:t>
      </w:r>
      <w:r>
        <w:t xml:space="preserve"> </w:t>
      </w:r>
      <w:r>
        <w:t xml:space="preserve">whole blocks resampled over 2000 replicates. The result is a descriptive width, not a</w:t>
      </w:r>
      <w:r>
        <w:t xml:space="preserve"> </w:t>
      </w:r>
      <w:r>
        <w:t xml:space="preserve">significance interval.</w:t>
      </w:r>
    </w:p>
    <w:p>
      <w:pPr>
        <w:pStyle w:val="BodyText"/>
      </w:pPr>
      <w:r>
        <w:t xml:space="preserve">Network summaries were reported unweighted over all 92 junctions, unweighted over the 59</w:t>
      </w:r>
      <w:r>
        <w:t xml:space="preserve"> </w:t>
      </w:r>
      <w:r>
        <w:t xml:space="preserve">junctions with non-zero demand, and demand-weighted using the pattern-aware average expected</w:t>
      </w:r>
      <w:r>
        <w:t xml:space="preserve"> </w:t>
      </w:r>
      <w:r>
        <w:t xml:space="preserve">demand, because the three answer different questions.</w:t>
      </w:r>
    </w:p>
    <w:bookmarkEnd w:id="47"/>
    <w:bookmarkStart w:id="48" w:name="ranking-robustness"/>
    <w:p>
      <w:pPr>
        <w:pStyle w:val="Heading3"/>
      </w:pPr>
      <w:r>
        <w:t xml:space="preserve">2.8.3 Ranking robustness</w:t>
      </w:r>
    </w:p>
    <w:p>
      <w:pPr>
        <w:pStyle w:val="FirstParagraph"/>
      </w:pPr>
      <w:r>
        <w:t xml:space="preserve">Robustness was assessed at two scales that are not interchangeable. The primary network-scale</w:t>
      </w:r>
      <w:r>
        <w:t xml:space="preserve"> </w:t>
      </w:r>
      <w:r>
        <w:t xml:space="preserve">statistic is the Spearman rank correlation between perturbed and reference risk fields across</w:t>
      </w:r>
      <w:r>
        <w:t xml:space="preserve"> </w:t>
      </w:r>
      <w:r>
        <w:t xml:space="preserve">all 92 junctions; the primary shortlist statistic is the top-six Jaccard index (Table 2), six</w:t>
      </w:r>
      <w:r>
        <w:t xml:space="preserve"> </w:t>
      </w:r>
      <w:r>
        <w:t xml:space="preserve">being the common headline size. Kendall correlation and alternative shortlist sizes were</w:t>
      </w:r>
      <w:r>
        <w:t xml:space="preserve"> </w:t>
      </w:r>
      <w:r>
        <w:t xml:space="preserve">retained as supplementary diagnostics where computed. For perturbations repeated over noise</w:t>
      </w:r>
      <w:r>
        <w:t xml:space="preserve"> </w:t>
      </w:r>
      <w:r>
        <w:t xml:space="preserve">realisations, nodewise risk values were first reduced to their median across realisations and</w:t>
      </w:r>
      <w:r>
        <w:t xml:space="preserve"> </w:t>
      </w:r>
      <w:r>
        <w:t xml:space="preserve">the ranking statistics computed from that median field. Both statistics were evaluated</w:t>
      </w:r>
      <w:r>
        <w:t xml:space="preserve"> </w:t>
      </w:r>
      <w:r>
        <w:t xml:space="preserve">separately under the duration-based and deficit-based metrics, since the two need not identify</w:t>
      </w:r>
      <w:r>
        <w:t xml:space="preserve"> </w:t>
      </w:r>
      <w:r>
        <w:t xml:space="preserve">the same leading junctions.</w:t>
      </w:r>
    </w:p>
    <w:bookmarkEnd w:id="48"/>
    <w:bookmarkStart w:id="49" w:name="temperature-ageing-and-dosing-scenarios"/>
    <w:p>
      <w:pPr>
        <w:pStyle w:val="Heading3"/>
      </w:pPr>
      <w:r>
        <w:t xml:space="preserve">2.8.4 Temperature, ageing and dosing scenarios</w:t>
      </w:r>
    </w:p>
    <w:p>
      <w:pPr>
        <w:pStyle w:val="FirstParagraph"/>
      </w:pPr>
      <w:r>
        <w:t xml:space="preserve">The ensemble was propagated through four scenarios using Arrhenius scaling,</w:t>
      </w:r>
    </w:p>
    <w:p>
      <w:pPr>
        <w:pStyle w:val="BodyText"/>
      </w:pPr>
      <m:oMathPara>
        <m:oMathParaPr>
          <m:jc m:val="center"/>
        </m:oMathParaPr>
        <m:oMath>
          <m:r>
            <m:t>k</m:t>
          </m:r>
          <m:r>
            <m:rPr>
              <m:sty m:val="p"/>
            </m:rPr>
            <m:t>(</m:t>
          </m:r>
          <m:r>
            <m:t>T</m:t>
          </m:r>
          <m:r>
            <m:rPr>
              <m:sty m:val="p"/>
            </m:rPr>
            <m:t>)</m:t>
          </m:r>
          <m:r>
            <m:rPr>
              <m:sty m:val="p"/>
            </m:rPr>
            <m:t>=</m:t>
          </m:r>
          <m:r>
            <m:t>k</m:t>
          </m:r>
          <m:r>
            <m:rPr>
              <m:sty m:val="p"/>
            </m:rPr>
            <m:t>(</m:t>
          </m:r>
          <m:sSub>
            <m:e>
              <m:r>
                <m:t>T</m:t>
              </m:r>
            </m:e>
            <m:sub>
              <m:r>
                <m:rPr>
                  <m:sty m:val="p"/>
                </m:rPr>
                <m:t>r</m:t>
              </m:r>
              <m:r>
                <m:rPr>
                  <m:sty m:val="p"/>
                </m:rPr>
                <m:t>e</m:t>
              </m:r>
              <m:r>
                <m:rPr>
                  <m:sty m:val="p"/>
                </m:rPr>
                <m:t>f</m:t>
              </m:r>
            </m:sub>
          </m:sSub>
          <m:r>
            <m:rPr>
              <m:sty m:val="p"/>
            </m:rPr>
            <m:t>)</m:t>
          </m:r>
          <m:r>
            <m:rPr>
              <m:sty m:val="p"/>
            </m:rPr>
            <m:t>exp</m:t>
          </m:r>
          <m:d>
            <m:dPr>
              <m:begChr m:val="["/>
              <m:sepChr m:val=""/>
              <m:endChr m:val="]"/>
              <m:grow/>
            </m:dPr>
            <m:e>
              <m:r>
                <m:rPr>
                  <m:sty m:val="p"/>
                </m:rPr>
                <m:t>−</m:t>
              </m:r>
              <m:f>
                <m:fPr>
                  <m:type m:val="bar"/>
                </m:fPr>
                <m:num>
                  <m:sSub>
                    <m:e>
                      <m:r>
                        <m:t>E</m:t>
                      </m:r>
                    </m:e>
                    <m:sub>
                      <m:r>
                        <m:t>a</m:t>
                      </m:r>
                    </m:sub>
                  </m:sSub>
                </m:num>
                <m:den>
                  <m:r>
                    <m:t>R</m:t>
                  </m:r>
                </m:den>
              </m:f>
              <m:d>
                <m:dPr>
                  <m:begChr m:val="("/>
                  <m:sepChr m:val=""/>
                  <m:endChr m:val=")"/>
                  <m:grow/>
                </m:dPr>
                <m:e>
                  <m:f>
                    <m:fPr>
                      <m:type m:val="bar"/>
                    </m:fPr>
                    <m:num>
                      <m:r>
                        <m:t>1</m:t>
                      </m:r>
                    </m:num>
                    <m:den>
                      <m:sSub>
                        <m:e>
                          <m:r>
                            <m:t>T</m:t>
                          </m:r>
                        </m:e>
                        <m:sub>
                          <m:r>
                            <m:t>K</m:t>
                          </m:r>
                        </m:sub>
                      </m:sSub>
                    </m:den>
                  </m:f>
                  <m:r>
                    <m:rPr>
                      <m:sty m:val="p"/>
                    </m:rPr>
                    <m:t>−</m:t>
                  </m:r>
                  <m:f>
                    <m:fPr>
                      <m:type m:val="bar"/>
                    </m:fPr>
                    <m:num>
                      <m:r>
                        <m:t>1</m:t>
                      </m:r>
                    </m:num>
                    <m:den>
                      <m:sSub>
                        <m:e>
                          <m:r>
                            <m:t>T</m:t>
                          </m:r>
                        </m:e>
                        <m:sub>
                          <m:r>
                            <m:rPr>
                              <m:sty m:val="p"/>
                            </m:rPr>
                            <m:t>r</m:t>
                          </m:r>
                          <m:r>
                            <m:rPr>
                              <m:sty m:val="p"/>
                            </m:rPr>
                            <m:t>e</m:t>
                          </m:r>
                          <m:r>
                            <m:rPr>
                              <m:sty m:val="p"/>
                            </m:rPr>
                            <m:t>f</m:t>
                          </m:r>
                          <m:r>
                            <m:rPr>
                              <m:sty m:val="p"/>
                            </m:rPr>
                            <m:t>,</m:t>
                          </m:r>
                          <m:r>
                            <m:t>K</m:t>
                          </m:r>
                        </m:sub>
                      </m:sSub>
                    </m:den>
                  </m:f>
                </m:e>
              </m:d>
            </m:e>
          </m:d>
          <m:r>
            <m:rPr>
              <m:sty m:val="p"/>
            </m:rPr>
            <m:t>,</m:t>
          </m:r>
        </m:oMath>
      </m:oMathPara>
    </w:p>
    <w:p>
      <w:pPr>
        <w:pStyle w:val="FirstParagraph"/>
      </w:pPr>
      <w:r>
        <w:t xml:space="preserve">with</w:t>
      </w:r>
      <w:r>
        <w:t xml:space="preserve"> </w:t>
      </w:r>
      <m:oMath>
        <m:sSub>
          <m:e>
            <m:r>
              <m:t>T</m:t>
            </m:r>
          </m:e>
          <m:sub>
            <m:r>
              <m:rPr>
                <m:sty m:val="p"/>
              </m:rPr>
              <m:t>r</m:t>
            </m:r>
            <m:r>
              <m:rPr>
                <m:sty m:val="p"/>
              </m:rPr>
              <m:t>e</m:t>
            </m:r>
            <m:r>
              <m:rPr>
                <m:sty m:val="p"/>
              </m:rPr>
              <m:t>f</m:t>
            </m:r>
          </m:sub>
        </m:sSub>
        <m:r>
          <m:rPr>
            <m:sty m:val="p"/>
          </m:rPr>
          <m:t>=</m:t>
        </m:r>
        <m:r>
          <m:t>12</m:t>
        </m:r>
      </m:oMath>
      <w:r>
        <w:t xml:space="preserve"> </w:t>
      </w:r>
      <w:r>
        <w:t xml:space="preserve">°C. Activation energies were drawn from truncated normals,</w:t>
      </w:r>
      <w:r>
        <w:t xml:space="preserve"> </w:t>
      </w:r>
      <m:oMath>
        <m:r>
          <m:t>45</m:t>
        </m:r>
        <m:r>
          <m:rPr>
            <m:sty m:val="p"/>
          </m:rPr>
          <m:t>±</m:t>
        </m:r>
        <m:r>
          <m:t>8</m:t>
        </m:r>
      </m:oMath>
      <w:r>
        <w:t xml:space="preserve"> </w:t>
      </w:r>
      <w:r>
        <w:t xml:space="preserve">kJ mol</w:t>
      </w:r>
      <w:r>
        <w:rPr>
          <w:vertAlign w:val="superscript"/>
        </w:rPr>
        <w:t xml:space="preserve">-1</w:t>
      </w:r>
      <w:r>
        <w:t xml:space="preserve"> </w:t>
      </w:r>
      <w:r>
        <w:t xml:space="preserve">for bulk and</w:t>
      </w:r>
      <w:r>
        <w:t xml:space="preserve"> </w:t>
      </w:r>
      <m:oMath>
        <m:r>
          <m:t>35</m:t>
        </m:r>
        <m:r>
          <m:rPr>
            <m:sty m:val="p"/>
          </m:rPr>
          <m:t>±</m:t>
        </m:r>
        <m:r>
          <m:t>10</m:t>
        </m:r>
      </m:oMath>
      <w:r>
        <w:t xml:space="preserve"> </w:t>
      </w:r>
      <w:r>
        <w:t xml:space="preserve">kJ mol</w:t>
      </w:r>
      <w:r>
        <w:rPr>
          <w:vertAlign w:val="superscript"/>
        </w:rPr>
        <w:t xml:space="preserve">-1</w:t>
      </w:r>
      <w:r>
        <w:t xml:space="preserve"> </w:t>
      </w:r>
      <w:r>
        <w:t xml:space="preserve">for wall reaction with a lower bound of 5 kJ</w:t>
      </w:r>
      <w:r>
        <w:t xml:space="preserve"> </w:t>
      </w:r>
      <w:r>
        <w:t xml:space="preserve">mol</w:t>
      </w:r>
      <w:r>
        <w:rPr>
          <w:vertAlign w:val="superscript"/>
        </w:rPr>
        <w:t xml:space="preserve">-1</w:t>
      </w:r>
      <w:r>
        <w:t xml:space="preserve">, and a temperature deviation</w:t>
      </w:r>
      <w:r>
        <w:t xml:space="preserve"> </w:t>
      </w:r>
      <m:oMath>
        <m:r>
          <m:rPr>
            <m:sty m:val="p"/>
          </m:rPr>
          <m:t>Δ</m:t>
        </m:r>
        <m:r>
          <m:t>T</m:t>
        </m:r>
        <m:r>
          <m:rPr>
            <m:sty m:val="p"/>
          </m:rPr>
          <m:t>∼</m:t>
        </m:r>
        <m:r>
          <m:t>N</m:t>
        </m:r>
        <m:r>
          <m:rPr>
            <m:sty m:val="p"/>
          </m:rPr>
          <m:t>(</m:t>
        </m:r>
        <m:r>
          <m:t>0</m:t>
        </m:r>
        <m:r>
          <m:rPr>
            <m:sty m:val="p"/>
          </m:rPr>
          <m:t>,</m:t>
        </m:r>
        <m:sSup>
          <m:e>
            <m:r>
              <m:t>1</m:t>
            </m:r>
          </m:e>
          <m:sup>
            <m:r>
              <m:t>2</m:t>
            </m:r>
          </m:sup>
        </m:sSup>
        <m:r>
          <m:rPr>
            <m:sty m:val="p"/>
          </m:rPr>
          <m:t>)</m:t>
        </m:r>
      </m:oMath>
      <w:r>
        <w:t xml:space="preserve"> </w:t>
      </w:r>
      <w:r>
        <w:t xml:space="preserve">°C was added to each scenario mean,</w:t>
      </w:r>
      <w:r>
        <w:t xml:space="preserve"> </w:t>
      </w:r>
      <w:r>
        <w:t xml:space="preserve">constrained to keep simulated temperatures within the stated 8–24 °C validity range. The</w:t>
      </w:r>
      <w:r>
        <w:t xml:space="preserve"> </w:t>
      </w:r>
      <w:r>
        <w:t xml:space="preserve">scenarios were: (A) 12 °C baseline; (B) 16 °C; (C) 20 °C heatwave; and (D) 20 °C with</w:t>
      </w:r>
      <w:r>
        <w:t xml:space="preserve"> </w:t>
      </w:r>
      <w:r>
        <w:t xml:space="preserve">illustrative ageing multipliers of 1.00, 1.35 and 1.85 for the new, average and old zones, with</w:t>
      </w:r>
      <w:r>
        <w:t xml:space="preserve"> </w:t>
      </w:r>
      <w:r>
        <w:t xml:space="preserve">mild and severe multiplier sets retained as sensitivities.</w:t>
      </w:r>
    </w:p>
    <w:p>
      <w:pPr>
        <w:pStyle w:val="BodyText"/>
      </w:pPr>
      <w:r>
        <w:t xml:space="preserve">Activation-energy and temperature draws were assigned once per retained member and reused across</w:t>
      </w:r>
      <w:r>
        <w:t xml:space="preserve"> </w:t>
      </w:r>
      <w:r>
        <w:t xml:space="preserve">scenarios, so that pairwise differences are not contaminated by independent Monte Carlo</w:t>
      </w:r>
      <w:r>
        <w:t xml:space="preserve"> </w:t>
      </w:r>
      <w:r>
        <w:t xml:space="preserve">variation. Only candidates whose weight was at least</w:t>
      </w:r>
      <w:r>
        <w:t xml:space="preserve"> </w:t>
      </w:r>
      <m:oMath>
        <m:sSup>
          <m:e>
            <m:r>
              <m:t>10</m:t>
            </m:r>
          </m:e>
          <m:sup>
            <m:r>
              <m:rPr>
                <m:sty m:val="p"/>
              </m:rPr>
              <m:t>−</m:t>
            </m:r>
            <m:r>
              <m:t>6</m:t>
            </m:r>
          </m:sup>
        </m:sSup>
      </m:oMath>
      <w:r>
        <w:t xml:space="preserve"> </w:t>
      </w:r>
      <w:r>
        <w:t xml:space="preserve">of the</w:t>
      </w:r>
      <w:r>
        <w:t xml:space="preserve"> </w:t>
      </w:r>
      <w:r>
        <w:rPr>
          <w:b/>
          <w:bCs/>
        </w:rPr>
        <w:t xml:space="preserve">maximum</w:t>
      </w:r>
      <w:r>
        <w:t xml:space="preserve"> </w:t>
      </w:r>
      <w:r>
        <w:t xml:space="preserve">weight were</w:t>
      </w:r>
      <w:r>
        <w:t xml:space="preserve"> </w:t>
      </w:r>
      <w:r>
        <w:t xml:space="preserve">propagated, with weights renormalised and the discarded mass recorded; this is a numerical</w:t>
      </w:r>
      <w:r>
        <w:t xml:space="preserve"> </w:t>
      </w:r>
      <w:r>
        <w:t xml:space="preserve">truncation, not a behavioural acceptance threshold. Corrective dosing was evaluated under</w:t>
      </w:r>
      <w:r>
        <w:t xml:space="preserve"> </w:t>
      </w:r>
      <w:r>
        <w:t xml:space="preserve">Scenario C, the 20 °C heatwave</w:t>
      </w:r>
      <w:r>
        <w:t xml:space="preserve"> </w:t>
      </w:r>
      <w:r>
        <w:rPr>
          <w:i/>
          <w:iCs/>
        </w:rPr>
        <w:t xml:space="preserve">without</w:t>
      </w:r>
      <w:r>
        <w:t xml:space="preserve"> </w:t>
      </w:r>
      <w:r>
        <w:t xml:space="preserve">ageing: reservoir source chlorine was raised from 1.00</w:t>
      </w:r>
      <w:r>
        <w:t xml:space="preserve"> </w:t>
      </w:r>
      <w:r>
        <w:t xml:space="preserve">to 1.15 and 1.30 mg L</w:t>
      </w:r>
      <w:r>
        <w:rPr>
          <w:vertAlign w:val="superscript"/>
        </w:rPr>
        <w:t xml:space="preserve">-1</w:t>
      </w:r>
      <w:r>
        <w:t xml:space="preserve">, with tank initial chlorine scaled by the same factor. All scenario</w:t>
      </w:r>
      <w:r>
        <w:t xml:space="preserve"> </w:t>
      </w:r>
      <w:r>
        <w:t xml:space="preserve">results are calibration-conditioned stress tests under the stated assumptions, not forecasts.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Definition</w:t>
            </w:r>
          </w:p>
        </w:tc>
        <w:tc>
          <w:tcPr/>
          <w:p>
            <w:pPr>
              <w:pStyle w:val="Compact"/>
            </w:pPr>
            <w:r>
              <w:t xml:space="preserve">Section</w:t>
            </w:r>
          </w:p>
        </w:tc>
      </w:tr>
      <w:tr>
        <w:tc>
          <w:tcPr/>
          <w:p>
            <w:pPr>
              <w:pStyle w:val="Compact"/>
            </w:pPr>
            <m:oMath>
              <m:sSub>
                <m:e>
                  <m:r>
                    <m:t>R</m:t>
                  </m:r>
                </m:e>
                <m:sub>
                  <m:r>
                    <m:rPr>
                      <m:sty m:val="p"/>
                    </m:rPr>
                    <m:t>S</m:t>
                  </m:r>
                  <m:r>
                    <m:rPr>
                      <m:sty m:val="p"/>
                    </m:rPr>
                    <m:t>D</m:t>
                  </m:r>
                  <m:r>
                    <m:rPr>
                      <m:sty m:val="p"/>
                    </m:rPr>
                    <m:t>,</m:t>
                  </m:r>
                  <m:r>
                    <m:t>j</m:t>
                  </m:r>
                </m:sub>
              </m:sSub>
            </m:oMath>
            <w:r>
              <w:t xml:space="preserve"/>
            </w:r>
          </w:p>
        </w:tc>
        <w:tc>
          <w:tcPr/>
          <w:p>
            <w:pPr>
              <w:pStyle w:val="Compact"/>
            </w:pPr>
            <m:oMath>
              <m:sSub>
                <m:e>
                  <m:r>
                    <m:t>σ</m:t>
                  </m:r>
                </m:e>
                <m:sub>
                  <m:r>
                    <m:rPr>
                      <m:sty m:val="p"/>
                    </m:rPr>
                    <m:t>p</m:t>
                  </m:r>
                  <m:r>
                    <m:rPr>
                      <m:sty m:val="p"/>
                    </m:rPr>
                    <m:t>o</m:t>
                  </m:r>
                  <m:r>
                    <m:rPr>
                      <m:sty m:val="p"/>
                    </m:rPr>
                    <m:t>s</m:t>
                  </m:r>
                  <m:r>
                    <m:rPr>
                      <m:sty m:val="p"/>
                    </m:rPr>
                    <m:t>t</m:t>
                  </m:r>
                  <m:r>
                    <m:rPr>
                      <m:sty m:val="p"/>
                    </m:rPr>
                    <m:t>,</m:t>
                  </m:r>
                  <m:r>
                    <m:t>j</m:t>
                  </m:r>
                </m:sub>
              </m:sSub>
              <m:r>
                <m:rPr>
                  <m:sty m:val="p"/>
                </m:rPr>
                <m:t>/</m:t>
              </m:r>
              <m:sSub>
                <m:e>
                  <m:r>
                    <m:t>σ</m:t>
                  </m:r>
                </m:e>
                <m:sub>
                  <m:r>
                    <m:rPr>
                      <m:sty m:val="p"/>
                    </m:rPr>
                    <m:t>p</m:t>
                  </m:r>
                  <m:r>
                    <m:rPr>
                      <m:sty m:val="p"/>
                    </m:rPr>
                    <m:t>r</m:t>
                  </m:r>
                  <m:r>
                    <m:rPr>
                      <m:sty m:val="p"/>
                    </m:rPr>
                    <m:t>i</m:t>
                  </m:r>
                  <m:r>
                    <m:rPr>
                      <m:sty m:val="p"/>
                    </m:rPr>
                    <m:t>o</m:t>
                  </m:r>
                  <m:r>
                    <m:rPr>
                      <m:sty m:val="p"/>
                    </m:rPr>
                    <m:t>r</m:t>
                  </m:r>
                  <m:r>
                    <m:rPr>
                      <m:sty m:val="p"/>
                    </m:rPr>
                    <m:t>,</m:t>
                  </m:r>
                  <m:r>
                    <m:t>j</m:t>
                  </m:r>
                </m:sub>
              </m:sSub>
            </m:oMath>
            <w:r>
              <w:t xml:space="preserve">, reported as SD retained</w:t>
            </w:r>
          </w:p>
        </w:tc>
        <w:tc>
          <w:tcPr/>
          <w:p>
            <w:pPr>
              <w:pStyle w:val="Compact"/>
            </w:pPr>
            <w:r>
              <w:t xml:space="preserve">2.4.1</w:t>
            </w:r>
          </w:p>
        </w:tc>
      </w:tr>
      <w:tr>
        <w:tc>
          <w:tcPr/>
          <w:p>
            <w:pPr>
              <w:pStyle w:val="Compact"/>
            </w:pPr>
            <m:oMath>
              <m:sSub>
                <m:e>
                  <m:r>
                    <m:t>G</m:t>
                  </m:r>
                </m:e>
                <m:sub>
                  <m:r>
                    <m:t>j</m:t>
                  </m:r>
                </m:sub>
              </m:sSub>
            </m:oMath>
            <w:r>
              <w:t xml:space="preserve"/>
            </w:r>
          </w:p>
        </w:tc>
        <w:tc>
          <w:tcPr/>
          <w:p>
            <w:pPr>
              <w:pStyle w:val="Compact"/>
            </w:pPr>
            <m:oMath>
              <m:r>
                <m:rPr>
                  <m:sty m:val="p"/>
                </m:rPr>
                <m:t>(</m:t>
              </m:r>
              <m:sSub>
                <m:e>
                  <m:r>
                    <m:t>μ</m:t>
                  </m:r>
                </m:e>
                <m:sub>
                  <m:r>
                    <m:rPr>
                      <m:sty m:val="p"/>
                    </m:rPr>
                    <m:t>p</m:t>
                  </m:r>
                  <m:r>
                    <m:rPr>
                      <m:sty m:val="p"/>
                    </m:rPr>
                    <m:t>o</m:t>
                  </m:r>
                  <m:r>
                    <m:rPr>
                      <m:sty m:val="p"/>
                    </m:rPr>
                    <m:t>s</m:t>
                  </m:r>
                  <m:r>
                    <m:rPr>
                      <m:sty m:val="p"/>
                    </m:rPr>
                    <m:t>t</m:t>
                  </m:r>
                  <m:r>
                    <m:rPr>
                      <m:sty m:val="p"/>
                    </m:rPr>
                    <m:t>,</m:t>
                  </m:r>
                  <m:r>
                    <m:t>j</m:t>
                  </m:r>
                </m:sub>
              </m:sSub>
              <m:r>
                <m:rPr>
                  <m:sty m:val="p"/>
                </m:rPr>
                <m:t>−</m:t>
              </m:r>
              <m:sSub>
                <m:e>
                  <m:r>
                    <m:t>m</m:t>
                  </m:r>
                </m:e>
                <m:sub>
                  <m:r>
                    <m:rPr>
                      <m:sty m:val="p"/>
                    </m:rPr>
                    <m:t>d</m:t>
                  </m:r>
                  <m:r>
                    <m:rPr>
                      <m:sty m:val="p"/>
                    </m:rPr>
                    <m:t>i</m:t>
                  </m:r>
                  <m:r>
                    <m:rPr>
                      <m:sty m:val="p"/>
                    </m:rPr>
                    <m:t>s</m:t>
                  </m:r>
                  <m:r>
                    <m:rPr>
                      <m:sty m:val="p"/>
                    </m:rPr>
                    <m:t>p</m:t>
                  </m:r>
                  <m:r>
                    <m:rPr>
                      <m:sty m:val="p"/>
                    </m:rPr>
                    <m:t>,</m:t>
                  </m:r>
                  <m:r>
                    <m:t>j</m:t>
                  </m:r>
                </m:sub>
              </m:sSub>
              <m:r>
                <m:rPr>
                  <m:sty m:val="p"/>
                </m:rPr>
                <m:t>)</m:t>
              </m:r>
              <m:r>
                <m:rPr>
                  <m:sty m:val="p"/>
                </m:rPr>
                <m:t>/</m:t>
              </m:r>
              <m:r>
                <m:rPr>
                  <m:sty m:val="p"/>
                </m:rPr>
                <m:t>(</m:t>
              </m:r>
              <m:sSub>
                <m:e>
                  <m:r>
                    <m:t>k</m:t>
                  </m:r>
                </m:e>
                <m:sub>
                  <m:r>
                    <m:rPr>
                      <m:sty m:val="p"/>
                    </m:rPr>
                    <m:t>t</m:t>
                  </m:r>
                  <m:r>
                    <m:rPr>
                      <m:sty m:val="p"/>
                    </m:rPr>
                    <m:t>r</m:t>
                  </m:r>
                  <m:r>
                    <m:rPr>
                      <m:sty m:val="p"/>
                    </m:rPr>
                    <m:t>u</m:t>
                  </m:r>
                  <m:r>
                    <m:rPr>
                      <m:sty m:val="p"/>
                    </m:rPr>
                    <m:t>e</m:t>
                  </m:r>
                  <m:r>
                    <m:rPr>
                      <m:sty m:val="p"/>
                    </m:rPr>
                    <m:t>,</m:t>
                  </m:r>
                  <m:r>
                    <m:t>j</m:t>
                  </m:r>
                </m:sub>
              </m:sSub>
              <m:r>
                <m:rPr>
                  <m:sty m:val="p"/>
                </m:rPr>
                <m:t>−</m:t>
              </m:r>
              <m:sSub>
                <m:e>
                  <m:r>
                    <m:t>m</m:t>
                  </m:r>
                </m:e>
                <m:sub>
                  <m:r>
                    <m:rPr>
                      <m:sty m:val="p"/>
                    </m:rPr>
                    <m:t>d</m:t>
                  </m:r>
                  <m:r>
                    <m:rPr>
                      <m:sty m:val="p"/>
                    </m:rPr>
                    <m:t>i</m:t>
                  </m:r>
                  <m:r>
                    <m:rPr>
                      <m:sty m:val="p"/>
                    </m:rPr>
                    <m:t>s</m:t>
                  </m:r>
                  <m:r>
                    <m:rPr>
                      <m:sty m:val="p"/>
                    </m:rPr>
                    <m:t>p</m:t>
                  </m:r>
                  <m:r>
                    <m:rPr>
                      <m:sty m:val="p"/>
                    </m:rPr>
                    <m:t>,</m:t>
                  </m:r>
                  <m:r>
                    <m:t>j</m:t>
                  </m:r>
                </m:sub>
              </m:sSub>
              <m:r>
                <m:rPr>
                  <m:sty m:val="p"/>
                </m:rPr>
                <m:t>)</m:t>
              </m:r>
            </m:oMath>
            <w:r>
              <w:t xml:space="preserve">, fraction of an imposed prior displacement recovered</w:t>
            </w:r>
          </w:p>
        </w:tc>
        <w:tc>
          <w:tcPr/>
          <w:p>
            <w:pPr>
              <w:pStyle w:val="Compact"/>
            </w:pPr>
            <w:r>
              <w:t xml:space="preserve">2.4.2</w:t>
            </w:r>
          </w:p>
        </w:tc>
      </w:tr>
      <w:tr>
        <w:tc>
          <w:tcPr/>
          <w:p>
            <w:pPr>
              <w:pStyle w:val="Compact"/>
            </w:pPr>
            <m:oMath>
              <m:r>
                <m:rPr>
                  <m:sty m:val="p"/>
                </m:rPr>
                <m:t>E</m:t>
              </m:r>
              <m:r>
                <m:rPr>
                  <m:sty m:val="p"/>
                </m:rPr>
                <m:t>S</m:t>
              </m:r>
              <m:r>
                <m:rPr>
                  <m:sty m:val="p"/>
                </m:rPr>
                <m:t>S</m:t>
              </m:r>
            </m:oMath>
            <w:r>
              <w:t xml:space="preserve"/>
            </w:r>
          </w:p>
        </w:tc>
        <w:tc>
          <w:tcPr/>
          <w:p>
            <w:pPr>
              <w:pStyle w:val="Compact"/>
            </w:pPr>
            <m:oMath>
              <m:r>
                <m:t>1</m:t>
              </m:r>
              <m:r>
                <m:rPr>
                  <m:sty m:val="p"/>
                </m:rPr>
                <m:t>/</m:t>
              </m:r>
              <m:nary>
                <m:naryPr>
                  <m:chr m:val="∑"/>
                  <m:limLoc m:val="undOvr"/>
                  <m:subHide m:val="off"/>
                  <m:supHide m:val="on"/>
                </m:naryPr>
                <m:sub>
                  <m:r>
                    <m:t>i</m:t>
                  </m:r>
                </m:sub>
                <m:sup>
                  <m:r>
                    <m:t/>
                  </m:r>
                </m:sup>
                <m:e>
                  <m:sSubSup>
                    <m:e>
                      <m:r>
                        <m:t>w</m:t>
                      </m:r>
                    </m:e>
                    <m:sub>
                      <m:r>
                        <m:t>i</m:t>
                      </m:r>
                    </m:sub>
                    <m:sup>
                      <m:r>
                        <m:t>2</m:t>
                      </m:r>
                    </m:sup>
                  </m:sSubSup>
                </m:e>
              </m:nary>
            </m:oMath>
            <w:r>
              <w:t xml:space="preserve">, effective sample size of the normalised weights</w:t>
            </w:r>
          </w:p>
        </w:tc>
        <w:tc>
          <w:tcPr/>
          <w:p>
            <w:pPr>
              <w:pStyle w:val="Compact"/>
            </w:pPr>
            <w:r>
              <w:t xml:space="preserve">2.3.1</w:t>
            </w:r>
          </w:p>
        </w:tc>
      </w:tr>
      <w:tr>
        <w:tc>
          <w:tcPr/>
          <w:p>
            <w:pPr>
              <w:pStyle w:val="Compact"/>
            </w:pPr>
            <m:oMath>
              <m:sSub>
                <m:e>
                  <m:r>
                    <m:t>Z</m:t>
                  </m:r>
                </m:e>
                <m:sub>
                  <m:r>
                    <m:rPr>
                      <m:sty m:val="p"/>
                    </m:rPr>
                    <m:t>Δ</m:t>
                  </m:r>
                  <m:r>
                    <m:rPr>
                      <m:sty m:val="p"/>
                    </m:rPr>
                    <m:t>,</m:t>
                  </m:r>
                  <m:r>
                    <m:t>j</m:t>
                  </m:r>
                </m:sub>
              </m:sSub>
            </m:oMath>
            <w:r>
              <w:t xml:space="preserve"/>
            </w:r>
          </w:p>
        </w:tc>
        <w:tc>
          <w:tcPr/>
          <w:p>
            <w:pPr>
              <w:pStyle w:val="Compact"/>
            </w:pPr>
            <w:r>
              <w:t xml:space="preserve">standardised displacement: median perturbed minus median reference posterior mean, divided by the median within-realisation reference posterior SD</w:t>
            </w:r>
          </w:p>
        </w:tc>
        <w:tc>
          <w:tcPr/>
          <w:p>
            <w:pPr>
              <w:pStyle w:val="Compact"/>
            </w:pPr>
            <w:r>
              <w:t xml:space="preserve">2.5</w:t>
            </w:r>
          </w:p>
        </w:tc>
      </w:tr>
      <w:tr>
        <w:tc>
          <w:tcPr/>
          <w:p>
            <w:pPr>
              <w:pStyle w:val="Compact"/>
            </w:pPr>
            <m:oMath>
              <m:r>
                <m:rPr>
                  <m:sty m:val="p"/>
                </m:rPr>
                <m:t>Δ</m:t>
              </m:r>
              <m:sSub>
                <m:e>
                  <m:r>
                    <m:t>k</m:t>
                  </m:r>
                </m:e>
                <m:sub>
                  <m:r>
                    <m:rPr>
                      <m:sty m:val="p"/>
                    </m:rPr>
                    <m:t>r</m:t>
                  </m:r>
                  <m:r>
                    <m:rPr>
                      <m:sty m:val="p"/>
                    </m:rPr>
                    <m:t>a</m:t>
                  </m:r>
                  <m:r>
                    <m:rPr>
                      <m:sty m:val="p"/>
                    </m:rPr>
                    <m:t>w</m:t>
                  </m:r>
                </m:sub>
              </m:sSub>
            </m:oMath>
            <w:r>
              <w:t xml:space="preserve"/>
            </w:r>
          </w:p>
        </w:tc>
        <w:tc>
          <w:tcPr/>
          <w:p>
            <w:pPr>
              <w:pStyle w:val="Compact"/>
            </w:pPr>
            <m:oMath>
              <m:acc>
                <m:accPr>
                  <m:chr m:val="̂"/>
                </m:accPr>
                <m:e>
                  <m:r>
                    <m:t>k</m:t>
                  </m:r>
                </m:e>
              </m:acc>
              <m:r>
                <m:rPr>
                  <m:sty m:val="p"/>
                </m:rPr>
                <m:t>−</m:t>
              </m:r>
              <m:sSub>
                <m:e>
                  <m:r>
                    <m:t>k</m:t>
                  </m:r>
                </m:e>
                <m:sub>
                  <m:r>
                    <m:rPr>
                      <m:sty m:val="p"/>
                    </m:rPr>
                    <m:t>a</m:t>
                  </m:r>
                  <m:r>
                    <m:rPr>
                      <m:sty m:val="p"/>
                    </m:rPr>
                    <m:t>r</m:t>
                  </m:r>
                  <m:r>
                    <m:rPr>
                      <m:sty m:val="p"/>
                    </m:rPr>
                    <m:t>i</m:t>
                  </m:r>
                  <m:r>
                    <m:rPr>
                      <m:sty m:val="p"/>
                    </m:rPr>
                    <m:t>t</m:t>
                  </m:r>
                  <m:r>
                    <m:rPr>
                      <m:sty m:val="p"/>
                    </m:rPr>
                    <m:t>h</m:t>
                  </m:r>
                </m:sub>
              </m:sSub>
            </m:oMath>
            <w:r>
              <w:t xml:space="preserve">, raw bias against the arithmetic zone mean</w:t>
            </w:r>
          </w:p>
        </w:tc>
        <w:tc>
          <w:tcPr/>
          <w:p>
            <w:pPr>
              <w:pStyle w:val="Compact"/>
            </w:pPr>
            <w:r>
              <w:t xml:space="preserve">2.6.3</w:t>
            </w:r>
          </w:p>
        </w:tc>
      </w:tr>
      <w:tr>
        <w:tc>
          <w:tcPr/>
          <w:p>
            <w:pPr>
              <w:pStyle w:val="Compact"/>
            </w:pPr>
            <m:oMath>
              <m:r>
                <m:rPr>
                  <m:sty m:val="p"/>
                </m:rPr>
                <m:t>Δ</m:t>
              </m:r>
              <m:sSub>
                <m:e>
                  <m:r>
                    <m:t>k</m:t>
                  </m:r>
                </m:e>
                <m:sub>
                  <m:r>
                    <m:rPr>
                      <m:sty m:val="p"/>
                    </m:rPr>
                    <m:t>s</m:t>
                  </m:r>
                  <m:r>
                    <m:rPr>
                      <m:sty m:val="p"/>
                    </m:rPr>
                    <m:t>t</m:t>
                  </m:r>
                  <m:r>
                    <m:rPr>
                      <m:sty m:val="p"/>
                    </m:rPr>
                    <m:t>r</m:t>
                  </m:r>
                  <m:r>
                    <m:rPr>
                      <m:sty m:val="p"/>
                    </m:rPr>
                    <m:t>u</m:t>
                  </m:r>
                  <m:r>
                    <m:rPr>
                      <m:sty m:val="p"/>
                    </m:rPr>
                    <m:t>c</m:t>
                  </m:r>
                  <m:r>
                    <m:rPr>
                      <m:sty m:val="p"/>
                    </m:rPr>
                    <m:t>t</m:t>
                  </m:r>
                </m:sub>
              </m:sSub>
            </m:oMath>
            <w:r>
              <w:t xml:space="preserve"/>
            </w:r>
          </w:p>
        </w:tc>
        <w:tc>
          <w:tcPr/>
          <w:p>
            <w:pPr>
              <w:pStyle w:val="Compact"/>
            </w:pPr>
            <m:oMath>
              <m:r>
                <m:rPr>
                  <m:sty m:val="p"/>
                </m:rPr>
                <m:t>Δ</m:t>
              </m:r>
              <m:sSub>
                <m:e>
                  <m:r>
                    <m:t>k</m:t>
                  </m:r>
                </m:e>
                <m:sub>
                  <m:r>
                    <m:rPr>
                      <m:sty m:val="p"/>
                    </m:rPr>
                    <m:t>r</m:t>
                  </m:r>
                  <m:r>
                    <m:rPr>
                      <m:sty m:val="p"/>
                    </m:rPr>
                    <m:t>a</m:t>
                  </m:r>
                  <m:r>
                    <m:rPr>
                      <m:sty m:val="p"/>
                    </m:rPr>
                    <m:t>w</m:t>
                  </m:r>
                </m:sub>
              </m:sSub>
              <m:r>
                <m:rPr>
                  <m:sty m:val="p"/>
                </m:rPr>
                <m:t>−</m:t>
              </m:r>
              <m:r>
                <m:rPr>
                  <m:sty m:val="p"/>
                </m:rPr>
                <m:t>Δ</m:t>
              </m:r>
              <m:sSub>
                <m:e>
                  <m:r>
                    <m:t>k</m:t>
                  </m:r>
                </m:e>
                <m:sub>
                  <m:r>
                    <m:rPr>
                      <m:sty m:val="p"/>
                    </m:rPr>
                    <m:t>h</m:t>
                  </m:r>
                  <m:r>
                    <m:rPr>
                      <m:sty m:val="p"/>
                    </m:rPr>
                    <m:t>o</m:t>
                  </m:r>
                  <m:r>
                    <m:rPr>
                      <m:sty m:val="p"/>
                    </m:rPr>
                    <m:t>m</m:t>
                  </m:r>
                </m:sub>
              </m:sSub>
            </m:oMath>
            <w:r>
              <w:t xml:space="preserve">, bias net of the paired homogeneous control</w:t>
            </w:r>
          </w:p>
        </w:tc>
        <w:tc>
          <w:tcPr/>
          <w:p>
            <w:pPr>
              <w:pStyle w:val="Compact"/>
            </w:pPr>
            <w:r>
              <w:t xml:space="preserve">2.6.3</w:t>
            </w:r>
          </w:p>
        </w:tc>
      </w:tr>
      <w:tr>
        <w:tc>
          <w:tcPr/>
          <w:p>
            <w:pPr>
              <w:pStyle w:val="Compact"/>
            </w:pPr>
            <m:oMath>
              <m:sSub>
                <m:e>
                  <m:r>
                    <m:t>f</m:t>
                  </m:r>
                </m:e>
                <m:sub>
                  <m:r>
                    <m:t>j</m:t>
                  </m:r>
                </m:sub>
              </m:sSub>
            </m:oMath>
            <w:r>
              <w:t xml:space="preserve"/>
            </w:r>
          </w:p>
        </w:tc>
        <w:tc>
          <w:tcPr/>
          <w:p>
            <w:pPr>
              <w:pStyle w:val="Compact"/>
            </w:pPr>
            <m:oMath>
              <m:r>
                <m:rPr>
                  <m:sty m:val="p"/>
                </m:rPr>
                <m:t>(</m:t>
              </m:r>
              <m:sSub>
                <m:e>
                  <m:acc>
                    <m:accPr>
                      <m:chr m:val="̂"/>
                    </m:accPr>
                    <m:e>
                      <m:r>
                        <m:t>k</m:t>
                      </m:r>
                    </m:e>
                  </m:acc>
                </m:e>
                <m:sub>
                  <m:r>
                    <m:t>j</m:t>
                  </m:r>
                </m:sub>
              </m:sSub>
              <m:r>
                <m:rPr>
                  <m:sty m:val="p"/>
                </m:rPr>
                <m:t>−</m:t>
              </m:r>
              <m:sSub>
                <m:e>
                  <m:r>
                    <m:t>k</m:t>
                  </m:r>
                </m:e>
                <m:sub>
                  <m:r>
                    <m:rPr>
                      <m:sty m:val="p"/>
                    </m:rPr>
                    <m:t>a</m:t>
                  </m:r>
                  <m:r>
                    <m:rPr>
                      <m:sty m:val="p"/>
                    </m:rPr>
                    <m:t>r</m:t>
                  </m:r>
                  <m:r>
                    <m:rPr>
                      <m:sty m:val="p"/>
                    </m:rPr>
                    <m:t>i</m:t>
                  </m:r>
                  <m:r>
                    <m:rPr>
                      <m:sty m:val="p"/>
                    </m:rPr>
                    <m:t>t</m:t>
                  </m:r>
                  <m:r>
                    <m:rPr>
                      <m:sty m:val="p"/>
                    </m:rPr>
                    <m:t>h</m:t>
                  </m:r>
                  <m:r>
                    <m:rPr>
                      <m:sty m:val="p"/>
                    </m:rPr>
                    <m:t>,</m:t>
                  </m:r>
                  <m:r>
                    <m:t>j</m:t>
                  </m:r>
                </m:sub>
              </m:sSub>
              <m:r>
                <m:rPr>
                  <m:sty m:val="p"/>
                </m:rPr>
                <m:t>)</m:t>
              </m:r>
              <m:r>
                <m:rPr>
                  <m:sty m:val="p"/>
                </m:rPr>
                <m:t>/</m:t>
              </m:r>
              <m:r>
                <m:rPr>
                  <m:sty m:val="p"/>
                </m:rPr>
                <m:t>(</m:t>
              </m:r>
              <m:sSub>
                <m:e>
                  <m:r>
                    <m:t>k</m:t>
                  </m:r>
                </m:e>
                <m:sub>
                  <m:r>
                    <m:rPr>
                      <m:sty m:val="p"/>
                    </m:rPr>
                    <m:t>l</m:t>
                  </m:r>
                  <m:r>
                    <m:rPr>
                      <m:sty m:val="p"/>
                    </m:rPr>
                    <m:t>e</m:t>
                  </m:r>
                  <m:r>
                    <m:rPr>
                      <m:sty m:val="p"/>
                    </m:rPr>
                    <m:t>n</m:t>
                  </m:r>
                  <m:r>
                    <m:rPr>
                      <m:sty m:val="p"/>
                    </m:rPr>
                    <m:t>g</m:t>
                  </m:r>
                  <m:r>
                    <m:rPr>
                      <m:sty m:val="p"/>
                    </m:rPr>
                    <m:t>t</m:t>
                  </m:r>
                  <m:r>
                    <m:rPr>
                      <m:sty m:val="p"/>
                    </m:rPr>
                    <m:t>h</m:t>
                  </m:r>
                  <m:r>
                    <m:rPr>
                      <m:sty m:val="p"/>
                    </m:rPr>
                    <m:t>,</m:t>
                  </m:r>
                  <m:r>
                    <m:t>j</m:t>
                  </m:r>
                </m:sub>
              </m:sSub>
              <m:r>
                <m:rPr>
                  <m:sty m:val="p"/>
                </m:rPr>
                <m:t>−</m:t>
              </m:r>
              <m:sSub>
                <m:e>
                  <m:r>
                    <m:t>k</m:t>
                  </m:r>
                </m:e>
                <m:sub>
                  <m:r>
                    <m:rPr>
                      <m:sty m:val="p"/>
                    </m:rPr>
                    <m:t>a</m:t>
                  </m:r>
                  <m:r>
                    <m:rPr>
                      <m:sty m:val="p"/>
                    </m:rPr>
                    <m:t>r</m:t>
                  </m:r>
                  <m:r>
                    <m:rPr>
                      <m:sty m:val="p"/>
                    </m:rPr>
                    <m:t>i</m:t>
                  </m:r>
                  <m:r>
                    <m:rPr>
                      <m:sty m:val="p"/>
                    </m:rPr>
                    <m:t>t</m:t>
                  </m:r>
                  <m:r>
                    <m:rPr>
                      <m:sty m:val="p"/>
                    </m:rPr>
                    <m:t>h</m:t>
                  </m:r>
                  <m:r>
                    <m:rPr>
                      <m:sty m:val="p"/>
                    </m:rPr>
                    <m:t>,</m:t>
                  </m:r>
                  <m:r>
                    <m:t>j</m:t>
                  </m:r>
                </m:sub>
              </m:sSub>
              <m:r>
                <m:rPr>
                  <m:sty m:val="p"/>
                </m:rPr>
                <m:t>)</m:t>
              </m:r>
            </m:oMath>
            <w:r>
              <w:t xml:space="preserve">, raw position between the two candidate targets</w:t>
            </w:r>
          </w:p>
        </w:tc>
        <w:tc>
          <w:tcPr/>
          <w:p>
            <w:pPr>
              <w:pStyle w:val="Compact"/>
            </w:pPr>
            <w:r>
              <w:t xml:space="preserve">2.6.3</w:t>
            </w:r>
          </w:p>
        </w:tc>
      </w:tr>
      <w:tr>
        <w:tc>
          <w:tcPr/>
          <w:p>
            <w:pPr>
              <w:pStyle w:val="Compact"/>
            </w:pPr>
            <m:oMath>
              <m:r>
                <m:t>λ</m:t>
              </m:r>
            </m:oMath>
            <w:r>
              <w:t xml:space="preserve"/>
            </w:r>
          </w:p>
        </w:tc>
        <w:tc>
          <w:tcPr/>
          <w:p>
            <w:pPr>
              <w:pStyle w:val="Compact"/>
            </w:pPr>
            <w:r>
              <w:t xml:space="preserve">length-structure modulation amplitude in</w:t>
            </w:r>
            <w:r>
              <w:t xml:space="preserve"> </w:t>
            </w:r>
            <m:oMath>
              <m:sSub>
                <m:e>
                  <m:r>
                    <m:t>k</m:t>
                  </m:r>
                </m:e>
                <m:sub>
                  <m:r>
                    <m:t>w</m:t>
                  </m:r>
                  <m:r>
                    <m:rPr>
                      <m:sty m:val="p"/>
                    </m:rPr>
                    <m:t>,</m:t>
                  </m:r>
                  <m:r>
                    <m:t>p</m:t>
                  </m:r>
                </m:sub>
              </m:sSub>
              <m:r>
                <m:rPr>
                  <m:sty m:val="p"/>
                </m:rPr>
                <m:t>=</m:t>
              </m:r>
              <m:sSub>
                <m:e>
                  <m:acc>
                    <m:accPr>
                      <m:chr m:val="‾"/>
                    </m:accPr>
                    <m:e>
                      <m:r>
                        <m:t>k</m:t>
                      </m:r>
                    </m:e>
                  </m:acc>
                </m:e>
                <m:sub>
                  <m:r>
                    <m:t>w</m:t>
                  </m:r>
                  <m:r>
                    <m:rPr>
                      <m:sty m:val="p"/>
                    </m:rPr>
                    <m:t>,</m:t>
                  </m:r>
                  <m:r>
                    <m:t>z</m:t>
                  </m:r>
                </m:sub>
              </m:sSub>
              <m:r>
                <m:rPr>
                  <m:sty m:val="p"/>
                </m:rPr>
                <m:t>(</m:t>
              </m:r>
              <m:r>
                <m:t>1</m:t>
              </m:r>
              <m:r>
                <m:rPr>
                  <m:sty m:val="p"/>
                </m:rPr>
                <m:t>+</m:t>
              </m:r>
              <m:r>
                <m:t>λ</m:t>
              </m:r>
              <m:sSub>
                <m:e>
                  <m:r>
                    <m:t>s</m:t>
                  </m:r>
                </m:e>
                <m:sub>
                  <m:r>
                    <m:t>p</m:t>
                  </m:r>
                </m:sub>
              </m:sSub>
              <m:r>
                <m:rPr>
                  <m:sty m:val="p"/>
                </m:rPr>
                <m:t>)</m:t>
              </m:r>
            </m:oMath>
            <w:r>
              <w:t xml:space="preserve">; not a correlation coefficient</w:t>
            </w:r>
          </w:p>
        </w:tc>
        <w:tc>
          <w:tcPr/>
          <w:p>
            <w:pPr>
              <w:pStyle w:val="Compact"/>
            </w:pPr>
            <w:r>
              <w:t xml:space="preserve">2.6.2</w:t>
            </w:r>
          </w:p>
        </w:tc>
      </w:tr>
      <w:tr>
        <w:tc>
          <w:tcPr/>
          <w:p>
            <w:pPr>
              <w:pStyle w:val="Compact"/>
            </w:pPr>
            <m:oMath>
              <m:sSub>
                <m:e>
                  <m:r>
                    <m:t>D</m:t>
                  </m:r>
                </m:e>
                <m:sub>
                  <m:r>
                    <m:t>i</m:t>
                  </m:r>
                  <m:r>
                    <m:rPr>
                      <m:sty m:val="p"/>
                    </m:rPr>
                    <m:t>,</m:t>
                  </m:r>
                  <m:r>
                    <m:t>n</m:t>
                  </m:r>
                </m:sub>
              </m:sSub>
            </m:oMath>
            <w:r>
              <w:t xml:space="preserve"/>
            </w:r>
          </w:p>
        </w:tc>
        <w:tc>
          <w:tcPr/>
          <w:p>
            <w:pPr>
              <w:pStyle w:val="Compact"/>
            </w:pPr>
            <m:oMath>
              <m:r>
                <m:rPr>
                  <m:sty m:val="p"/>
                </m:rPr>
                <m:t>∫</m:t>
              </m:r>
              <m:r>
                <m:rPr>
                  <m:sty m:val="b"/>
                </m:rPr>
                <m:t>1</m:t>
              </m:r>
              <m:r>
                <m:rPr>
                  <m:sty m:val="p"/>
                </m:rPr>
                <m:t>[</m:t>
              </m:r>
              <m:sSub>
                <m:e>
                  <m:r>
                    <m:t>C</m:t>
                  </m:r>
                </m:e>
                <m:sub>
                  <m:r>
                    <m:t>i</m:t>
                  </m:r>
                  <m:r>
                    <m:rPr>
                      <m:sty m:val="p"/>
                    </m:rPr>
                    <m:t>,</m:t>
                  </m:r>
                  <m:r>
                    <m:t>n</m:t>
                  </m:r>
                </m:sub>
              </m:sSub>
              <m:r>
                <m:rPr>
                  <m:sty m:val="p"/>
                </m:rPr>
                <m:t>(</m:t>
              </m:r>
              <m:r>
                <m:t>t</m:t>
              </m:r>
              <m:r>
                <m:rPr>
                  <m:sty m:val="p"/>
                </m:rPr>
                <m:t>)</m:t>
              </m:r>
              <m:r>
                <m:rPr>
                  <m:sty m:val="p"/>
                </m:rPr>
                <m:t>&lt;</m:t>
              </m:r>
              <m:sSub>
                <m:e>
                  <m:r>
                    <m:t>C</m:t>
                  </m:r>
                </m:e>
                <m:sub>
                  <m:r>
                    <m:rPr>
                      <m:sty m:val="p"/>
                    </m:rPr>
                    <m:t>c</m:t>
                  </m:r>
                  <m:r>
                    <m:rPr>
                      <m:sty m:val="p"/>
                    </m:rPr>
                    <m:t>r</m:t>
                  </m:r>
                  <m:r>
                    <m:rPr>
                      <m:sty m:val="p"/>
                    </m:rPr>
                    <m:t>i</m:t>
                  </m:r>
                  <m:r>
                    <m:rPr>
                      <m:sty m:val="p"/>
                    </m:rPr>
                    <m:t>t</m:t>
                  </m:r>
                </m:sub>
              </m:sSub>
              <m:r>
                <m:rPr>
                  <m:sty m:val="p"/>
                </m:rPr>
                <m:t>]</m:t>
              </m:r>
              <m:r>
                <m:rPr>
                  <m:sty m:val="p"/>
                </m:rPr>
                <m:t>d</m:t>
              </m:r>
              <m:r>
                <m:t>t</m:t>
              </m:r>
            </m:oMath>
            <w:r>
              <w:t xml:space="preserve">, member duration below threshold</w:t>
            </w:r>
          </w:p>
        </w:tc>
        <w:tc>
          <w:tcPr/>
          <w:p>
            <w:pPr>
              <w:pStyle w:val="Compact"/>
            </w:pPr>
            <w:r>
              <w:t xml:space="preserve">2.8.1</w:t>
            </w:r>
          </w:p>
        </w:tc>
      </w:tr>
      <w:tr>
        <w:tc>
          <w:tcPr/>
          <w:p>
            <w:pPr>
              <w:pStyle w:val="Compact"/>
            </w:pPr>
            <m:oMath>
              <m:sSub>
                <m:e>
                  <m:r>
                    <m:t>A</m:t>
                  </m:r>
                </m:e>
                <m:sub>
                  <m:r>
                    <m:t>i</m:t>
                  </m:r>
                  <m:r>
                    <m:rPr>
                      <m:sty m:val="p"/>
                    </m:rPr>
                    <m:t>,</m:t>
                  </m:r>
                  <m:r>
                    <m:t>n</m:t>
                  </m:r>
                </m:sub>
              </m:sSub>
            </m:oMath>
            <w:r>
              <w:t xml:space="preserve"/>
            </w:r>
          </w:p>
        </w:tc>
        <w:tc>
          <w:tcPr/>
          <w:p>
            <w:pPr>
              <w:pStyle w:val="Compact"/>
            </w:pPr>
            <m:oMath>
              <m:r>
                <m:rPr>
                  <m:sty m:val="p"/>
                </m:rPr>
                <m:t>∫</m:t>
              </m:r>
              <m:r>
                <m:rPr>
                  <m:sty m:val="p"/>
                </m:rPr>
                <m:t>max</m:t>
              </m:r>
              <m:r>
                <m:rPr>
                  <m:sty m:val="p"/>
                </m:rPr>
                <m:t>[</m:t>
              </m:r>
              <m:r>
                <m:t>0</m:t>
              </m:r>
              <m:r>
                <m:rPr>
                  <m:sty m:val="p"/>
                </m:rPr>
                <m:t>,</m:t>
              </m:r>
              <m:r>
                <m:t> </m:t>
              </m:r>
              <m:sSub>
                <m:e>
                  <m:r>
                    <m:t>C</m:t>
                  </m:r>
                </m:e>
                <m:sub>
                  <m:r>
                    <m:rPr>
                      <m:sty m:val="p"/>
                    </m:rPr>
                    <m:t>c</m:t>
                  </m:r>
                  <m:r>
                    <m:rPr>
                      <m:sty m:val="p"/>
                    </m:rPr>
                    <m:t>r</m:t>
                  </m:r>
                  <m:r>
                    <m:rPr>
                      <m:sty m:val="p"/>
                    </m:rPr>
                    <m:t>i</m:t>
                  </m:r>
                  <m:r>
                    <m:rPr>
                      <m:sty m:val="p"/>
                    </m:rPr>
                    <m:t>t</m:t>
                  </m:r>
                </m:sub>
              </m:sSub>
              <m:r>
                <m:rPr>
                  <m:sty m:val="p"/>
                </m:rPr>
                <m:t>−</m:t>
              </m:r>
              <m:sSub>
                <m:e>
                  <m:r>
                    <m:t>C</m:t>
                  </m:r>
                </m:e>
                <m:sub>
                  <m:r>
                    <m:t>i</m:t>
                  </m:r>
                  <m:r>
                    <m:rPr>
                      <m:sty m:val="p"/>
                    </m:rPr>
                    <m:t>,</m:t>
                  </m:r>
                  <m:r>
                    <m:t>n</m:t>
                  </m:r>
                </m:sub>
              </m:sSub>
              <m:r>
                <m:rPr>
                  <m:sty m:val="p"/>
                </m:rPr>
                <m:t>(</m:t>
              </m:r>
              <m:r>
                <m:t>t</m:t>
              </m:r>
              <m:r>
                <m:rPr>
                  <m:sty m:val="p"/>
                </m:rPr>
                <m:t>)</m:t>
              </m:r>
              <m:r>
                <m:rPr>
                  <m:sty m:val="p"/>
                </m:rPr>
                <m:t>]</m:t>
              </m:r>
              <m:r>
                <m:rPr>
                  <m:sty m:val="p"/>
                </m:rPr>
                <m:t>d</m:t>
              </m:r>
              <m:r>
                <m:t>t</m:t>
              </m:r>
            </m:oMath>
            <w:r>
              <w:t xml:space="preserve">, member cumulative deficit</w:t>
            </w:r>
          </w:p>
        </w:tc>
        <w:tc>
          <w:tcPr/>
          <w:p>
            <w:pPr>
              <w:pStyle w:val="Compact"/>
            </w:pPr>
            <w:r>
              <w:t xml:space="preserve">2.8.1</w:t>
            </w:r>
          </w:p>
        </w:tc>
      </w:tr>
      <w:tr>
        <w:tc>
          <w:tcPr/>
          <w:p>
            <w:pPr>
              <w:pStyle w:val="Compact"/>
            </w:pPr>
            <m:oMath>
              <m:sSub>
                <m:e>
                  <m:r>
                    <m:t>M</m:t>
                  </m:r>
                </m:e>
                <m:sub>
                  <m:r>
                    <m:t>i</m:t>
                  </m:r>
                  <m:r>
                    <m:rPr>
                      <m:sty m:val="p"/>
                    </m:rPr>
                    <m:t>,</m:t>
                  </m:r>
                  <m:r>
                    <m:t>n</m:t>
                  </m:r>
                </m:sub>
              </m:sSub>
            </m:oMath>
            <w:r>
              <w:t xml:space="preserve"/>
            </w:r>
          </w:p>
        </w:tc>
        <w:tc>
          <w:tcPr/>
          <w:p>
            <w:pPr>
              <w:pStyle w:val="Compact"/>
            </w:pPr>
            <m:oMath>
              <m:sSub>
                <m:e>
                  <m:r>
                    <m:rPr>
                      <m:sty m:val="p"/>
                    </m:rPr>
                    <m:t>min</m:t>
                  </m:r>
                </m:e>
                <m:sub>
                  <m:r>
                    <m:t>t</m:t>
                  </m:r>
                </m:sub>
              </m:sSub>
              <m:sSub>
                <m:e>
                  <m:r>
                    <m:t>C</m:t>
                  </m:r>
                </m:e>
                <m:sub>
                  <m:r>
                    <m:t>i</m:t>
                  </m:r>
                  <m:r>
                    <m:rPr>
                      <m:sty m:val="p"/>
                    </m:rPr>
                    <m:t>,</m:t>
                  </m:r>
                  <m:r>
                    <m:t>n</m:t>
                  </m:r>
                </m:sub>
              </m:sSub>
              <m:r>
                <m:rPr>
                  <m:sty m:val="p"/>
                </m:rPr>
                <m:t>(</m:t>
              </m:r>
              <m:r>
                <m:t>t</m:t>
              </m:r>
              <m:r>
                <m:rPr>
                  <m:sty m:val="p"/>
                </m:rPr>
                <m:t>)</m:t>
              </m:r>
            </m:oMath>
            <w:r>
              <w:t xml:space="preserve">, member window minimum</w:t>
            </w:r>
          </w:p>
        </w:tc>
        <w:tc>
          <w:tcPr/>
          <w:p>
            <w:pPr>
              <w:pStyle w:val="Compact"/>
            </w:pPr>
            <w:r>
              <w:t xml:space="preserve">2.8.1</w:t>
            </w:r>
          </w:p>
        </w:tc>
      </w:tr>
      <w:tr>
        <w:tc>
          <w:tcPr/>
          <w:p>
            <w:pPr>
              <w:pStyle w:val="Compact"/>
            </w:pPr>
            <m:oMath>
              <m:r>
                <m:t>E</m:t>
              </m:r>
              <m:r>
                <m:rPr>
                  <m:sty m:val="p"/>
                </m:rPr>
                <m:t>[</m:t>
              </m:r>
              <m:sSub>
                <m:e>
                  <m:r>
                    <m:t>D</m:t>
                  </m:r>
                </m:e>
                <m:sub>
                  <m:r>
                    <m:t>n</m:t>
                  </m:r>
                </m:sub>
              </m:sSub>
              <m:r>
                <m:rPr>
                  <m:sty m:val="p"/>
                </m:rPr>
                <m:t>]</m:t>
              </m:r>
            </m:oMath>
            <w:r>
              <w:t xml:space="preserve">,</w:t>
            </w:r>
            <w:r>
              <w:t xml:space="preserve"> </w:t>
            </w:r>
            <m:oMath>
              <m:r>
                <m:t>E</m:t>
              </m:r>
              <m:r>
                <m:rPr>
                  <m:sty m:val="p"/>
                </m:rPr>
                <m:t>[</m:t>
              </m:r>
              <m:sSub>
                <m:e>
                  <m:r>
                    <m:t>A</m:t>
                  </m:r>
                </m:e>
                <m:sub>
                  <m:r>
                    <m:t>n</m:t>
                  </m:r>
                </m:sub>
              </m:sSub>
              <m:r>
                <m:rPr>
                  <m:sty m:val="p"/>
                </m:rPr>
                <m:t>]</m:t>
              </m:r>
            </m:oMath>
          </w:p>
        </w:tc>
        <w:tc>
          <w:tcPr/>
          <w:p>
            <w:pPr>
              <w:pStyle w:val="Compact"/>
            </w:pPr>
            <m:oMath>
              <m:nary>
                <m:naryPr>
                  <m:chr m:val="∑"/>
                  <m:limLoc m:val="undOvr"/>
                  <m:subHide m:val="off"/>
                  <m:supHide m:val="on"/>
                </m:naryPr>
                <m:sub>
                  <m:r>
                    <m:t>i</m:t>
                  </m:r>
                </m:sub>
                <m:sup>
                  <m:r>
                    <m:t/>
                  </m:r>
                </m:sup>
                <m:e>
                  <m:sSub>
                    <m:e>
                      <m:r>
                        <m:t>w</m:t>
                      </m:r>
                    </m:e>
                    <m:sub>
                      <m:r>
                        <m:t>i</m:t>
                      </m:r>
                    </m:sub>
                  </m:sSub>
                </m:e>
              </m:nary>
              <m:sSub>
                <m:e>
                  <m:r>
                    <m:t>D</m:t>
                  </m:r>
                </m:e>
                <m:sub>
                  <m:r>
                    <m:t>i</m:t>
                  </m:r>
                  <m:r>
                    <m:rPr>
                      <m:sty m:val="p"/>
                    </m:rPr>
                    <m:t>,</m:t>
                  </m:r>
                  <m:r>
                    <m:t>n</m:t>
                  </m:r>
                </m:sub>
              </m:sSub>
            </m:oMath>
            <w:r>
              <w:t xml:space="preserve"> </w:t>
            </w:r>
            <w:r>
              <w:t xml:space="preserve">and</w:t>
            </w:r>
            <w:r>
              <w:t xml:space="preserve"> </w:t>
            </w:r>
            <m:oMath>
              <m:nary>
                <m:naryPr>
                  <m:chr m:val="∑"/>
                  <m:limLoc m:val="undOvr"/>
                  <m:subHide m:val="off"/>
                  <m:supHide m:val="on"/>
                </m:naryPr>
                <m:sub>
                  <m:r>
                    <m:t>i</m:t>
                  </m:r>
                </m:sub>
                <m:sup>
                  <m:r>
                    <m:t/>
                  </m:r>
                </m:sup>
                <m:e>
                  <m:sSub>
                    <m:e>
                      <m:r>
                        <m:t>w</m:t>
                      </m:r>
                    </m:e>
                    <m:sub>
                      <m:r>
                        <m:t>i</m:t>
                      </m:r>
                    </m:sub>
                  </m:sSub>
                </m:e>
              </m:nary>
              <m:sSub>
                <m:e>
                  <m:r>
                    <m:t>A</m:t>
                  </m:r>
                </m:e>
                <m:sub>
                  <m:r>
                    <m:t>i</m:t>
                  </m:r>
                  <m:r>
                    <m:rPr>
                      <m:sty m:val="p"/>
                    </m:rPr>
                    <m:t>,</m:t>
                  </m:r>
                  <m:r>
                    <m:t>n</m:t>
                  </m:r>
                </m:sub>
              </m:sSub>
            </m:oMath>
            <w:r>
              <w:t xml:space="preserve">, weighted expectations</w:t>
            </w:r>
          </w:p>
        </w:tc>
        <w:tc>
          <w:tcPr/>
          <w:p>
            <w:pPr>
              <w:pStyle w:val="Compact"/>
            </w:pPr>
            <w:r>
              <w:t xml:space="preserve">2.8.1</w:t>
            </w:r>
          </w:p>
        </w:tc>
      </w:tr>
      <w:tr>
        <w:tc>
          <w:tcPr/>
          <w:p>
            <w:pPr>
              <w:pStyle w:val="Compact"/>
            </w:pPr>
            <m:oMath>
              <m:sSub>
                <m:e>
                  <m:acc>
                    <m:accPr>
                      <m:chr m:val="‾"/>
                    </m:accPr>
                    <m:e>
                      <m:r>
                        <m:t>P</m:t>
                      </m:r>
                    </m:e>
                  </m:acc>
                </m:e>
                <m:sub>
                  <m:r>
                    <m:t>n</m:t>
                  </m:r>
                </m:sub>
              </m:sSub>
            </m:oMath>
            <w:r>
              <w:t xml:space="preserve"/>
            </w:r>
          </w:p>
        </w:tc>
        <w:tc>
          <w:tcPr/>
          <w:p>
            <w:pPr>
              <w:pStyle w:val="Compact"/>
            </w:pPr>
            <m:oMath>
              <m:r>
                <m:t>E</m:t>
              </m:r>
              <m:r>
                <m:rPr>
                  <m:sty m:val="p"/>
                </m:rPr>
                <m:t>[</m:t>
              </m:r>
              <m:sSub>
                <m:e>
                  <m:r>
                    <m:t>D</m:t>
                  </m:r>
                </m:e>
                <m:sub>
                  <m:r>
                    <m:t>n</m:t>
                  </m:r>
                </m:sub>
              </m:sSub>
              <m:r>
                <m:rPr>
                  <m:sty m:val="p"/>
                </m:rPr>
                <m:t>]</m:t>
              </m:r>
              <m:r>
                <m:rPr>
                  <m:sty m:val="p"/>
                </m:rPr>
                <m:t>/</m:t>
              </m:r>
              <m:r>
                <m:t>48</m:t>
              </m:r>
            </m:oMath>
            <w:r>
              <w:t xml:space="preserve">, time-averaged below-threshold probability</w:t>
            </w:r>
          </w:p>
        </w:tc>
        <w:tc>
          <w:tcPr/>
          <w:p>
            <w:pPr>
              <w:pStyle w:val="Compact"/>
            </w:pPr>
            <w:r>
              <w:t xml:space="preserve">2.8.1</w:t>
            </w:r>
          </w:p>
        </w:tc>
      </w:tr>
      <w:tr>
        <w:tc>
          <w:tcPr/>
          <w:p>
            <w:pPr>
              <w:pStyle w:val="Compact"/>
            </w:pPr>
            <m:oMath>
              <m:sSub>
                <m:e>
                  <m:r>
                    <m:t>P</m:t>
                  </m:r>
                </m:e>
                <m:sub>
                  <m:r>
                    <m:rPr>
                      <m:sty m:val="p"/>
                    </m:rPr>
                    <m:t>min</m:t>
                  </m:r>
                  <m:r>
                    <m:rPr>
                      <m:sty m:val="p"/>
                    </m:rPr>
                    <m:t>,</m:t>
                  </m:r>
                  <m:r>
                    <m:t>n</m:t>
                  </m:r>
                </m:sub>
              </m:sSub>
            </m:oMath>
            <w:r>
              <w:t xml:space="preserve"/>
            </w:r>
          </w:p>
        </w:tc>
        <w:tc>
          <w:tcPr/>
          <w:p>
            <w:pPr>
              <w:pStyle w:val="Compact"/>
            </w:pPr>
            <m:oMath>
              <m:nary>
                <m:naryPr>
                  <m:chr m:val="∑"/>
                  <m:limLoc m:val="undOvr"/>
                  <m:subHide m:val="off"/>
                  <m:supHide m:val="on"/>
                </m:naryPr>
                <m:sub>
                  <m:r>
                    <m:t>i</m:t>
                  </m:r>
                </m:sub>
                <m:sup>
                  <m:r>
                    <m:t/>
                  </m:r>
                </m:sup>
                <m:e>
                  <m:sSub>
                    <m:e>
                      <m:r>
                        <m:t>w</m:t>
                      </m:r>
                    </m:e>
                    <m:sub>
                      <m:r>
                        <m:t>i</m:t>
                      </m:r>
                    </m:sub>
                  </m:sSub>
                </m:e>
              </m:nary>
              <m:r>
                <m:rPr>
                  <m:sty m:val="b"/>
                </m:rPr>
                <m:t>1</m:t>
              </m:r>
              <m:r>
                <m:rPr>
                  <m:sty m:val="p"/>
                </m:rPr>
                <m:t>[</m:t>
              </m:r>
              <m:sSub>
                <m:e>
                  <m:r>
                    <m:t>M</m:t>
                  </m:r>
                </m:e>
                <m:sub>
                  <m:r>
                    <m:t>i</m:t>
                  </m:r>
                  <m:r>
                    <m:rPr>
                      <m:sty m:val="p"/>
                    </m:rPr>
                    <m:t>,</m:t>
                  </m:r>
                  <m:r>
                    <m:t>n</m:t>
                  </m:r>
                </m:sub>
              </m:sSub>
              <m:r>
                <m:rPr>
                  <m:sty m:val="p"/>
                </m:rPr>
                <m:t>&lt;</m:t>
              </m:r>
              <m:sSub>
                <m:e>
                  <m:r>
                    <m:t>C</m:t>
                  </m:r>
                </m:e>
                <m:sub>
                  <m:r>
                    <m:rPr>
                      <m:sty m:val="p"/>
                    </m:rPr>
                    <m:t>c</m:t>
                  </m:r>
                  <m:r>
                    <m:rPr>
                      <m:sty m:val="p"/>
                    </m:rPr>
                    <m:t>r</m:t>
                  </m:r>
                  <m:r>
                    <m:rPr>
                      <m:sty m:val="p"/>
                    </m:rPr>
                    <m:t>i</m:t>
                  </m:r>
                  <m:r>
                    <m:rPr>
                      <m:sty m:val="p"/>
                    </m:rPr>
                    <m:t>t</m:t>
                  </m:r>
                </m:sub>
              </m:sSub>
              <m:r>
                <m:rPr>
                  <m:sty m:val="p"/>
                </m:rPr>
                <m:t>]</m:t>
              </m:r>
            </m:oMath>
            <w:r>
              <w:t xml:space="preserve">, probability of at least one breach in the window</w:t>
            </w:r>
          </w:p>
        </w:tc>
        <w:tc>
          <w:tcPr/>
          <w:p>
            <w:pPr>
              <w:pStyle w:val="Compact"/>
            </w:pPr>
            <w:r>
              <w:t xml:space="preserve">2.8.1</w:t>
            </w:r>
          </w:p>
        </w:tc>
      </w:tr>
      <w:tr>
        <w:tc>
          <w:tcPr/>
          <w:p>
            <w:pPr>
              <w:pStyle w:val="Compact"/>
            </w:pPr>
            <m:oMath>
              <m:sSub>
                <m:e>
                  <m:r>
                    <m:t>J</m:t>
                  </m:r>
                </m:e>
                <m:sub>
                  <m:r>
                    <m:t>k</m:t>
                  </m:r>
                </m:sub>
              </m:sSub>
            </m:oMath>
            <w:r>
              <w:t xml:space="preserve"/>
            </w:r>
          </w:p>
        </w:tc>
        <w:tc>
          <w:tcPr/>
          <w:p>
            <w:pPr>
              <w:pStyle w:val="Compact"/>
            </w:pPr>
            <m:oMath>
              <m:r>
                <m:rPr>
                  <m:sty m:val="p"/>
                </m:rPr>
                <m:t>|</m:t>
              </m:r>
              <m:sSubSup>
                <m:e>
                  <m:r>
                    <m:t>S</m:t>
                  </m:r>
                </m:e>
                <m:sub>
                  <m:r>
                    <m:t>k</m:t>
                  </m:r>
                </m:sub>
                <m:sup>
                  <m:r>
                    <m:rPr>
                      <m:sty m:val="p"/>
                    </m:rPr>
                    <m:t>p</m:t>
                  </m:r>
                  <m:r>
                    <m:rPr>
                      <m:sty m:val="p"/>
                    </m:rPr>
                    <m:t>e</m:t>
                  </m:r>
                  <m:r>
                    <m:rPr>
                      <m:sty m:val="p"/>
                    </m:rPr>
                    <m:t>r</m:t>
                  </m:r>
                  <m:r>
                    <m:rPr>
                      <m:sty m:val="p"/>
                    </m:rPr>
                    <m:t>t</m:t>
                  </m:r>
                </m:sup>
              </m:sSubSup>
              <m:r>
                <m:rPr>
                  <m:sty m:val="p"/>
                </m:rPr>
                <m:t>∩</m:t>
              </m:r>
              <m:sSubSup>
                <m:e>
                  <m:r>
                    <m:t>S</m:t>
                  </m:r>
                </m:e>
                <m:sub>
                  <m:r>
                    <m:t>k</m:t>
                  </m:r>
                </m:sub>
                <m:sup>
                  <m:r>
                    <m:rPr>
                      <m:sty m:val="p"/>
                    </m:rPr>
                    <m:t>r</m:t>
                  </m:r>
                  <m:r>
                    <m:rPr>
                      <m:sty m:val="p"/>
                    </m:rPr>
                    <m:t>e</m:t>
                  </m:r>
                  <m:r>
                    <m:rPr>
                      <m:sty m:val="p"/>
                    </m:rPr>
                    <m:t>f</m:t>
                  </m:r>
                </m:sup>
              </m:sSubSup>
              <m:r>
                <m:rPr>
                  <m:sty m:val="p"/>
                </m:rPr>
                <m:t>|</m:t>
              </m:r>
              <m:r>
                <m:rPr>
                  <m:sty m:val="p"/>
                </m:rPr>
                <m:t>/</m:t>
              </m:r>
              <m:r>
                <m:rPr>
                  <m:sty m:val="p"/>
                </m:rPr>
                <m:t>|</m:t>
              </m:r>
              <m:sSubSup>
                <m:e>
                  <m:r>
                    <m:t>S</m:t>
                  </m:r>
                </m:e>
                <m:sub>
                  <m:r>
                    <m:t>k</m:t>
                  </m:r>
                </m:sub>
                <m:sup>
                  <m:r>
                    <m:rPr>
                      <m:sty m:val="p"/>
                    </m:rPr>
                    <m:t>p</m:t>
                  </m:r>
                  <m:r>
                    <m:rPr>
                      <m:sty m:val="p"/>
                    </m:rPr>
                    <m:t>e</m:t>
                  </m:r>
                  <m:r>
                    <m:rPr>
                      <m:sty m:val="p"/>
                    </m:rPr>
                    <m:t>r</m:t>
                  </m:r>
                  <m:r>
                    <m:rPr>
                      <m:sty m:val="p"/>
                    </m:rPr>
                    <m:t>t</m:t>
                  </m:r>
                </m:sup>
              </m:sSubSup>
              <m:r>
                <m:rPr>
                  <m:sty m:val="p"/>
                </m:rPr>
                <m:t>∪</m:t>
              </m:r>
              <m:sSubSup>
                <m:e>
                  <m:r>
                    <m:t>S</m:t>
                  </m:r>
                </m:e>
                <m:sub>
                  <m:r>
                    <m:t>k</m:t>
                  </m:r>
                </m:sub>
                <m:sup>
                  <m:r>
                    <m:rPr>
                      <m:sty m:val="p"/>
                    </m:rPr>
                    <m:t>r</m:t>
                  </m:r>
                  <m:r>
                    <m:rPr>
                      <m:sty m:val="p"/>
                    </m:rPr>
                    <m:t>e</m:t>
                  </m:r>
                  <m:r>
                    <m:rPr>
                      <m:sty m:val="p"/>
                    </m:rPr>
                    <m:t>f</m:t>
                  </m:r>
                </m:sup>
              </m:sSubSup>
              <m:r>
                <m:rPr>
                  <m:sty m:val="p"/>
                </m:rPr>
                <m:t>|</m:t>
              </m:r>
            </m:oMath>
            <w:r>
              <w:t xml:space="preserve">, top-</w:t>
            </w:r>
            <m:oMath>
              <m:r>
                <m:t>k</m:t>
              </m:r>
            </m:oMath>
            <w:r>
              <w:t xml:space="preserve"> </w:t>
            </w:r>
            <w:r>
              <w:t xml:space="preserve">shortlist overlap</w:t>
            </w:r>
          </w:p>
        </w:tc>
        <w:tc>
          <w:tcPr/>
          <w:p>
            <w:pPr>
              <w:pStyle w:val="Compact"/>
            </w:pPr>
            <w:r>
              <w:t xml:space="preserve">2.8.3</w:t>
            </w:r>
          </w:p>
        </w:tc>
      </w:tr>
    </w:tbl>
    <w:p>
      <w:pPr>
        <w:pStyle w:val="BodyText"/>
      </w:pPr>
      <w:r>
        <w:t xml:space="preserve">Table 2.</w:t>
      </w:r>
      <w:r>
        <w:t xml:space="preserve"> </w:t>
      </w:r>
      <w:r>
        <w:rPr>
          <w:b/>
          <w:bCs/>
        </w:rPr>
        <w:t xml:space="preserve">Symbols and metric definitions.</w:t>
      </w:r>
      <w:r>
        <w:t xml:space="preserve"> </w:t>
      </w:r>
      <w:r>
        <w:t xml:space="preserve">Quantities used throughout the analysis, with the</w:t>
      </w:r>
      <w:r>
        <w:t xml:space="preserve"> </w:t>
      </w:r>
      <w:r>
        <w:t xml:space="preserve">section in which each is introduced. Integrals run over the 120–168 h assessment window and</w:t>
      </w:r>
      <w:r>
        <w:t xml:space="preserve"> </w:t>
      </w:r>
      <m:oMath>
        <m:sSub>
          <m:e>
            <m:r>
              <m:t>w</m:t>
            </m:r>
          </m:e>
          <m:sub>
            <m:r>
              <m:t>i</m:t>
            </m:r>
          </m:sub>
        </m:sSub>
      </m:oMath>
      <w:r>
        <w:t xml:space="preserve"> </w:t>
      </w:r>
      <w:r>
        <w:t xml:space="preserve">are the normalised likelihood weights of Section 2.3.2.</w:t>
      </w:r>
    </w:p>
    <w:bookmarkEnd w:id="49"/>
    <w:bookmarkEnd w:id="50"/>
    <w:bookmarkEnd w:id="51"/>
    <w:bookmarkStart w:id="102" w:name="results-and-discussion"/>
    <w:p>
      <w:pPr>
        <w:pStyle w:val="Heading1"/>
      </w:pPr>
      <w:r>
        <w:t xml:space="preserve">3. Results and discussion</w:t>
      </w:r>
    </w:p>
    <w:bookmarkStart w:id="58" w:name="X3e78360a2ea721c0e34a02dd14dfdf7fdd4ef10"/>
    <w:p>
      <w:pPr>
        <w:pStyle w:val="Heading2"/>
      </w:pPr>
      <w:r>
        <w:t xml:space="preserve">3.1 Forward-model baseline and synthetic observations</w:t>
      </w:r>
    </w:p>
    <w:bookmarkStart w:id="52" w:name="X397fd8bc57b063757868a46a53973b8afee622d"/>
    <w:p>
      <w:pPr>
        <w:pStyle w:val="Heading3"/>
      </w:pPr>
      <w:r>
        <w:t xml:space="preserve">3.1.1 Baseline chlorine dynamics across the monitored network</w:t>
      </w:r>
    </w:p>
    <w:p>
      <w:pPr>
        <w:pStyle w:val="FirstParagraph"/>
      </w:pPr>
      <w:r>
        <w:t xml:space="preserve">The baseline inverse problem is anchored to a single reference forward field, described here;</w:t>
      </w:r>
      <w:r>
        <w:t xml:space="preserve"> </w:t>
      </w:r>
      <w:r>
        <w:t xml:space="preserve">Sections 3.3 and 3.4 perturb that field or its observation model explicitly. Under the imposed</w:t>
      </w:r>
      <w:r>
        <w:t xml:space="preserve"> </w:t>
      </w:r>
      <w:r>
        <w:t xml:space="preserve">truth, concentrations across the assessment window follow the 24 h demand and pump cycle with a</w:t>
      </w:r>
      <w:r>
        <w:t xml:space="preserve"> </w:t>
      </w:r>
      <w:r>
        <w:t xml:space="preserve">network-wide median of 0.761 mg L</w:t>
      </w:r>
      <w:r>
        <w:rPr>
          <w:vertAlign w:val="superscript"/>
        </w:rPr>
        <w:t xml:space="preserve">-1</w:t>
      </w:r>
      <w:r>
        <w:t xml:space="preserve"> </w:t>
      </w:r>
      <w:r>
        <w:t xml:space="preserve">and a 5th-to-95th percentile range of 0.168 to 0.956 mg</w:t>
      </w:r>
      <w:r>
        <w:t xml:space="preserve"> </w:t>
      </w:r>
      <w:r>
        <w:t xml:space="preserve">L</w:t>
      </w:r>
      <w:r>
        <w:rPr>
          <w:vertAlign w:val="superscript"/>
        </w:rPr>
        <w:t xml:space="preserve">-1</w:t>
      </w:r>
      <w:r>
        <w:t xml:space="preserve"> </w:t>
      </w:r>
      <w:r>
        <w:t xml:space="preserve">(Figure 1B, C).</w:t>
      </w:r>
    </w:p>
    <w:p>
      <w:pPr>
        <w:pStyle w:val="BodyText"/>
      </w:pPr>
      <w:r>
        <w:t xml:space="preserve">The six monitors sample most of that range rather than replicating one another. Mean window</w:t>
      </w:r>
      <w:r>
        <w:t xml:space="preserve"> </w:t>
      </w:r>
      <w:r>
        <w:t xml:space="preserve">concentrations are 0.845 and 0.827 mg L</w:t>
      </w:r>
      <w:r>
        <w:rPr>
          <w:vertAlign w:val="superscript"/>
        </w:rPr>
        <w:t xml:space="preserve">-1</w:t>
      </w:r>
      <w:r>
        <w:t xml:space="preserve"> </w:t>
      </w:r>
      <w:r>
        <w:t xml:space="preserve">at nodes 107 and 113 in the new zone, 0.717 and</w:t>
      </w:r>
      <w:r>
        <w:t xml:space="preserve"> </w:t>
      </w:r>
      <w:r>
        <w:t xml:space="preserve">0.374 at nodes 209 and 231 in the average zone, and 0.251 and 0.355 at nodes 15 and 145 in the</w:t>
      </w:r>
      <w:r>
        <w:t xml:space="preserve"> </w:t>
      </w:r>
      <w:r>
        <w:t xml:space="preserve">old zone. The broad zonal pattern follows the imposed reactivity contrast, but concentration is</w:t>
      </w:r>
      <w:r>
        <w:t xml:space="preserve"> </w:t>
      </w:r>
      <w:r>
        <w:t xml:space="preserve">not ordered by wall-decay coefficient alone: node 231 in the average zone sits below node 145 in</w:t>
      </w:r>
      <w:r>
        <w:t xml:space="preserve"> </w:t>
      </w:r>
      <w:r>
        <w:t xml:space="preserve">the old zone, because hydraulic residence and network position also strongly modulate the</w:t>
      </w:r>
      <w:r>
        <w:t xml:space="preserve"> </w:t>
      </w:r>
      <w:r>
        <w:t xml:space="preserve">accumulated decay. In the deterministic noise-free reference trajectory, 21 of the 92 junctions</w:t>
      </w:r>
      <w:r>
        <w:t xml:space="preserve"> </w:t>
      </w:r>
      <w:r>
        <w:t xml:space="preserve">cross below the 0.2 mg L</w:t>
      </w:r>
      <w:r>
        <w:rPr>
          <w:vertAlign w:val="superscript"/>
        </w:rPr>
        <w:t xml:space="preserve">-1</w:t>
      </w:r>
      <w:r>
        <w:t xml:space="preserve"> </w:t>
      </w:r>
      <w:r>
        <w:t xml:space="preserve">operational threshold at least once during the window; this is a</w:t>
      </w:r>
      <w:r>
        <w:t xml:space="preserve"> </w:t>
      </w:r>
      <w:r>
        <w:t xml:space="preserve">property of the truth and is not the ensemble-weighted breach count reported in Section 3.6.</w:t>
      </w:r>
    </w:p>
    <w:bookmarkEnd w:id="52"/>
    <w:bookmarkStart w:id="53" w:name="warm-up-and-assessment-window-adequacy"/>
    <w:p>
      <w:pPr>
        <w:pStyle w:val="Heading3"/>
      </w:pPr>
      <w:r>
        <w:t xml:space="preserve">3.1.2 Warm-up and assessment-window adequacy</w:t>
      </w:r>
    </w:p>
    <w:p>
      <w:pPr>
        <w:pStyle w:val="FirstParagraph"/>
      </w:pPr>
      <w:r>
        <w:t xml:space="preserve">Six cyclostationarity criteria were declared in advance, each comparing a 24 h cycle with its</w:t>
      </w:r>
      <w:r>
        <w:t xml:space="preserve"> </w:t>
      </w:r>
      <w:r>
        <w:t xml:space="preserve">successor; tank level converged first, within 24 h. The three concentration criteria — a</w:t>
      </w:r>
      <w:r>
        <w:t xml:space="preserve"> </w:t>
      </w:r>
      <w:r>
        <w:t xml:space="preserve">cycle-to-cycle change below 0.005 mg L</w:t>
      </w:r>
      <w:r>
        <w:rPr>
          <w:vertAlign w:val="superscript"/>
        </w:rPr>
        <w:t xml:space="preserve">-1</w:t>
      </w:r>
      <w:r>
        <w:t xml:space="preserve"> </w:t>
      </w:r>
      <w:r>
        <w:t xml:space="preserve">at any monitor, below 0.01 mg L</w:t>
      </w:r>
      <w:r>
        <w:rPr>
          <w:vertAlign w:val="superscript"/>
        </w:rPr>
        <w:t xml:space="preserve">-1</w:t>
      </w:r>
      <w:r>
        <w:t xml:space="preserve"> </w:t>
      </w:r>
      <w:r>
        <w:t xml:space="preserve">in the network</w:t>
      </w:r>
      <w:r>
        <w:t xml:space="preserve"> </w:t>
      </w:r>
      <w:r>
        <w:t xml:space="preserve">95th percentile, and below 0.01 mg L</w:t>
      </w:r>
      <w:r>
        <w:rPr>
          <w:vertAlign w:val="superscript"/>
        </w:rPr>
        <w:t xml:space="preserve">-1</w:t>
      </w:r>
      <w:r>
        <w:t xml:space="preserve"> </w:t>
      </w:r>
      <w:r>
        <w:t xml:space="preserve">in the tank — were all first satisfied at 120 h, which</w:t>
      </w:r>
      <w:r>
        <w:t xml:space="preserve"> </w:t>
      </w:r>
      <w:r>
        <w:t xml:space="preserve">is why the assessment window begins there.</w:t>
      </w:r>
    </w:p>
    <w:p>
      <w:pPr>
        <w:pStyle w:val="BodyText"/>
      </w:pPr>
      <w:r>
        <w:t xml:space="preserve">Two criteria were never satisfied inside the model horizon. The 95th-percentile water age was</w:t>
      </w:r>
      <w:r>
        <w:t xml:space="preserve"> </w:t>
      </w:r>
      <w:r>
        <w:t xml:space="preserve">still changing by 12.8 h between the last two available cycles against a 1 h tolerance, and the</w:t>
      </w:r>
      <w:r>
        <w:t xml:space="preserve"> </w:t>
      </w:r>
      <w:r>
        <w:t xml:space="preserve">cumulative-deficit risk field still drifted by 5.1% between cycles against a 2% tolerance. The</w:t>
      </w:r>
      <w:r>
        <w:t xml:space="preserve"> </w:t>
      </w:r>
      <w:r>
        <w:t xml:space="preserve">horizon could not be extended without modifying the model, because the existing pump controls</w:t>
      </w:r>
      <w:r>
        <w:t xml:space="preserve"> </w:t>
      </w:r>
      <w:r>
        <w:t xml:space="preserve">are specified only within the 168 h simulation period (Appendix A). The 120 h warm-up therefore</w:t>
      </w:r>
      <w:r>
        <w:t xml:space="preserve"> </w:t>
      </w:r>
      <w:r>
        <w:t xml:space="preserve">provides a concentration-stable reference window for the baseline and for the tested</w:t>
      </w:r>
      <w:r>
        <w:t xml:space="preserve"> </w:t>
      </w:r>
      <w:r>
        <w:t xml:space="preserve">prior-envelope conditions, and was carried consistently into the later robustness analyses; it</w:t>
      </w:r>
      <w:r>
        <w:t xml:space="preserve"> </w:t>
      </w:r>
      <w:r>
        <w:t xml:space="preserve">should not be read as proof that every perturbed model considered later independently reaches</w:t>
      </w:r>
      <w:r>
        <w:t xml:space="preserve"> </w:t>
      </w:r>
      <w:r>
        <w:t xml:space="preserve">periodic steady state by 120 h. Absolute water-age values and absolute risk severities in</w:t>
      </w:r>
      <w:r>
        <w:t xml:space="preserve"> </w:t>
      </w:r>
      <w:r>
        <w:t xml:space="preserve">Section 3.6 accordingly inherit a residual dependence on the horizon and are used for comparison</w:t>
      </w:r>
      <w:r>
        <w:t xml:space="preserve"> </w:t>
      </w:r>
      <w:r>
        <w:t xml:space="preserve">between conditions rather than as calibrated magnitudes.</w:t>
      </w:r>
    </w:p>
    <w:bookmarkEnd w:id="53"/>
    <w:bookmarkStart w:id="57" w:name="X363b76eb22d35aa07cd79805d4a68fc06fa9e46"/>
    <w:p>
      <w:pPr>
        <w:pStyle w:val="Heading3"/>
      </w:pPr>
      <w:r>
        <w:t xml:space="preserve">3.1.3 Signal and noise characteristics of the synthetic observations</w:t>
      </w:r>
    </w:p>
    <w:p>
      <w:pPr>
        <w:pStyle w:val="FirstParagraph"/>
      </w:pPr>
      <w:r>
        <w:t xml:space="preserve">Observations were formed by adding Gaussian noise with a standard deviation of 0.1 mg L</w:t>
      </w:r>
      <w:r>
        <w:rPr>
          <w:vertAlign w:val="superscript"/>
        </w:rPr>
        <w:t xml:space="preserve">-1</w:t>
      </w:r>
      <w:r>
        <w:t xml:space="preserve"> </w:t>
      </w:r>
      <w:r>
        <w:t xml:space="preserve">to</w:t>
      </w:r>
      <w:r>
        <w:t xml:space="preserve"> </w:t>
      </w:r>
      <w:r>
        <w:t xml:space="preserve">the true series at the six monitors and flooring the result at zero, giving 6 x 49 = 294</w:t>
      </w:r>
      <w:r>
        <w:t xml:space="preserve"> </w:t>
      </w:r>
      <w:r>
        <w:t xml:space="preserve">residuals. The realised noise RMSE over the window was 0.0973 mg L</w:t>
      </w:r>
      <w:r>
        <w:rPr>
          <w:vertAlign w:val="superscript"/>
        </w:rPr>
        <w:t xml:space="preserve">-1</w:t>
      </w:r>
      <w:r>
        <w:t xml:space="preserve">, while the minimum RMSE</w:t>
      </w:r>
      <w:r>
        <w:t xml:space="preserve"> </w:t>
      </w:r>
      <w:r>
        <w:t xml:space="preserve">anywhere in the 8192-member candidate library was 0.0971 mg L</w:t>
      </w:r>
      <w:r>
        <w:rPr>
          <w:vertAlign w:val="superscript"/>
        </w:rPr>
        <w:t xml:space="preserve">-1</w:t>
      </w:r>
      <w:r>
        <w:t xml:space="preserve">: the best candidate therefore</w:t>
      </w:r>
      <w:r>
        <w:t xml:space="preserve"> </w:t>
      </w:r>
      <w:r>
        <w:t xml:space="preserve">fits the observations to approximately the imposed noise floor. This establishes that a low</w:t>
      </w:r>
      <w:r>
        <w:t xml:space="preserve"> </w:t>
      </w:r>
      <w:r>
        <w:t xml:space="preserve">aggregate residual is attainable, not that the corresponding parameter vector is correctly</w:t>
      </w:r>
      <w:r>
        <w:t xml:space="preserve"> </w:t>
      </w:r>
      <w:r>
        <w:t xml:space="preserve">identified — small residual differences accumulated over 294 observations may still carry</w:t>
      </w:r>
      <w:r>
        <w:t xml:space="preserve"> </w:t>
      </w:r>
      <w:r>
        <w:t xml:space="preserve">substantial inferential information, and Section 3.2 measures how much of it the competing</w:t>
      </w:r>
      <w:r>
        <w:t xml:space="preserve"> </w:t>
      </w:r>
      <w:r>
        <w:t xml:space="preserve">weighting rules actually extract. It also motivates, without establishing, the</w:t>
      </w:r>
      <w:r>
        <w:t xml:space="preserve"> </w:t>
      </w:r>
      <w:r>
        <w:t xml:space="preserve">precise-but-biased case of Section 3.4, where good residual fit survives a structurally</w:t>
      </w:r>
      <w:r>
        <w:t xml:space="preserve"> </w:t>
      </w:r>
      <w:r>
        <w:t xml:space="preserve">displaced coefficient.</w:t>
      </w:r>
    </w:p>
    <w:p>
      <w:pPr>
        <w:pStyle w:val="BodyText"/>
      </w:pPr>
      <w:r>
        <w:t xml:space="preserve">The same absolute error represents very different relative perturbations across the network: at</w:t>
      </w:r>
      <w:r>
        <w:t xml:space="preserve"> </w:t>
      </w:r>
      <w:r>
        <w:t xml:space="preserve">node 107 a standard deviation of 0.1 mg L</w:t>
      </w:r>
      <w:r>
        <w:rPr>
          <w:vertAlign w:val="superscript"/>
        </w:rPr>
        <w:t xml:space="preserve">-1</w:t>
      </w:r>
      <w:r>
        <w:t xml:space="preserve"> </w:t>
      </w:r>
      <w:r>
        <w:t xml:space="preserve">is about 12% of the mean concentration, against</w:t>
      </w:r>
      <w:r>
        <w:t xml:space="preserve"> </w:t>
      </w:r>
      <w:r>
        <w:t xml:space="preserve">roughly 40% at node 15. The low-concentration old-zone monitors therefore operate at a poorer</w:t>
      </w:r>
      <w:r>
        <w:t xml:space="preserve"> </w:t>
      </w:r>
      <w:r>
        <w:t xml:space="preserve">concentration-scale signal-to-noise ratio, although parameter information ultimately depends on</w:t>
      </w:r>
      <w:r>
        <w:t xml:space="preserve"> </w:t>
      </w:r>
      <w:r>
        <w:t xml:space="preserve">the concentration Jacobian rather than relative concentration alone (Section 3.2.3). Ten of the</w:t>
      </w:r>
      <w:r>
        <w:t xml:space="preserve"> </w:t>
      </w:r>
      <w:r>
        <w:t xml:space="preserve">294 observations were floored at zero — six at node 15, three at node 145 and one at node 231,</w:t>
      </w:r>
      <w:r>
        <w:t xml:space="preserve"> </w:t>
      </w:r>
      <w:r>
        <w:t xml:space="preserve">that is nine in the old zone and one in the average zone, none in the new zone. Censoring is</w:t>
      </w:r>
      <w:r>
        <w:t xml:space="preserve"> </w:t>
      </w:r>
      <w:r>
        <w:t xml:space="preserve">thus concentrated in the low-residual part of the network, the region most relevant to the</w:t>
      </w:r>
      <w:r>
        <w:t xml:space="preserve"> </w:t>
      </w:r>
      <w:r>
        <w:t xml:space="preserve">threshold-based risk analysis that follows, and is handled explicitly in the primary likelihood.</w:t>
      </w:r>
    </w:p>
    <w:p>
      <w:pPr>
        <w:pStyle w:val="CaptionedFigure"/>
      </w:pPr>
      <w:r>
        <w:drawing>
          <wp:inline>
            <wp:extent cx="4512415" cy="2282562"/>
            <wp:effectExtent b="0" l="0" r="0" t="0"/>
            <wp:docPr descr="Figure 1. Study system and forward baseline. (A) Net3 with pipes coloured by synthetic reaction zone, the six monitors, sources and tanks. (B) True concentration series at the monitors over the 120-168 h window (lines) with the noisy calibration observations (points). (C) Per-junction window minimum over the deterministic truth; 21 of 92 junctions fall below 0.2 mg L-1." title="" id="55" name="Picture"/>
            <a:graphic>
              <a:graphicData uri="http://schemas.openxmlformats.org/drawingml/2006/picture">
                <pic:pic>
                  <pic:nvPicPr>
                    <pic:cNvPr descr="figures/paper/fig1_study_design.png" id="56" name="Picture"/>
                    <pic:cNvPicPr>
                      <a:picLocks noChangeArrowheads="1" noChangeAspect="1"/>
                    </pic:cNvPicPr>
                  </pic:nvPicPr>
                  <pic:blipFill>
                    <a:blip r:embed="rId54"/>
                    <a:stretch>
                      <a:fillRect/>
                    </a:stretch>
                  </pic:blipFill>
                  <pic:spPr bwMode="auto">
                    <a:xfrm>
                      <a:off x="0" y="0"/>
                      <a:ext cx="4512415" cy="2282562"/>
                    </a:xfrm>
                    <a:prstGeom prst="rect">
                      <a:avLst/>
                    </a:prstGeom>
                    <a:noFill/>
                    <a:ln w="9525">
                      <a:noFill/>
                      <a:headEnd/>
                      <a:tailEnd/>
                    </a:ln>
                  </pic:spPr>
                </pic:pic>
              </a:graphicData>
            </a:graphic>
          </wp:inline>
        </w:drawing>
      </w:r>
    </w:p>
    <w:p>
      <w:pPr>
        <w:pStyle w:val="ImageCaption"/>
      </w:pPr>
      <w:r>
        <w:t xml:space="preserve">Figure 1.</w:t>
      </w:r>
      <w:r>
        <w:t xml:space="preserve"> </w:t>
      </w:r>
      <w:r>
        <w:rPr>
          <w:b/>
          <w:bCs/>
        </w:rPr>
        <w:t xml:space="preserve">Study system and forward baseline.</w:t>
      </w:r>
      <w:r>
        <w:t xml:space="preserve"> </w:t>
      </w:r>
      <w:r>
        <w:t xml:space="preserve">(A) Net3 with pipes coloured by synthetic</w:t>
      </w:r>
      <w:r>
        <w:t xml:space="preserve"> </w:t>
      </w:r>
      <w:r>
        <w:t xml:space="preserve">reaction zone, the six monitors, sources and tanks. (B) True concentration series at the</w:t>
      </w:r>
      <w:r>
        <w:t xml:space="preserve"> </w:t>
      </w:r>
      <w:r>
        <w:t xml:space="preserve">monitors over the 120-168 h window (lines) with the noisy calibration observations (points). (C)</w:t>
      </w:r>
      <w:r>
        <w:t xml:space="preserve"> </w:t>
      </w:r>
      <w:r>
        <w:t xml:space="preserve">Per-junction window minimum over the deterministic truth; 21 of 92 junctions fall below 0.2 mg</w:t>
      </w:r>
      <w:r>
        <w:t xml:space="preserve"> </w:t>
      </w:r>
      <w:r>
        <w:t xml:space="preserve">L</w:t>
      </w:r>
      <w:r>
        <w:rPr>
          <w:vertAlign w:val="superscript"/>
        </w:rPr>
        <w:t xml:space="preserve">-1</w:t>
      </w:r>
      <w:r>
        <w:t xml:space="preserve">.</w:t>
      </w:r>
    </w:p>
    <w:bookmarkEnd w:id="57"/>
    <w:bookmarkEnd w:id="58"/>
    <w:bookmarkStart w:id="68" w:name="X7b47f5ae1b22a149158dafccf276b81bf54b073"/>
    <w:p>
      <w:pPr>
        <w:pStyle w:val="Heading2"/>
      </w:pPr>
      <w:r>
        <w:t xml:space="preserve">3.2 Inference formulation determines apparent identifiability</w:t>
      </w:r>
    </w:p>
    <w:bookmarkStart w:id="62" w:name="Xca8b7342834ba1321fa518e701a07bd1384c0bb"/>
    <w:p>
      <w:pPr>
        <w:pStyle w:val="Heading3"/>
      </w:pPr>
      <w:r>
        <w:t xml:space="preserve">3.2.1 The same observations under three weighting rules</w:t>
      </w:r>
    </w:p>
    <w:p>
      <w:pPr>
        <w:pStyle w:val="FirstParagraph"/>
      </w:pPr>
      <w:r>
        <w:t xml:space="preserve">How much of any answer about parameter information is a property of the weighting rule rather</w:t>
      </w:r>
      <w:r>
        <w:t xml:space="preserve"> </w:t>
      </w:r>
      <w:r>
        <w:t xml:space="preserve">than of the data? All three rules were applied to one library of 8192 candidates, so</w:t>
      </w:r>
      <w:r>
        <w:t xml:space="preserve"> </w:t>
      </w:r>
      <w:r>
        <w:t xml:space="preserve">observations, prior and candidate set were identical and only the weighting changed.</w:t>
      </w:r>
    </w:p>
    <w:p>
      <w:pPr>
        <w:pStyle w:val="BodyText"/>
      </w:pPr>
      <w:r>
        <w:t xml:space="preserve">The three rules disagree sharply (Table 3, Figure 2). Under the primary censored Gaussian</w:t>
      </w:r>
      <w:r>
        <w:t xml:space="preserve"> </w:t>
      </w:r>
      <w:r>
        <w:t xml:space="preserve">likelihood the posterior standard deviation was 25.0%, 30.7% and 28.3% of the prior standard</w:t>
      </w:r>
      <w:r>
        <w:t xml:space="preserve"> </w:t>
      </w:r>
      <w:r>
        <w:t xml:space="preserve">deviation for the old, average and new coefficients respectively. Under the informal GLUE score</w:t>
      </w:r>
      <w:r>
        <w:t xml:space="preserve"> </w:t>
      </w:r>
      <w:r>
        <w:t xml:space="preserve">at the threshold used in the original analysis, RMSE &lt; 0.120 mg L</w:t>
      </w:r>
      <w:r>
        <w:rPr>
          <w:vertAlign w:val="superscript"/>
        </w:rPr>
        <w:t xml:space="preserve">-1</w:t>
      </w:r>
      <w:r>
        <w:t xml:space="preserve">, the same 294 residuals</w:t>
      </w:r>
      <w:r>
        <w:t xml:space="preserve"> </w:t>
      </w:r>
      <w:r>
        <w:t xml:space="preserve">left 85.8%, 98.4% and 98.0% of the prior standard deviation intact: the average and new</w:t>
      </w:r>
      <w:r>
        <w:t xml:space="preserve"> </w:t>
      </w:r>
      <w:r>
        <w:t xml:space="preserve">behavioural distributions retained essentially the full prior dispersion and were effectively</w:t>
      </w:r>
      <w:r>
        <w:t xml:space="preserve"> </w:t>
      </w:r>
      <w:r>
        <w:t xml:space="preserve">prior-dominated under this rule. The formal iid comparator, which differs from the primary rule</w:t>
      </w:r>
      <w:r>
        <w:t xml:space="preserve"> </w:t>
      </w:r>
      <w:r>
        <w:t xml:space="preserve">only in treating a floored reading as an exact zero, returned 24.5%, 30.6% and 28.3%; the</w:t>
      </w:r>
      <w:r>
        <w:t xml:space="preserve"> </w:t>
      </w:r>
      <w:r>
        <w:t xml:space="preserve">treatment of the ten floored observations therefore cannot explain the formal–informal</w:t>
      </w:r>
      <w:r>
        <w:t xml:space="preserve"> </w:t>
      </w:r>
      <w:r>
        <w:t xml:space="preserve">difference in this experiment.</w:t>
      </w:r>
    </w:p>
    <w:tbl>
      <w:tblPr>
        <w:tblStyle w:val="Table"/>
        <w:tblW w:type="pct" w:w="5000"/>
        <w:tblLayout w:type="fixed"/>
        <w:tblLook w:firstRow="1" w:lastRow="0" w:firstColumn="0" w:lastColumn="0" w:noHBand="0" w:noVBand="0" w:val="0020"/>
      </w:tblPr>
      <w:tblGrid>
        <w:gridCol w:w="792"/>
        <w:gridCol w:w="1056"/>
        <w:gridCol w:w="1056"/>
        <w:gridCol w:w="792"/>
        <w:gridCol w:w="1056"/>
        <w:gridCol w:w="1056"/>
        <w:gridCol w:w="1056"/>
        <w:gridCol w:w="1056"/>
      </w:tblGrid>
      <w:tr>
        <w:trPr>
          <w:tblHeader w:val="on"/>
        </w:trPr>
        <w:tc>
          <w:tcPr/>
          <w:p>
            <w:pPr>
              <w:pStyle w:val="Compact"/>
            </w:pPr>
            <w:r>
              <w:t xml:space="preserve">Coefficient</w:t>
            </w:r>
          </w:p>
        </w:tc>
        <w:tc>
          <w:tcPr/>
          <w:p>
            <w:pPr>
              <w:pStyle w:val="Compact"/>
              <w:jc w:val="right"/>
            </w:pPr>
            <w:r>
              <w:t xml:space="preserve">Truth</w:t>
            </w:r>
          </w:p>
        </w:tc>
        <w:tc>
          <w:tcPr/>
          <w:p>
            <w:pPr>
              <w:pStyle w:val="Compact"/>
              <w:jc w:val="right"/>
            </w:pPr>
            <w:r>
              <w:t xml:space="preserve">Prior SD</w:t>
            </w:r>
          </w:p>
        </w:tc>
        <w:tc>
          <w:tcPr/>
          <w:p>
            <w:pPr>
              <w:pStyle w:val="Compact"/>
            </w:pPr>
            <w:r>
              <w:t xml:space="preserve">Scheme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SD retained</w:t>
            </w:r>
          </w:p>
        </w:tc>
        <w:tc>
          <w:tcPr/>
          <w:p>
            <w:pPr>
              <w:pStyle w:val="Compact"/>
              <w:jc w:val="right"/>
            </w:pPr>
            <w:r>
              <w:t xml:space="preserve">ESS</w:t>
            </w:r>
          </w:p>
        </w:tc>
      </w:tr>
      <w:tr>
        <w:tc>
          <w:tcPr/>
          <w:p>
            <w:pPr>
              <w:pStyle w:val="Compact"/>
            </w:pPr>
            <w:r>
              <w:t xml:space="preserve">old</w:t>
            </w:r>
          </w:p>
        </w:tc>
        <w:tc>
          <w:tcPr/>
          <w:p>
            <w:pPr>
              <w:pStyle w:val="Compact"/>
              <w:jc w:val="right"/>
            </w:pPr>
            <w:r>
              <w:t xml:space="preserve">-1.000</w:t>
            </w:r>
          </w:p>
        </w:tc>
        <w:tc>
          <w:tcPr/>
          <w:p>
            <w:pPr>
              <w:pStyle w:val="Compact"/>
              <w:jc w:val="right"/>
            </w:pPr>
            <w:r>
              <w:t xml:space="preserve">0.3753</w:t>
            </w:r>
          </w:p>
        </w:tc>
        <w:tc>
          <w:tcPr/>
          <w:p>
            <w:pPr>
              <w:pStyle w:val="Compact"/>
            </w:pPr>
            <w:r>
              <w:t xml:space="preserve">formal censored</w:t>
            </w:r>
          </w:p>
        </w:tc>
        <w:tc>
          <w:tcPr/>
          <w:p>
            <w:pPr>
              <w:pStyle w:val="Compact"/>
              <w:jc w:val="right"/>
            </w:pPr>
            <w:r>
              <w:t xml:space="preserve">-0.9876</w:t>
            </w:r>
          </w:p>
        </w:tc>
        <w:tc>
          <w:tcPr/>
          <w:p>
            <w:pPr>
              <w:pStyle w:val="Compact"/>
              <w:jc w:val="right"/>
            </w:pPr>
            <w:r>
              <w:t xml:space="preserve">0.0938</w:t>
            </w:r>
          </w:p>
        </w:tc>
        <w:tc>
          <w:tcPr/>
          <w:p>
            <w:pPr>
              <w:pStyle w:val="Compact"/>
              <w:jc w:val="right"/>
            </w:pPr>
            <w:r>
              <w:t xml:space="preserve">25.0%</w:t>
            </w:r>
          </w:p>
        </w:tc>
        <w:tc>
          <w:tcPr/>
          <w:p>
            <w:pPr>
              <w:pStyle w:val="Compact"/>
              <w:jc w:val="right"/>
            </w:pPr>
            <w:r>
              <w:t xml:space="preserve">157</w:t>
            </w:r>
          </w:p>
        </w:tc>
      </w:tr>
      <w:tr>
        <w:tc>
          <w:tcPr/>
          <w:p>
            <w:pPr>
              <w:pStyle w:val="Compact"/>
            </w:pPr>
          </w:p>
        </w:tc>
        <w:tc>
          <w:tcPr/>
          <w:p>
            <w:pPr>
              <w:pStyle w:val="Compact"/>
              <w:jc w:val="right"/>
            </w:pPr>
            <w:r>
              <w:t xml:space="preserve">-1.000</w:t>
            </w:r>
          </w:p>
        </w:tc>
        <w:tc>
          <w:tcPr/>
          <w:p>
            <w:pPr>
              <w:pStyle w:val="Compact"/>
              <w:jc w:val="right"/>
            </w:pPr>
            <w:r>
              <w:t xml:space="preserve">0.3753</w:t>
            </w:r>
          </w:p>
        </w:tc>
        <w:tc>
          <w:tcPr/>
          <w:p>
            <w:pPr>
              <w:pStyle w:val="Compact"/>
            </w:pPr>
            <w:r>
              <w:t xml:space="preserve">formal iid</w:t>
            </w:r>
          </w:p>
        </w:tc>
        <w:tc>
          <w:tcPr/>
          <w:p>
            <w:pPr>
              <w:pStyle w:val="Compact"/>
              <w:jc w:val="right"/>
            </w:pPr>
            <w:r>
              <w:t xml:space="preserve">-0.9708</w:t>
            </w:r>
          </w:p>
        </w:tc>
        <w:tc>
          <w:tcPr/>
          <w:p>
            <w:pPr>
              <w:pStyle w:val="Compact"/>
              <w:jc w:val="right"/>
            </w:pPr>
            <w:r>
              <w:t xml:space="preserve">0.0920</w:t>
            </w:r>
          </w:p>
        </w:tc>
        <w:tc>
          <w:tcPr/>
          <w:p>
            <w:pPr>
              <w:pStyle w:val="Compact"/>
              <w:jc w:val="right"/>
            </w:pPr>
            <w:r>
              <w:t xml:space="preserve">24.5%</w:t>
            </w:r>
          </w:p>
        </w:tc>
        <w:tc>
          <w:tcPr/>
          <w:p>
            <w:pPr>
              <w:pStyle w:val="Compact"/>
              <w:jc w:val="right"/>
            </w:pPr>
            <w:r>
              <w:t xml:space="preserve">154</w:t>
            </w:r>
          </w:p>
        </w:tc>
      </w:tr>
      <w:tr>
        <w:tc>
          <w:tcPr/>
          <w:p>
            <w:pPr>
              <w:pStyle w:val="Compact"/>
            </w:pPr>
          </w:p>
        </w:tc>
        <w:tc>
          <w:tcPr/>
          <w:p>
            <w:pPr>
              <w:pStyle w:val="Compact"/>
              <w:jc w:val="right"/>
            </w:pPr>
            <w:r>
              <w:t xml:space="preserve">-1.000</w:t>
            </w:r>
          </w:p>
        </w:tc>
        <w:tc>
          <w:tcPr/>
          <w:p>
            <w:pPr>
              <w:pStyle w:val="Compact"/>
              <w:jc w:val="right"/>
            </w:pPr>
            <w:r>
              <w:t xml:space="preserve">0.3753</w:t>
            </w:r>
          </w:p>
        </w:tc>
        <w:tc>
          <w:tcPr/>
          <w:p>
            <w:pPr>
              <w:pStyle w:val="Compact"/>
            </w:pPr>
            <w:r>
              <w:t xml:space="preserve">informal GLUE 0.107</w:t>
            </w:r>
          </w:p>
        </w:tc>
        <w:tc>
          <w:tcPr/>
          <w:p>
            <w:pPr>
              <w:pStyle w:val="Compact"/>
              <w:jc w:val="right"/>
            </w:pPr>
            <w:r>
              <w:t xml:space="preserve">-1.0115</w:t>
            </w:r>
          </w:p>
        </w:tc>
        <w:tc>
          <w:tcPr/>
          <w:p>
            <w:pPr>
              <w:pStyle w:val="Compact"/>
              <w:jc w:val="right"/>
            </w:pPr>
            <w:r>
              <w:t xml:space="preserve">0.2668</w:t>
            </w:r>
          </w:p>
        </w:tc>
        <w:tc>
          <w:tcPr/>
          <w:p>
            <w:pPr>
              <w:pStyle w:val="Compact"/>
              <w:jc w:val="right"/>
            </w:pPr>
            <w:r>
              <w:t xml:space="preserve">71.1%</w:t>
            </w:r>
          </w:p>
        </w:tc>
        <w:tc>
          <w:tcPr/>
          <w:p>
            <w:pPr>
              <w:pStyle w:val="Compact"/>
              <w:jc w:val="right"/>
            </w:pPr>
            <w:r>
              <w:t xml:space="preserve">4783</w:t>
            </w:r>
          </w:p>
        </w:tc>
      </w:tr>
      <w:tr>
        <w:tc>
          <w:tcPr/>
          <w:p>
            <w:pPr>
              <w:pStyle w:val="Compact"/>
            </w:pPr>
          </w:p>
        </w:tc>
        <w:tc>
          <w:tcPr/>
          <w:p>
            <w:pPr>
              <w:pStyle w:val="Compact"/>
              <w:jc w:val="right"/>
            </w:pPr>
            <w:r>
              <w:t xml:space="preserve">-1.000</w:t>
            </w:r>
          </w:p>
        </w:tc>
        <w:tc>
          <w:tcPr/>
          <w:p>
            <w:pPr>
              <w:pStyle w:val="Compact"/>
              <w:jc w:val="right"/>
            </w:pPr>
            <w:r>
              <w:t xml:space="preserve">0.3753</w:t>
            </w:r>
          </w:p>
        </w:tc>
        <w:tc>
          <w:tcPr/>
          <w:p>
            <w:pPr>
              <w:pStyle w:val="Compact"/>
            </w:pPr>
            <w:r>
              <w:t xml:space="preserve">informal GLUE 0.120</w:t>
            </w:r>
          </w:p>
        </w:tc>
        <w:tc>
          <w:tcPr/>
          <w:p>
            <w:pPr>
              <w:pStyle w:val="Compact"/>
              <w:jc w:val="right"/>
            </w:pPr>
            <w:r>
              <w:t xml:space="preserve">-0.9431</w:t>
            </w:r>
          </w:p>
        </w:tc>
        <w:tc>
          <w:tcPr/>
          <w:p>
            <w:pPr>
              <w:pStyle w:val="Compact"/>
              <w:jc w:val="right"/>
            </w:pPr>
            <w:r>
              <w:t xml:space="preserve">0.3220</w:t>
            </w:r>
          </w:p>
        </w:tc>
        <w:tc>
          <w:tcPr/>
          <w:p>
            <w:pPr>
              <w:pStyle w:val="Compact"/>
              <w:jc w:val="right"/>
            </w:pPr>
            <w:r>
              <w:t xml:space="preserve">85.8%</w:t>
            </w:r>
          </w:p>
        </w:tc>
        <w:tc>
          <w:tcPr/>
          <w:p>
            <w:pPr>
              <w:pStyle w:val="Compact"/>
              <w:jc w:val="right"/>
            </w:pPr>
            <w:r>
              <w:t xml:space="preserve">7062</w:t>
            </w:r>
          </w:p>
        </w:tc>
      </w:tr>
      <w:tr>
        <w:tc>
          <w:tcPr/>
          <w:p>
            <w:pPr>
              <w:pStyle w:val="Compact"/>
            </w:pPr>
            <w:r>
              <w:t xml:space="preserve">average</w:t>
            </w:r>
          </w:p>
        </w:tc>
        <w:tc>
          <w:tcPr/>
          <w:p>
            <w:pPr>
              <w:pStyle w:val="Compact"/>
              <w:jc w:val="right"/>
            </w:pPr>
            <w:r>
              <w:t xml:space="preserve">-0.100</w:t>
            </w:r>
          </w:p>
        </w:tc>
        <w:tc>
          <w:tcPr/>
          <w:p>
            <w:pPr>
              <w:pStyle w:val="Compact"/>
              <w:jc w:val="right"/>
            </w:pPr>
            <w:r>
              <w:t xml:space="preserve">0.0462</w:t>
            </w:r>
          </w:p>
        </w:tc>
        <w:tc>
          <w:tcPr/>
          <w:p>
            <w:pPr>
              <w:pStyle w:val="Compact"/>
            </w:pPr>
            <w:r>
              <w:t xml:space="preserve">formal censored</w:t>
            </w:r>
          </w:p>
        </w:tc>
        <w:tc>
          <w:tcPr/>
          <w:p>
            <w:pPr>
              <w:pStyle w:val="Compact"/>
              <w:jc w:val="right"/>
            </w:pPr>
            <w:r>
              <w:t xml:space="preserve">-0.1091</w:t>
            </w:r>
          </w:p>
        </w:tc>
        <w:tc>
          <w:tcPr/>
          <w:p>
            <w:pPr>
              <w:pStyle w:val="Compact"/>
              <w:jc w:val="right"/>
            </w:pPr>
            <w:r>
              <w:t xml:space="preserve">0.0142</w:t>
            </w:r>
          </w:p>
        </w:tc>
        <w:tc>
          <w:tcPr/>
          <w:p>
            <w:pPr>
              <w:pStyle w:val="Compact"/>
              <w:jc w:val="right"/>
            </w:pPr>
            <w:r>
              <w:t xml:space="preserve">30.7%</w:t>
            </w:r>
          </w:p>
        </w:tc>
        <w:tc>
          <w:tcPr/>
          <w:p>
            <w:pPr>
              <w:pStyle w:val="Compact"/>
              <w:jc w:val="right"/>
            </w:pPr>
            <w:r>
              <w:t xml:space="preserve">157</w:t>
            </w:r>
          </w:p>
        </w:tc>
      </w:tr>
      <w:tr>
        <w:tc>
          <w:tcPr/>
          <w:p>
            <w:pPr>
              <w:pStyle w:val="Compact"/>
            </w:pPr>
          </w:p>
        </w:tc>
        <w:tc>
          <w:tcPr/>
          <w:p>
            <w:pPr>
              <w:pStyle w:val="Compact"/>
              <w:jc w:val="right"/>
            </w:pPr>
            <w:r>
              <w:t xml:space="preserve">-0.100</w:t>
            </w:r>
          </w:p>
        </w:tc>
        <w:tc>
          <w:tcPr/>
          <w:p>
            <w:pPr>
              <w:pStyle w:val="Compact"/>
              <w:jc w:val="right"/>
            </w:pPr>
            <w:r>
              <w:t xml:space="preserve">0.0462</w:t>
            </w:r>
          </w:p>
        </w:tc>
        <w:tc>
          <w:tcPr/>
          <w:p>
            <w:pPr>
              <w:pStyle w:val="Compact"/>
            </w:pPr>
            <w:r>
              <w:t xml:space="preserve">formal iid</w:t>
            </w:r>
          </w:p>
        </w:tc>
        <w:tc>
          <w:tcPr/>
          <w:p>
            <w:pPr>
              <w:pStyle w:val="Compact"/>
              <w:jc w:val="right"/>
            </w:pPr>
            <w:r>
              <w:t xml:space="preserve">-0.1087</w:t>
            </w:r>
          </w:p>
        </w:tc>
        <w:tc>
          <w:tcPr/>
          <w:p>
            <w:pPr>
              <w:pStyle w:val="Compact"/>
              <w:jc w:val="right"/>
            </w:pPr>
            <w:r>
              <w:t xml:space="preserve">0.0141</w:t>
            </w:r>
          </w:p>
        </w:tc>
        <w:tc>
          <w:tcPr/>
          <w:p>
            <w:pPr>
              <w:pStyle w:val="Compact"/>
              <w:jc w:val="right"/>
            </w:pPr>
            <w:r>
              <w:t xml:space="preserve">30.6%</w:t>
            </w:r>
          </w:p>
        </w:tc>
        <w:tc>
          <w:tcPr/>
          <w:p>
            <w:pPr>
              <w:pStyle w:val="Compact"/>
              <w:jc w:val="right"/>
            </w:pPr>
            <w:r>
              <w:t xml:space="preserve">154</w:t>
            </w:r>
          </w:p>
        </w:tc>
      </w:tr>
      <w:tr>
        <w:tc>
          <w:tcPr/>
          <w:p>
            <w:pPr>
              <w:pStyle w:val="Compact"/>
            </w:pPr>
          </w:p>
        </w:tc>
        <w:tc>
          <w:tcPr/>
          <w:p>
            <w:pPr>
              <w:pStyle w:val="Compact"/>
              <w:jc w:val="right"/>
            </w:pPr>
            <w:r>
              <w:t xml:space="preserve">-0.100</w:t>
            </w:r>
          </w:p>
        </w:tc>
        <w:tc>
          <w:tcPr/>
          <w:p>
            <w:pPr>
              <w:pStyle w:val="Compact"/>
              <w:jc w:val="right"/>
            </w:pPr>
            <w:r>
              <w:t xml:space="preserve">0.0462</w:t>
            </w:r>
          </w:p>
        </w:tc>
        <w:tc>
          <w:tcPr/>
          <w:p>
            <w:pPr>
              <w:pStyle w:val="Compact"/>
            </w:pPr>
            <w:r>
              <w:t xml:space="preserve">informal GLUE 0.107</w:t>
            </w:r>
          </w:p>
        </w:tc>
        <w:tc>
          <w:tcPr/>
          <w:p>
            <w:pPr>
              <w:pStyle w:val="Compact"/>
              <w:jc w:val="right"/>
            </w:pPr>
            <w:r>
              <w:t xml:space="preserve">-0.1170</w:t>
            </w:r>
          </w:p>
        </w:tc>
        <w:tc>
          <w:tcPr/>
          <w:p>
            <w:pPr>
              <w:pStyle w:val="Compact"/>
              <w:jc w:val="right"/>
            </w:pPr>
            <w:r>
              <w:t xml:space="preserve">0.0424</w:t>
            </w:r>
          </w:p>
        </w:tc>
        <w:tc>
          <w:tcPr/>
          <w:p>
            <w:pPr>
              <w:pStyle w:val="Compact"/>
              <w:jc w:val="right"/>
            </w:pPr>
            <w:r>
              <w:t xml:space="preserve">91.8%</w:t>
            </w:r>
          </w:p>
        </w:tc>
        <w:tc>
          <w:tcPr/>
          <w:p>
            <w:pPr>
              <w:pStyle w:val="Compact"/>
              <w:jc w:val="right"/>
            </w:pPr>
            <w:r>
              <w:t xml:space="preserve">4783</w:t>
            </w:r>
          </w:p>
        </w:tc>
      </w:tr>
      <w:tr>
        <w:tc>
          <w:tcPr/>
          <w:p>
            <w:pPr>
              <w:pStyle w:val="Compact"/>
            </w:pPr>
          </w:p>
        </w:tc>
        <w:tc>
          <w:tcPr/>
          <w:p>
            <w:pPr>
              <w:pStyle w:val="Compact"/>
              <w:jc w:val="right"/>
            </w:pPr>
            <w:r>
              <w:t xml:space="preserve">-0.100</w:t>
            </w:r>
          </w:p>
        </w:tc>
        <w:tc>
          <w:tcPr/>
          <w:p>
            <w:pPr>
              <w:pStyle w:val="Compact"/>
              <w:jc w:val="right"/>
            </w:pPr>
            <w:r>
              <w:t xml:space="preserve">0.0462</w:t>
            </w:r>
          </w:p>
        </w:tc>
        <w:tc>
          <w:tcPr/>
          <w:p>
            <w:pPr>
              <w:pStyle w:val="Compact"/>
            </w:pPr>
            <w:r>
              <w:t xml:space="preserve">informal GLUE 0.120</w:t>
            </w:r>
          </w:p>
        </w:tc>
        <w:tc>
          <w:tcPr/>
          <w:p>
            <w:pPr>
              <w:pStyle w:val="Compact"/>
              <w:jc w:val="right"/>
            </w:pPr>
            <w:r>
              <w:t xml:space="preserve">-0.1196</w:t>
            </w:r>
          </w:p>
        </w:tc>
        <w:tc>
          <w:tcPr/>
          <w:p>
            <w:pPr>
              <w:pStyle w:val="Compact"/>
              <w:jc w:val="right"/>
            </w:pPr>
            <w:r>
              <w:t xml:space="preserve">0.0455</w:t>
            </w:r>
          </w:p>
        </w:tc>
        <w:tc>
          <w:tcPr/>
          <w:p>
            <w:pPr>
              <w:pStyle w:val="Compact"/>
              <w:jc w:val="right"/>
            </w:pPr>
            <w:r>
              <w:t xml:space="preserve">98.4%</w:t>
            </w:r>
          </w:p>
        </w:tc>
        <w:tc>
          <w:tcPr/>
          <w:p>
            <w:pPr>
              <w:pStyle w:val="Compact"/>
              <w:jc w:val="right"/>
            </w:pPr>
            <w:r>
              <w:t xml:space="preserve">7062</w:t>
            </w:r>
          </w:p>
        </w:tc>
      </w:tr>
      <w:tr>
        <w:tc>
          <w:tcPr/>
          <w:p>
            <w:pPr>
              <w:pStyle w:val="Compact"/>
            </w:pPr>
            <w:r>
              <w:t xml:space="preserve">new</w:t>
            </w:r>
          </w:p>
        </w:tc>
        <w:tc>
          <w:tcPr/>
          <w:p>
            <w:pPr>
              <w:pStyle w:val="Compact"/>
              <w:jc w:val="right"/>
            </w:pPr>
            <w:r>
              <w:t xml:space="preserve">-0.050</w:t>
            </w:r>
          </w:p>
        </w:tc>
        <w:tc>
          <w:tcPr/>
          <w:p>
            <w:pPr>
              <w:pStyle w:val="Compact"/>
              <w:jc w:val="right"/>
            </w:pPr>
            <w:r>
              <w:t xml:space="preserve">0.0274</w:t>
            </w:r>
          </w:p>
        </w:tc>
        <w:tc>
          <w:tcPr/>
          <w:p>
            <w:pPr>
              <w:pStyle w:val="Compact"/>
            </w:pPr>
            <w:r>
              <w:t xml:space="preserve">formal censored</w:t>
            </w:r>
          </w:p>
        </w:tc>
        <w:tc>
          <w:tcPr/>
          <w:p>
            <w:pPr>
              <w:pStyle w:val="Compact"/>
              <w:jc w:val="right"/>
            </w:pPr>
            <w:r>
              <w:t xml:space="preserve">-0.0440</w:t>
            </w:r>
          </w:p>
        </w:tc>
        <w:tc>
          <w:tcPr/>
          <w:p>
            <w:pPr>
              <w:pStyle w:val="Compact"/>
              <w:jc w:val="right"/>
            </w:pPr>
            <w:r>
              <w:t xml:space="preserve">0.0078</w:t>
            </w:r>
          </w:p>
        </w:tc>
        <w:tc>
          <w:tcPr/>
          <w:p>
            <w:pPr>
              <w:pStyle w:val="Compact"/>
              <w:jc w:val="right"/>
            </w:pPr>
            <w:r>
              <w:t xml:space="preserve">28.3%</w:t>
            </w:r>
          </w:p>
        </w:tc>
        <w:tc>
          <w:tcPr/>
          <w:p>
            <w:pPr>
              <w:pStyle w:val="Compact"/>
              <w:jc w:val="right"/>
            </w:pPr>
            <w:r>
              <w:t xml:space="preserve">157</w:t>
            </w:r>
          </w:p>
        </w:tc>
      </w:tr>
      <w:tr>
        <w:tc>
          <w:tcPr/>
          <w:p>
            <w:pPr>
              <w:pStyle w:val="Compact"/>
            </w:pPr>
          </w:p>
        </w:tc>
        <w:tc>
          <w:tcPr/>
          <w:p>
            <w:pPr>
              <w:pStyle w:val="Compact"/>
              <w:jc w:val="right"/>
            </w:pPr>
            <w:r>
              <w:t xml:space="preserve">-0.050</w:t>
            </w:r>
          </w:p>
        </w:tc>
        <w:tc>
          <w:tcPr/>
          <w:p>
            <w:pPr>
              <w:pStyle w:val="Compact"/>
              <w:jc w:val="right"/>
            </w:pPr>
            <w:r>
              <w:t xml:space="preserve">0.0274</w:t>
            </w:r>
          </w:p>
        </w:tc>
        <w:tc>
          <w:tcPr/>
          <w:p>
            <w:pPr>
              <w:pStyle w:val="Compact"/>
            </w:pPr>
            <w:r>
              <w:t xml:space="preserve">formal iid</w:t>
            </w:r>
          </w:p>
        </w:tc>
        <w:tc>
          <w:tcPr/>
          <w:p>
            <w:pPr>
              <w:pStyle w:val="Compact"/>
              <w:jc w:val="right"/>
            </w:pPr>
            <w:r>
              <w:t xml:space="preserve">-0.0441</w:t>
            </w:r>
          </w:p>
        </w:tc>
        <w:tc>
          <w:tcPr/>
          <w:p>
            <w:pPr>
              <w:pStyle w:val="Compact"/>
              <w:jc w:val="right"/>
            </w:pPr>
            <w:r>
              <w:t xml:space="preserve">0.0078</w:t>
            </w:r>
          </w:p>
        </w:tc>
        <w:tc>
          <w:tcPr/>
          <w:p>
            <w:pPr>
              <w:pStyle w:val="Compact"/>
              <w:jc w:val="right"/>
            </w:pPr>
            <w:r>
              <w:t xml:space="preserve">28.3%</w:t>
            </w:r>
          </w:p>
        </w:tc>
        <w:tc>
          <w:tcPr/>
          <w:p>
            <w:pPr>
              <w:pStyle w:val="Compact"/>
              <w:jc w:val="right"/>
            </w:pPr>
            <w:r>
              <w:t xml:space="preserve">154</w:t>
            </w:r>
          </w:p>
        </w:tc>
      </w:tr>
      <w:tr>
        <w:tc>
          <w:tcPr/>
          <w:p>
            <w:pPr>
              <w:pStyle w:val="Compact"/>
            </w:pPr>
          </w:p>
        </w:tc>
        <w:tc>
          <w:tcPr/>
          <w:p>
            <w:pPr>
              <w:pStyle w:val="Compact"/>
              <w:jc w:val="right"/>
            </w:pPr>
            <w:r>
              <w:t xml:space="preserve">-0.050</w:t>
            </w:r>
          </w:p>
        </w:tc>
        <w:tc>
          <w:tcPr/>
          <w:p>
            <w:pPr>
              <w:pStyle w:val="Compact"/>
              <w:jc w:val="right"/>
            </w:pPr>
            <w:r>
              <w:t xml:space="preserve">0.0274</w:t>
            </w:r>
          </w:p>
        </w:tc>
        <w:tc>
          <w:tcPr/>
          <w:p>
            <w:pPr>
              <w:pStyle w:val="Compact"/>
            </w:pPr>
            <w:r>
              <w:t xml:space="preserve">informal GLUE 0.107</w:t>
            </w:r>
          </w:p>
        </w:tc>
        <w:tc>
          <w:tcPr/>
          <w:p>
            <w:pPr>
              <w:pStyle w:val="Compact"/>
              <w:jc w:val="right"/>
            </w:pPr>
            <w:r>
              <w:t xml:space="preserve">-0.0492</w:t>
            </w:r>
          </w:p>
        </w:tc>
        <w:tc>
          <w:tcPr/>
          <w:p>
            <w:pPr>
              <w:pStyle w:val="Compact"/>
              <w:jc w:val="right"/>
            </w:pPr>
            <w:r>
              <w:t xml:space="preserve">0.0242</w:t>
            </w:r>
          </w:p>
        </w:tc>
        <w:tc>
          <w:tcPr/>
          <w:p>
            <w:pPr>
              <w:pStyle w:val="Compact"/>
              <w:jc w:val="right"/>
            </w:pPr>
            <w:r>
              <w:t xml:space="preserve">88.2%</w:t>
            </w:r>
          </w:p>
        </w:tc>
        <w:tc>
          <w:tcPr/>
          <w:p>
            <w:pPr>
              <w:pStyle w:val="Compact"/>
              <w:jc w:val="right"/>
            </w:pPr>
            <w:r>
              <w:t xml:space="preserve">4783</w:t>
            </w:r>
          </w:p>
        </w:tc>
      </w:tr>
      <w:tr>
        <w:tc>
          <w:tcPr/>
          <w:p>
            <w:pPr>
              <w:pStyle w:val="Compact"/>
            </w:pPr>
          </w:p>
        </w:tc>
        <w:tc>
          <w:tcPr/>
          <w:p>
            <w:pPr>
              <w:pStyle w:val="Compact"/>
              <w:jc w:val="right"/>
            </w:pPr>
            <w:r>
              <w:t xml:space="preserve">-0.050</w:t>
            </w:r>
          </w:p>
        </w:tc>
        <w:tc>
          <w:tcPr/>
          <w:p>
            <w:pPr>
              <w:pStyle w:val="Compact"/>
              <w:jc w:val="right"/>
            </w:pPr>
            <w:r>
              <w:t xml:space="preserve">0.0274</w:t>
            </w:r>
          </w:p>
        </w:tc>
        <w:tc>
          <w:tcPr/>
          <w:p>
            <w:pPr>
              <w:pStyle w:val="Compact"/>
            </w:pPr>
            <w:r>
              <w:t xml:space="preserve">informal GLUE 0.120</w:t>
            </w:r>
          </w:p>
        </w:tc>
        <w:tc>
          <w:tcPr/>
          <w:p>
            <w:pPr>
              <w:pStyle w:val="Compact"/>
              <w:jc w:val="right"/>
            </w:pPr>
            <w:r>
              <w:t xml:space="preserve">-0.0529</w:t>
            </w:r>
          </w:p>
        </w:tc>
        <w:tc>
          <w:tcPr/>
          <w:p>
            <w:pPr>
              <w:pStyle w:val="Compact"/>
              <w:jc w:val="right"/>
            </w:pPr>
            <w:r>
              <w:t xml:space="preserve">0.0269</w:t>
            </w:r>
          </w:p>
        </w:tc>
        <w:tc>
          <w:tcPr/>
          <w:p>
            <w:pPr>
              <w:pStyle w:val="Compact"/>
              <w:jc w:val="right"/>
            </w:pPr>
            <w:r>
              <w:t xml:space="preserve">98.0%</w:t>
            </w:r>
          </w:p>
        </w:tc>
        <w:tc>
          <w:tcPr/>
          <w:p>
            <w:pPr>
              <w:pStyle w:val="Compact"/>
              <w:jc w:val="right"/>
            </w:pPr>
            <w:r>
              <w:t xml:space="preserve">7062</w:t>
            </w:r>
          </w:p>
        </w:tc>
      </w:tr>
    </w:tbl>
    <w:p>
      <w:pPr>
        <w:pStyle w:val="BodyText"/>
      </w:pPr>
      <w:r>
        <w:t xml:space="preserve">Table 3.</w:t>
      </w:r>
      <w:r>
        <w:t xml:space="preserve"> </w:t>
      </w:r>
      <w:r>
        <w:rPr>
          <w:b/>
          <w:bCs/>
        </w:rPr>
        <w:t xml:space="preserve">Baseline inference comparison.</w:t>
      </w:r>
      <w:r>
        <w:t xml:space="preserve"> </w:t>
      </w:r>
      <w:r>
        <w:t xml:space="preserve">Posterior summaries for the three grouped wall-decay</w:t>
      </w:r>
      <w:r>
        <w:t xml:space="preserve"> </w:t>
      </w:r>
      <w:r>
        <w:t xml:space="preserve">coefficients under four weighting rules applied to the same 294 residuals and the same 8192</w:t>
      </w:r>
      <w:r>
        <w:t xml:space="preserve"> </w:t>
      </w:r>
      <w:r>
        <w:t xml:space="preserve">Sobol candidates.</w:t>
      </w:r>
      <w:r>
        <w:t xml:space="preserve"> </w:t>
      </w:r>
      <w:r>
        <w:t xml:space="preserve">“SD retained”</w:t>
      </w:r>
      <w:r>
        <w:t xml:space="preserve"> </w:t>
      </w:r>
      <w:r>
        <w:t xml:space="preserve">is the posterior standard deviation as a percentage of the prior</w:t>
      </w:r>
      <w:r>
        <w:t xml:space="preserve"> </w:t>
      </w:r>
      <w:r>
        <w:t xml:space="preserve">standard deviation; ESS is the effective sample size out of 8192.</w:t>
      </w:r>
    </w:p>
    <w:p>
      <w:pPr>
        <w:pStyle w:val="CaptionedFigure"/>
      </w:pPr>
      <w:r>
        <w:drawing>
          <wp:inline>
            <wp:extent cx="4661377" cy="3840938"/>
            <wp:effectExtent b="0" l="0" r="0" t="0"/>
            <wp:docPr descr="Figure 2. Inference formulation determines apparent identifiability. Weighted densities for each grouped coefficient under the uniform prior, the primary censored Gaussian likelihood and the informal GLUE score at two behavioural thresholds; dashed rules mark the true values. Bars give the posterior standard deviation as a percentage of the prior standard deviation." title="" id="60" name="Picture"/>
            <a:graphic>
              <a:graphicData uri="http://schemas.openxmlformats.org/drawingml/2006/picture">
                <pic:pic>
                  <pic:nvPicPr>
                    <pic:cNvPr descr="figures/paper/fig2_inference_rule_dependence.png" id="61" name="Picture"/>
                    <pic:cNvPicPr>
                      <a:picLocks noChangeArrowheads="1" noChangeAspect="1"/>
                    </pic:cNvPicPr>
                  </pic:nvPicPr>
                  <pic:blipFill>
                    <a:blip r:embed="rId59"/>
                    <a:stretch>
                      <a:fillRect/>
                    </a:stretch>
                  </pic:blipFill>
                  <pic:spPr bwMode="auto">
                    <a:xfrm>
                      <a:off x="0" y="0"/>
                      <a:ext cx="4661377" cy="3840938"/>
                    </a:xfrm>
                    <a:prstGeom prst="rect">
                      <a:avLst/>
                    </a:prstGeom>
                    <a:noFill/>
                    <a:ln w="9525">
                      <a:noFill/>
                      <a:headEnd/>
                      <a:tailEnd/>
                    </a:ln>
                  </pic:spPr>
                </pic:pic>
              </a:graphicData>
            </a:graphic>
          </wp:inline>
        </w:drawing>
      </w:r>
    </w:p>
    <w:p>
      <w:pPr>
        <w:pStyle w:val="ImageCaption"/>
      </w:pPr>
      <w:r>
        <w:t xml:space="preserve">Figure 2.</w:t>
      </w:r>
      <w:r>
        <w:t xml:space="preserve"> </w:t>
      </w:r>
      <w:r>
        <w:rPr>
          <w:b/>
          <w:bCs/>
        </w:rPr>
        <w:t xml:space="preserve">Inference formulation determines apparent identifiability.</w:t>
      </w:r>
      <w:r>
        <w:t xml:space="preserve"> </w:t>
      </w:r>
      <w:r>
        <w:t xml:space="preserve">Weighted densities</w:t>
      </w:r>
      <w:r>
        <w:t xml:space="preserve"> </w:t>
      </w:r>
      <w:r>
        <w:t xml:space="preserve">for each grouped coefficient under the uniform prior, the primary censored Gaussian likelihood</w:t>
      </w:r>
      <w:r>
        <w:t xml:space="preserve"> </w:t>
      </w:r>
      <w:r>
        <w:t xml:space="preserve">and the informal GLUE score at two behavioural thresholds; dashed rules mark the true values.</w:t>
      </w:r>
      <w:r>
        <w:t xml:space="preserve"> </w:t>
      </w:r>
      <w:r>
        <w:t xml:space="preserve">Bars give the posterior standard deviation as a percentage of the prior standard</w:t>
      </w:r>
      <w:r>
        <w:t xml:space="preserve"> </w:t>
      </w:r>
      <w:r>
        <w:t xml:space="preserve">deviation.</w:t>
      </w:r>
    </w:p>
    <w:p>
      <w:pPr>
        <w:pStyle w:val="BodyText"/>
      </w:pPr>
      <w:r>
        <w:t xml:space="preserve">The weights show why, and the reason is arithmetic. The formal weights concentrate on an</w:t>
      </w:r>
      <w:r>
        <w:t xml:space="preserve"> </w:t>
      </w:r>
      <w:r>
        <w:t xml:space="preserve">effective sample of about 157 of 8192 draws (1.9%), whereas the informal effective sample size</w:t>
      </w:r>
      <w:r>
        <w:t xml:space="preserve"> </w:t>
      </w:r>
      <w:r>
        <w:t xml:space="preserve">almost equalled the number of retained candidates — 4783 of 4786 at a threshold of 0.107, 7062</w:t>
      </w:r>
      <w:r>
        <w:t xml:space="preserve"> </w:t>
      </w:r>
      <w:r>
        <w:t xml:space="preserve">of 7084 at 0.120 — so the weights were nearly uniform within the accepted set. For an iid</w:t>
      </w:r>
      <w:r>
        <w:t xml:space="preserve"> </w:t>
      </w:r>
      <w:r>
        <w:t xml:space="preserve">Gaussian residual model the informal log-weight is the Gaussian log-likelihood divided by</w:t>
      </w:r>
      <w:r>
        <w:t xml:space="preserve"> </w:t>
      </w:r>
      <m:oMath>
        <m:r>
          <m:t>N</m:t>
        </m:r>
      </m:oMath>
      <w:r>
        <w:t xml:space="preserve">,</w:t>
      </w:r>
      <w:r>
        <w:t xml:space="preserve"> </w:t>
      </w:r>
      <w:r>
        <w:t xml:space="preserve">up to a constant: equivalently it weights residuals as though the standard deviation were</w:t>
      </w:r>
      <w:r>
        <w:t xml:space="preserve"> </w:t>
      </w:r>
      <m:oMath>
        <m:r>
          <m:t>σ</m:t>
        </m:r>
        <m:rad>
          <m:radPr>
            <m:degHide m:val="on"/>
          </m:radPr>
          <m:deg/>
          <m:e>
            <m:r>
              <m:t>N</m:t>
            </m:r>
          </m:e>
        </m:rad>
        <m:r>
          <m:rPr>
            <m:sty m:val="p"/>
          </m:rPr>
          <m:t>=</m:t>
        </m:r>
        <m:r>
          <m:t>1.71</m:t>
        </m:r>
      </m:oMath>
      <w:r>
        <w:t xml:space="preserve"> </w:t>
      </w:r>
      <w:r>
        <w:t xml:space="preserve">mg L</w:t>
      </w:r>
      <w:r>
        <w:rPr>
          <w:vertAlign w:val="superscript"/>
        </w:rPr>
        <w:t xml:space="preserve">-1</w:t>
      </w:r>
      <w:r>
        <w:t xml:space="preserve"> </w:t>
      </w:r>
      <w:r>
        <w:t xml:space="preserve">at</w:t>
      </w:r>
      <w:r>
        <w:t xml:space="preserve"> </w:t>
      </w:r>
      <m:oMath>
        <m:r>
          <m:t>N</m:t>
        </m:r>
        <m:r>
          <m:rPr>
            <m:sty m:val="p"/>
          </m:rPr>
          <m:t>=</m:t>
        </m:r>
        <m:r>
          <m:t>294</m:t>
        </m:r>
      </m:oMath>
      <w:r>
        <w:t xml:space="preserve">, seventeen times the assumed sensor noise and</w:t>
      </w:r>
      <w:r>
        <w:t xml:space="preserve"> </w:t>
      </w:r>
      <w:r>
        <w:t xml:space="preserve">above the 1.0 mg L</w:t>
      </w:r>
      <w:r>
        <w:rPr>
          <w:vertAlign w:val="superscript"/>
        </w:rPr>
        <w:t xml:space="preserve">-1</w:t>
      </w:r>
      <w:r>
        <w:t xml:space="preserve"> </w:t>
      </w:r>
      <w:r>
        <w:t xml:space="preserve">source concentration.</w:t>
      </w:r>
    </w:p>
    <w:p>
      <w:pPr>
        <w:pStyle w:val="BodyText"/>
      </w:pPr>
      <w:r>
        <w:t xml:space="preserve">This is consistent with published criticisms of informal likelihood measures, which do not</w:t>
      </w:r>
      <w:r>
        <w:t xml:space="preserve"> </w:t>
      </w:r>
      <w:r>
        <w:t xml:space="preserve">accumulate information at the rate implied by the number of observations, so their distributions</w:t>
      </w:r>
      <w:r>
        <w:t xml:space="preserve"> </w:t>
      </w:r>
      <w:r>
        <w:t xml:space="preserve">describe the analyst’s acceptance rule as much as the evidence</w:t>
      </w:r>
      <w:r>
        <w:t xml:space="preserve"> </w:t>
      </w:r>
      <w:r>
        <w:t xml:space="preserve">(</w:t>
      </w:r>
      <w:r>
        <w:rPr>
          <w:b/>
          <w:bCs/>
        </w:rPr>
        <w:t xml:space="preserve">MantovanTodini2006?</w:t>
      </w:r>
      <w:r>
        <w:t xml:space="preserve">;</w:t>
      </w:r>
      <w:r>
        <w:t xml:space="preserve"> </w:t>
      </w:r>
      <w:r>
        <w:rPr>
          <w:b/>
          <w:bCs/>
        </w:rPr>
        <w:t xml:space="preserve">Stedinger2008?</w:t>
      </w:r>
      <w:r>
        <w:t xml:space="preserve">)</w:t>
      </w:r>
      <w:r>
        <w:t xml:space="preserve">. The point here is narrower than the general debate over generalised likelihood</w:t>
      </w:r>
      <w:r>
        <w:t xml:space="preserve"> </w:t>
      </w:r>
      <w:r>
        <w:t xml:space="preserve">uncertainty estimation</w:t>
      </w:r>
      <w:r>
        <w:t xml:space="preserve"> </w:t>
      </w:r>
      <w:r>
        <w:t xml:space="preserve">(Beven and Binley, 1992;</w:t>
      </w:r>
      <w:r>
        <w:t xml:space="preserve"> </w:t>
      </w:r>
      <w:r>
        <w:rPr>
          <w:b/>
          <w:bCs/>
        </w:rPr>
        <w:t xml:space="preserve">BevenBinley2014?</w:t>
      </w:r>
      <w:r>
        <w:t xml:space="preserve">)</w:t>
      </w:r>
      <w:r>
        <w:t xml:space="preserve">: it concerns the specific</w:t>
      </w:r>
      <w:r>
        <w:t xml:space="preserve"> </w:t>
      </w:r>
      <w:r>
        <w:t xml:space="preserve">pseudo-likelihood implemented in the original analysis, not the behavioural philosophy. Because</w:t>
      </w:r>
      <w:r>
        <w:t xml:space="preserve"> </w:t>
      </w:r>
      <w:r>
        <w:t xml:space="preserve">the two families differ by the weighting alone, the wide informal distributions cannot be read</w:t>
      </w:r>
      <w:r>
        <w:t xml:space="preserve"> </w:t>
      </w:r>
      <w:r>
        <w:t xml:space="preserve">as evidence that six monitors are uninformative about three grouped coefficients. Whether the</w:t>
      </w:r>
      <w:r>
        <w:t xml:space="preserve"> </w:t>
      </w:r>
      <w:r>
        <w:t xml:space="preserve">formal contraction is itself trustworthy is a separate question, taken up next.</w:t>
      </w:r>
    </w:p>
    <w:bookmarkEnd w:id="62"/>
    <w:bookmarkStart w:id="63" w:name="Xf1b0c419add6be8346ac0ef920e6030baaacc02"/>
    <w:p>
      <w:pPr>
        <w:pStyle w:val="Heading3"/>
      </w:pPr>
      <w:r>
        <w:t xml:space="preserve">3.2.2 Thresholds cannot substitute for the omitted information factor</w:t>
      </w:r>
    </w:p>
    <w:p>
      <w:pPr>
        <w:pStyle w:val="FirstParagraph"/>
      </w:pPr>
      <w:r>
        <w:t xml:space="preserve">If the informal distributions are wide because too many poor candidates survive, a stricter</w:t>
      </w:r>
      <w:r>
        <w:t xml:space="preserve"> </w:t>
      </w:r>
      <w:r>
        <w:t xml:space="preserve">threshold should close the gap. It does not. Tightening the cut-off from 0.120 to 0.107 mg L</w:t>
      </w:r>
      <w:r>
        <w:rPr>
          <w:vertAlign w:val="superscript"/>
        </w:rPr>
        <w:t xml:space="preserve">-1</w:t>
      </w:r>
      <w:r>
        <w:t xml:space="preserve"> </w:t>
      </w:r>
      <w:r>
        <w:t xml:space="preserve">removed a third of the behavioural set, from 7084 to 4786 members, yet the retained prior</w:t>
      </w:r>
      <w:r>
        <w:t xml:space="preserve"> </w:t>
      </w:r>
      <w:r>
        <w:t xml:space="preserve">standard deviations fell only to 71.1%, 91.8% and 88.2% — still two to three times the formal</w:t>
      </w:r>
      <w:r>
        <w:t xml:space="preserve"> </w:t>
      </w:r>
      <w:r>
        <w:t xml:space="preserve">values. A cut-off discards candidates that fit badly; it cannot restore the factor</w:t>
      </w:r>
      <w:r>
        <w:t xml:space="preserve"> </w:t>
      </w:r>
      <m:oMath>
        <m:r>
          <m:t>N</m:t>
        </m:r>
      </m:oMath>
      <w:r>
        <w:t xml:space="preserve"> </w:t>
      </w:r>
      <w:r>
        <w:t xml:space="preserve">the</w:t>
      </w:r>
      <w:r>
        <w:t xml:space="preserve"> </w:t>
      </w:r>
      <w:r>
        <w:t xml:space="preserve">weighting omits.</w:t>
      </w:r>
    </w:p>
    <w:p>
      <w:pPr>
        <w:pStyle w:val="BodyText"/>
      </w:pPr>
      <w:r>
        <w:t xml:space="preserve">A complementary concern is that the formal contraction might reflect a prior centred near the</w:t>
      </w:r>
      <w:r>
        <w:t xml:space="preserve"> </w:t>
      </w:r>
      <w:r>
        <w:t xml:space="preserve">truth rather than genuine learning. All three priors were therefore displaced downward by one</w:t>
      </w:r>
      <w:r>
        <w:t xml:space="preserve"> </w:t>
      </w:r>
      <w:r>
        <w:t xml:space="preserve">prior standard deviation and the calibration repeated over 30 noise realisations. The formal</w:t>
      </w:r>
      <w:r>
        <w:t xml:space="preserve"> </w:t>
      </w:r>
      <w:r>
        <w:t xml:space="preserve">likelihood recovered a median of 88%, 95% and 96% of the imposed displacement for old, average</w:t>
      </w:r>
      <w:r>
        <w:t xml:space="preserve"> </w:t>
      </w:r>
      <w:r>
        <w:t xml:space="preserve">and new, while retaining only 27.1%, 28.9% and 28.4% of the displaced prior’s standard deviation</w:t>
      </w:r>
      <w:r>
        <w:t xml:space="preserve"> </w:t>
      </w:r>
      <w:r>
        <w:t xml:space="preserve">— the same contraction as at baseline, now achieved from a starting point that no longer</w:t>
      </w:r>
      <w:r>
        <w:t xml:space="preserve"> </w:t>
      </w:r>
      <w:r>
        <w:t xml:space="preserve">brackets the truth. The informal comparator recovered 27.5%, 43.5% and 78.0% at a threshold of</w:t>
      </w:r>
      <w:r>
        <w:t xml:space="preserve"> </w:t>
      </w:r>
      <w:r>
        <w:t xml:space="preserve">0.107, and 9.4%, 14.5% and 22.9% at 0.120.</w:t>
      </w:r>
    </w:p>
    <w:p>
      <w:pPr>
        <w:pStyle w:val="BodyText"/>
      </w:pPr>
      <w:r>
        <w:t xml:space="preserve">A second displacement was then applied to the old coefficient alone, upward towards weaker</w:t>
      </w:r>
      <w:r>
        <w:t xml:space="preserve"> </w:t>
      </w:r>
      <w:r>
        <w:t xml:space="preserve">decay, with the average and new priors left at their downward positions; this arm is a direction</w:t>
      </w:r>
      <w:r>
        <w:t xml:space="preserve"> </w:t>
      </w:r>
      <w:r>
        <w:t xml:space="preserve">check for old rather than a second three-parameter test, and the non-positivity constraint</w:t>
      </w:r>
      <w:r>
        <w:t xml:space="preserve"> </w:t>
      </w:r>
      <w:r>
        <w:t xml:space="preserve">truncated the realised shift to about 0.92 prior standard deviations. Formal recovery for old</w:t>
      </w:r>
      <w:r>
        <w:t xml:space="preserve"> </w:t>
      </w:r>
      <w:r>
        <w:t xml:space="preserve">was 88% downward and 112% upward, symmetric within the noise, whereas informal recovery moved</w:t>
      </w:r>
      <w:r>
        <w:t xml:space="preserve"> </w:t>
      </w:r>
      <w:r>
        <w:t xml:space="preserve">from 27.5% to 84.9% at a threshold of 0.107 and from 9.4% to 61.1% at 0.120. Its answer</w:t>
      </w:r>
      <w:r>
        <w:t xml:space="preserve"> </w:t>
      </w:r>
      <w:r>
        <w:t xml:space="preserve">therefore depends on the direction of displacement, a property of the score rather than of the</w:t>
      </w:r>
      <w:r>
        <w:t xml:space="preserve"> </w:t>
      </w:r>
      <w:r>
        <w:t xml:space="preserve">observations.</w:t>
      </w:r>
    </w:p>
    <w:p>
      <w:pPr>
        <w:pStyle w:val="BodyText"/>
      </w:pPr>
      <w:r>
        <w:t xml:space="preserve">One conclusion of the original analysis does not survive. The pronounced identifiability</w:t>
      </w:r>
      <w:r>
        <w:t xml:space="preserve"> </w:t>
      </w:r>
      <w:r>
        <w:t xml:space="preserve">gradient it reported, in which old appears far better constrained than average or new, is</w:t>
      </w:r>
      <w:r>
        <w:t xml:space="preserve"> </w:t>
      </w:r>
      <w:r>
        <w:t xml:space="preserve">visible only under the informal weighting; the formal rule contracts the three comparably and</w:t>
      </w:r>
      <w:r>
        <w:t xml:space="preserve"> </w:t>
      </w:r>
      <w:r>
        <w:t xml:space="preserve">recovers all three from a common-direction displaced prior. The gradient was a feature of the</w:t>
      </w:r>
      <w:r>
        <w:t xml:space="preserve"> </w:t>
      </w:r>
      <w:r>
        <w:t xml:space="preserve">weighting rule, not a ranking of what the monitoring array can resolve. Full threshold and</w:t>
      </w:r>
      <w:r>
        <w:t xml:space="preserve"> </w:t>
      </w:r>
      <w:r>
        <w:t xml:space="preserve">displacement matrices are given in Appendix C.</w:t>
      </w:r>
    </w:p>
    <w:bookmarkEnd w:id="63"/>
    <w:bookmarkStart w:id="67" w:name="Xe970e3d7d047755463bd18f8c51d04a40471c83"/>
    <w:p>
      <w:pPr>
        <w:pStyle w:val="Heading3"/>
      </w:pPr>
      <w:r>
        <w:t xml:space="preserve">3.2.3 Three further diagnostics agree with the baseline result</w:t>
      </w:r>
    </w:p>
    <w:p>
      <w:pPr>
        <w:pStyle w:val="FirstParagraph"/>
      </w:pPr>
      <w:r>
        <w:t xml:space="preserve">Prior contraction under a single likelihood and a single noise realisation is weak evidence on</w:t>
      </w:r>
      <w:r>
        <w:t xml:space="preserve"> </w:t>
      </w:r>
      <w:r>
        <w:t xml:space="preserve">its own, so the baseline was checked against three diagnostics that fail in different ways</w:t>
      </w:r>
      <w:r>
        <w:t xml:space="preserve"> </w:t>
      </w:r>
      <w:r>
        <w:t xml:space="preserve">(Figure 3). The Cramér–Rao bound computed from the Fisher information for the three wall-decay</w:t>
      </w:r>
      <w:r>
        <w:t xml:space="preserve"> </w:t>
      </w:r>
      <w:r>
        <w:t xml:space="preserve">coefficients alone gives standard deviations of 0.095, 0.014 and 0.008 m day</w:t>
      </w:r>
      <w:r>
        <w:rPr>
          <w:vertAlign w:val="superscript"/>
        </w:rPr>
        <w:t xml:space="preserve">-1</w:t>
      </w:r>
      <w:r>
        <w:t xml:space="preserve">, equivalent to</w:t>
      </w:r>
      <w:r>
        <w:t xml:space="preserve"> </w:t>
      </w:r>
      <w:r>
        <w:t xml:space="preserve">25.2%, 29.2% and 29.0% of the prior standard deviation and matching the ensemble result to</w:t>
      </w:r>
      <w:r>
        <w:t xml:space="preserve"> </w:t>
      </w:r>
      <w:r>
        <w:t xml:space="preserve">within about 1.5 percentage points. Continuous profile likelihood intervals at the 95% level are</w:t>
      </w:r>
      <w:r>
        <w:t xml:space="preserve"> </w:t>
      </w:r>
      <w:r>
        <w:t xml:space="preserve">[-1.172, -0.811], [-0.137, -0.082] and [-0.060, -0.029] m day</w:t>
      </w:r>
      <w:r>
        <w:rPr>
          <w:vertAlign w:val="superscript"/>
        </w:rPr>
        <w:t xml:space="preserve">-1</w:t>
      </w:r>
      <w:r>
        <w:t xml:space="preserve">, each covering its true value;</w:t>
      </w:r>
      <w:r>
        <w:t xml:space="preserve"> </w:t>
      </w:r>
      <w:r>
        <w:t xml:space="preserve">endpoints obtained by bisection are quoted rather than grid endpoints, which understate the</w:t>
      </w:r>
      <w:r>
        <w:t xml:space="preserve"> </w:t>
      </w:r>
      <w:r>
        <w:t xml:space="preserve">half-width by 39.0%, 14.9% and 28.1% and are used here only for visualisation. Finally,</w:t>
      </w:r>
      <w:r>
        <w:t xml:space="preserve"> </w:t>
      </w:r>
      <w:r>
        <w:t xml:space="preserve">repeating the calibration over 100 independent noise realisations gave a mean bias of at most</w:t>
      </w:r>
      <w:r>
        <w:t xml:space="preserve"> </w:t>
      </w:r>
      <w:r>
        <w:t xml:space="preserve">0.15 times the empirical sampling standard deviation, a ratio of empirical spread to the</w:t>
      </w:r>
      <w:r>
        <w:t xml:space="preserve"> </w:t>
      </w:r>
      <w:r>
        <w:t xml:space="preserve">Cramér–Rao bound of 1.04, 1.06 and 1.12, and 90% interval coverage of 0.89, 0.88 and 0.85 —</w:t>
      </w:r>
      <w:r>
        <w:t xml:space="preserve"> </w:t>
      </w:r>
      <w:r>
        <w:t xml:space="preserve">close to nominal, with the new coefficient slightly under-covered.</w:t>
      </w:r>
    </w:p>
    <w:p>
      <w:pPr>
        <w:pStyle w:val="CaptionedFigure"/>
      </w:pPr>
      <w:r>
        <w:drawing>
          <wp:inline>
            <wp:extent cx="5603278" cy="1682129"/>
            <wp:effectExtent b="0" l="0" r="0" t="0"/>
            <wp:docPr descr="Figure 3. Three further diagnostics agree with the baseline result. Intervals for each coefficient from the likelihood-weighted ensemble (5-95%), continuous profile likelihood (95%), the Fisher/Cramer-Rao bound (95%) and 100 repeated-noise calibrations (mean +/- SD). Nominal levels differ by construction and are labelled individually; the four rows are not a nested comparison." title="" id="65" name="Picture"/>
            <a:graphic>
              <a:graphicData uri="http://schemas.openxmlformats.org/drawingml/2006/picture">
                <pic:pic>
                  <pic:nvPicPr>
                    <pic:cNvPr descr="figures/paper/fig3_triangulated_identifiability.png" id="66" name="Picture"/>
                    <pic:cNvPicPr>
                      <a:picLocks noChangeArrowheads="1" noChangeAspect="1"/>
                    </pic:cNvPicPr>
                  </pic:nvPicPr>
                  <pic:blipFill>
                    <a:blip r:embed="rId64"/>
                    <a:stretch>
                      <a:fillRect/>
                    </a:stretch>
                  </pic:blipFill>
                  <pic:spPr bwMode="auto">
                    <a:xfrm>
                      <a:off x="0" y="0"/>
                      <a:ext cx="5603278" cy="1682129"/>
                    </a:xfrm>
                    <a:prstGeom prst="rect">
                      <a:avLst/>
                    </a:prstGeom>
                    <a:noFill/>
                    <a:ln w="9525">
                      <a:noFill/>
                      <a:headEnd/>
                      <a:tailEnd/>
                    </a:ln>
                  </pic:spPr>
                </pic:pic>
              </a:graphicData>
            </a:graphic>
          </wp:inline>
        </w:drawing>
      </w:r>
    </w:p>
    <w:p>
      <w:pPr>
        <w:pStyle w:val="ImageCaption"/>
      </w:pPr>
      <w:r>
        <w:t xml:space="preserve">Figure 3.</w:t>
      </w:r>
      <w:r>
        <w:t xml:space="preserve"> </w:t>
      </w:r>
      <w:r>
        <w:rPr>
          <w:b/>
          <w:bCs/>
        </w:rPr>
        <w:t xml:space="preserve">Three further diagnostics agree with the baseline result.</w:t>
      </w:r>
      <w:r>
        <w:t xml:space="preserve"> </w:t>
      </w:r>
      <w:r>
        <w:t xml:space="preserve">Intervals for each</w:t>
      </w:r>
      <w:r>
        <w:t xml:space="preserve"> </w:t>
      </w:r>
      <w:r>
        <w:t xml:space="preserve">coefficient from the likelihood-weighted ensemble (5-95%), continuous profile likelihood (95%),</w:t>
      </w:r>
      <w:r>
        <w:t xml:space="preserve"> </w:t>
      </w:r>
      <w:r>
        <w:t xml:space="preserve">the Fisher/Cramer-Rao bound (95%) and 100 repeated-noise calibrations (mean +/- SD). Nominal</w:t>
      </w:r>
      <w:r>
        <w:t xml:space="preserve"> </w:t>
      </w:r>
      <w:r>
        <w:t xml:space="preserve">levels differ by construction and are labelled individually; the four rows are not a nested</w:t>
      </w:r>
      <w:r>
        <w:t xml:space="preserve"> </w:t>
      </w:r>
      <w:r>
        <w:t xml:space="preserve">comparison.</w:t>
      </w:r>
    </w:p>
    <w:p>
      <w:pPr>
        <w:pStyle w:val="BodyText"/>
      </w:pPr>
      <w:r>
        <w:t xml:space="preserve">Their agreement is convergent evidence of practical identifiability under the controlled</w:t>
      </w:r>
      <w:r>
        <w:t xml:space="preserve"> </w:t>
      </w:r>
      <w:r>
        <w:t xml:space="preserve">baseline, and each would fail differently were that result an artefact, being insensitive</w:t>
      </w:r>
      <w:r>
        <w:t xml:space="preserve"> </w:t>
      </w:r>
      <w:r>
        <w:t xml:space="preserve">respectively to the sampling design, the prior, and the realisation that produced the baseline</w:t>
      </w:r>
      <w:r>
        <w:t xml:space="preserve"> </w:t>
      </w:r>
      <w:r>
        <w:t xml:space="preserve">(</w:t>
      </w:r>
      <w:r>
        <w:rPr>
          <w:b/>
          <w:bCs/>
        </w:rPr>
        <w:t xml:space="preserve">Brun2001?</w:t>
      </w:r>
      <w:r>
        <w:t xml:space="preserve">;</w:t>
      </w:r>
      <w:r>
        <w:t xml:space="preserve"> </w:t>
      </w:r>
      <w:r>
        <w:rPr>
          <w:b/>
          <w:bCs/>
        </w:rPr>
        <w:t xml:space="preserve">Raue2009?</w:t>
      </w:r>
      <w:r>
        <w:t xml:space="preserve">)</w:t>
      </w:r>
      <w:r>
        <w:t xml:space="preserve">.</w:t>
      </w:r>
    </w:p>
    <w:p>
      <w:pPr>
        <w:pStyle w:val="BodyText"/>
      </w:pPr>
      <w:r>
        <w:t xml:space="preserve">The conditions are strong: bulk decay fixed at its true value, sensors unbiased, errors</w:t>
      </w:r>
      <w:r>
        <w:t xml:space="preserve"> </w:t>
      </w:r>
      <w:r>
        <w:t xml:space="preserve">independent and Gaussian with known standard deviation, and the three-zone grouping correctly</w:t>
      </w:r>
      <w:r>
        <w:t xml:space="preserve"> </w:t>
      </w:r>
      <w:r>
        <w:t xml:space="preserve">specified. Two numerical caveats apply. The likelihood-weighted Sobol ensemble has an effective</w:t>
      </w:r>
      <w:r>
        <w:t xml:space="preserve"> </w:t>
      </w:r>
      <w:r>
        <w:t xml:space="preserve">sample size of about 157, limiting the Monte Carlo resolution of its weighted moments and</w:t>
      </w:r>
      <w:r>
        <w:t xml:space="preserve"> </w:t>
      </w:r>
      <w:r>
        <w:t xml:space="preserve">quantiles; the profile intervals are obtained independently of that library, but all 100</w:t>
      </w:r>
      <w:r>
        <w:t xml:space="preserve"> </w:t>
      </w:r>
      <w:r>
        <w:t xml:space="preserve">repeated-noise realisations reuse it, so their Monte Carlo errors are correlated.</w:t>
      </w:r>
    </w:p>
    <w:bookmarkEnd w:id="67"/>
    <w:bookmarkEnd w:id="68"/>
    <w:bookmarkStart w:id="75" w:name="X0996b9635e2cac7f6b4db495683a1f2a9665347"/>
    <w:p>
      <w:pPr>
        <w:pStyle w:val="Heading2"/>
      </w:pPr>
      <w:r>
        <w:t xml:space="preserve">3.3 Practical identifiability under measurement and nuisance errors</w:t>
      </w:r>
    </w:p>
    <w:bookmarkStart w:id="69" w:name="Xb2ac3d516cabd7a498b52390de1029d80167615"/>
    <w:p>
      <w:pPr>
        <w:pStyle w:val="Heading3"/>
      </w:pPr>
      <w:r>
        <w:t xml:space="preserve">3.3.1 Random measurement error and temporal autocorrelation</w:t>
      </w:r>
    </w:p>
    <w:p>
      <w:pPr>
        <w:pStyle w:val="FirstParagraph"/>
      </w:pPr>
      <w:r>
        <w:t xml:space="preserve">Section 3.2 established what the six monitors resolve when every assumption holds; this section</w:t>
      </w:r>
      <w:r>
        <w:t xml:space="preserve"> </w:t>
      </w:r>
      <w:r>
        <w:t xml:space="preserve">relaxes them one at a time. Figure 4 collects the comparison on two scales: widening for the two</w:t>
      </w:r>
      <w:r>
        <w:t xml:space="preserve"> </w:t>
      </w:r>
      <w:r>
        <w:t xml:space="preserve">sources that only inflate uncertainty, displacement in baseline posterior standard deviations</w:t>
      </w:r>
      <w:r>
        <w:t xml:space="preserve"> </w:t>
      </w:r>
      <w:r>
        <w:t xml:space="preserve">for the six that move the estimate.</w:t>
      </w:r>
    </w:p>
    <w:p>
      <w:pPr>
        <w:pStyle w:val="BodyText"/>
      </w:pPr>
      <w:r>
        <w:t xml:space="preserve">A 50% rise in the assumed measurement error, from 0.10 to 0.15 mg L</w:t>
      </w:r>
      <w:r>
        <w:rPr>
          <w:vertAlign w:val="superscript"/>
        </w:rPr>
        <w:t xml:space="preserve">-1</w:t>
      </w:r>
      <w:r>
        <w:t xml:space="preserve">, degraded</w:t>
      </w:r>
      <w:r>
        <w:t xml:space="preserve"> </w:t>
      </w:r>
      <w:r>
        <w:t xml:space="preserve">identifiability less than the original analysis implied: it widened the posterior by 1.41, 1.52</w:t>
      </w:r>
      <w:r>
        <w:t xml:space="preserve"> </w:t>
      </w:r>
      <w:r>
        <w:t xml:space="preserve">and 1.48 times, leaving 38.1%, 44.9% and 43.1% of the prior standard deviation. The claim that a</w:t>
      </w:r>
      <w:r>
        <w:t xml:space="preserve"> </w:t>
      </w:r>
      <w:r>
        <w:t xml:space="preserve">precision of 0.05 mg L</w:t>
      </w:r>
      <w:r>
        <w:rPr>
          <w:vertAlign w:val="superscript"/>
        </w:rPr>
        <w:t xml:space="preserve">-1</w:t>
      </w:r>
      <w:r>
        <w:t xml:space="preserve"> </w:t>
      </w:r>
      <w:r>
        <w:t xml:space="preserve">was required therefore reflects the informal score’s inefficiency</w:t>
      </w:r>
      <w:r>
        <w:t xml:space="preserve"> </w:t>
      </w:r>
      <w:r>
        <w:t xml:space="preserve">rather than a demonstrated sensor specification — at 0.10 mg L</w:t>
      </w:r>
      <w:r>
        <w:rPr>
          <w:vertAlign w:val="superscript"/>
        </w:rPr>
        <w:t xml:space="preserve">-1</w:t>
      </w:r>
      <w:r>
        <w:t xml:space="preserve"> </w:t>
      </w:r>
      <w:r>
        <w:t xml:space="preserve">it returned standard</w:t>
      </w:r>
      <w:r>
        <w:t xml:space="preserve"> </w:t>
      </w:r>
      <w:r>
        <w:t xml:space="preserve">deviations 2.4 to 3.1 times the formal ones. The converse benefit cannot be quantified here: at</w:t>
      </w:r>
      <w:r>
        <w:t xml:space="preserve"> </w:t>
      </w:r>
      <w:r>
        <w:t xml:space="preserve">0.05 and 0.02 mg L</w:t>
      </w:r>
      <w:r>
        <w:rPr>
          <w:vertAlign w:val="superscript"/>
        </w:rPr>
        <w:t xml:space="preserve">-1</w:t>
      </w:r>
      <w:r>
        <w:t xml:space="preserve"> </w:t>
      </w:r>
      <w:r>
        <w:t xml:space="preserve">the sharper likelihood concentrates on a library not drawn for it, the</w:t>
      </w:r>
      <w:r>
        <w:t xml:space="preserve"> </w:t>
      </w:r>
      <w:r>
        <w:t xml:space="preserve">median effective sample size falls to 21 and 2 draws, and those rows are reported as</w:t>
      </w:r>
      <w:r>
        <w:t xml:space="preserve"> </w:t>
      </w:r>
      <w:r>
        <w:t xml:space="preserve">sampling-limited.</w:t>
      </w:r>
    </w:p>
    <w:p>
      <w:pPr>
        <w:pStyle w:val="BodyText"/>
      </w:pPr>
      <w:r>
        <w:t xml:space="preserve">Temporal correlation is an assumed sensitivity, not an estimated property, since the</w:t>
      </w:r>
      <w:r>
        <w:t xml:space="preserve"> </w:t>
      </w:r>
      <w:r>
        <w:t xml:space="preserve">observations are independent by construction. The usual scalar approximation would put the</w:t>
      </w:r>
      <w:r>
        <w:t xml:space="preserve"> </w:t>
      </w:r>
      <w:r>
        <w:t xml:space="preserve">effective sample size at about 126 of 294 at a correlation of 0.4; recomputing the Fisher</w:t>
      </w:r>
      <w:r>
        <w:t xml:space="preserve"> </w:t>
      </w:r>
      <w:r>
        <w:t xml:space="preserve">information from the full block covariance instead widened the three bounds by 1.48, 1.49 and</w:t>
      </w:r>
      <w:r>
        <w:t xml:space="preserve"> </w:t>
      </w:r>
      <w:r>
        <w:t xml:space="preserve">1.44 times, to 37.5%, 43.5% and 41.7% of the prior standard deviation. Correlation at this</w:t>
      </w:r>
      <w:r>
        <w:t xml:space="preserve"> </w:t>
      </w:r>
      <w:r>
        <w:t xml:space="preserve">strength inflates uncertainty without removing information.</w:t>
      </w:r>
    </w:p>
    <w:bookmarkEnd w:id="69"/>
    <w:bookmarkStart w:id="70" w:name="X4b1afce4ef9407d46c1f973b1a42fc08f62282a"/>
    <w:p>
      <w:pPr>
        <w:pStyle w:val="Heading3"/>
      </w:pPr>
      <w:r>
        <w:t xml:space="preserve">3.3.2 Systematic sensor error dominates random uncertainty</w:t>
      </w:r>
    </w:p>
    <w:p>
      <w:pPr>
        <w:pStyle w:val="FirstParagraph"/>
      </w:pPr>
      <w:r>
        <w:t xml:space="preserve">Systematic error behaves differently. Constant offsets of +0.05 and +0.10 mg L</w:t>
      </w:r>
      <w:r>
        <w:rPr>
          <w:vertAlign w:val="superscript"/>
        </w:rPr>
        <w:t xml:space="preserve">-1</w:t>
      </w:r>
      <w:r>
        <w:t xml:space="preserve"> </w:t>
      </w:r>
      <w:r>
        <w:t xml:space="preserve">at node 15</w:t>
      </w:r>
      <w:r>
        <w:t xml:space="preserve"> </w:t>
      </w:r>
      <w:r>
        <w:t xml:space="preserve">alone moved the old-zone estimate by 2.19 and 3.87 baseline posterior standard deviations: with</w:t>
      </w:r>
      <w:r>
        <w:t xml:space="preserve"> </w:t>
      </w:r>
      <w:r>
        <w:t xml:space="preserve">no sensor-offset parameter in the calibration, instrument error is absorbed into the wall</w:t>
      </w:r>
      <w:r>
        <w:t xml:space="preserve"> </w:t>
      </w:r>
      <w:r>
        <w:t xml:space="preserve">coefficients rather than represented. The response is asymmetric in sign — the same offsets</w:t>
      </w:r>
      <w:r>
        <w:t xml:space="preserve"> </w:t>
      </w:r>
      <w:r>
        <w:t xml:space="preserve">negative gave 2.59 and 3.82 — because a downward bias pushes more readings onto the censoring</w:t>
      </w:r>
      <w:r>
        <w:t xml:space="preserve"> </w:t>
      </w:r>
      <w:r>
        <w:t xml:space="preserve">floor.</w:t>
      </w:r>
    </w:p>
    <w:p>
      <w:pPr>
        <w:pStyle w:val="BodyText"/>
      </w:pPr>
      <w:r>
        <w:t xml:space="preserve">Sweeping the offset across all six monitors, 24 arms, shows the damage depends on where the</w:t>
      </w:r>
      <w:r>
        <w:t xml:space="preserve"> </w:t>
      </w:r>
      <w:r>
        <w:t xml:space="preserve">biased sensor sits: the largest displacement for any coefficient in any arm was 3.87 standard</w:t>
      </w:r>
      <w:r>
        <w:t xml:space="preserve"> </w:t>
      </w:r>
      <w:r>
        <w:t xml:space="preserve">deviations for old (node 15, +0.10 mg L</w:t>
      </w:r>
      <w:r>
        <w:rPr>
          <w:vertAlign w:val="superscript"/>
        </w:rPr>
        <w:t xml:space="preserve">-1</w:t>
      </w:r>
      <w:r>
        <w:t xml:space="preserve">), 5.94 for average (node 231, −0.10) and 4.44 for</w:t>
      </w:r>
      <w:r>
        <w:t xml:space="preserve"> </w:t>
      </w:r>
      <w:r>
        <w:t xml:space="preserve">new (node 113, −0.10). Contamination crosses zone boundaries — a −0.10 offset at new-zone node</w:t>
      </w:r>
      <w:r>
        <w:t xml:space="preserve"> </w:t>
      </w:r>
      <w:r>
        <w:t xml:space="preserve">107 displaced the average coefficient by 1.59. Per-arm results are in Appendix F.</w:t>
      </w:r>
    </w:p>
    <w:p>
      <w:pPr>
        <w:pStyle w:val="BodyText"/>
      </w:pPr>
      <w:r>
        <w:t xml:space="preserve">Drift is governed by its mean, not its endpoint. A ramp reaching a given offset by the end of</w:t>
      </w:r>
      <w:r>
        <w:t xml:space="preserve"> </w:t>
      </w:r>
      <w:r>
        <w:t xml:space="preserve">the window displaced the estimate by 0.89 to 0.99 times a constant offset at half that value,</w:t>
      </w:r>
      <w:r>
        <w:t xml:space="preserve"> </w:t>
      </w:r>
      <w:r>
        <w:t xml:space="preserve">but only 0.45 to 0.64 times one at the endpoint value: a sensor drifting to +0.10 mg L</w:t>
      </w:r>
      <w:r>
        <w:rPr>
          <w:vertAlign w:val="superscript"/>
        </w:rPr>
        <w:t xml:space="preserve">-1</w:t>
      </w:r>
      <w:r>
        <w:t xml:space="preserve"> </w:t>
      </w:r>
      <w:r>
        <w:t xml:space="preserve">behaves much more like a constant +0.05 than a constant +0.10. By comparison the ten censored</w:t>
      </w:r>
      <w:r>
        <w:t xml:space="preserve"> </w:t>
      </w:r>
      <w:r>
        <w:t xml:space="preserve">readings are a small correction — treating them as exact zeros moves the old coefficient by 0.12</w:t>
      </w:r>
      <w:r>
        <w:t xml:space="preserve"> </w:t>
      </w:r>
      <w:r>
        <w:t xml:space="preserve">standard deviations and the others by less than 0.01, leaving the top-three risk ranking</w:t>
      </w:r>
      <w:r>
        <w:t xml:space="preserve"> </w:t>
      </w:r>
      <w:r>
        <w:t xml:space="preserve">unchanged.</w:t>
      </w:r>
    </w:p>
    <w:bookmarkEnd w:id="70"/>
    <w:bookmarkStart w:id="74" w:name="X8432cb495bc40f8df02c25f3ed090cb5506ff04"/>
    <w:p>
      <w:pPr>
        <w:pStyle w:val="Heading3"/>
      </w:pPr>
      <w:r>
        <w:t xml:space="preserve">3.3.3 Bulk and wall decay compensate for one another</w:t>
      </w:r>
    </w:p>
    <w:p>
      <w:pPr>
        <w:pStyle w:val="FirstParagraph"/>
      </w:pPr>
      <w:r>
        <w:t xml:space="preserve">Fixing bulk decay at a wrong value transfers the error into the wall coefficients. Refitting</w:t>
      </w:r>
      <w:r>
        <w:t xml:space="preserve"> </w:t>
      </w:r>
      <w:r>
        <w:t xml:space="preserve">with bulk decay 20% weaker or stronger than the truth, while the observations remain generated</w:t>
      </w:r>
      <w:r>
        <w:t xml:space="preserve"> </w:t>
      </w:r>
      <w:r>
        <w:t xml:space="preserve">at the true value, displaced the average and new coefficients by 1.41 to 1.58 baseline posterior</w:t>
      </w:r>
      <w:r>
        <w:t xml:space="preserve"> </w:t>
      </w:r>
      <w:r>
        <w:t xml:space="preserve">standard deviations and the old coefficient by only 0.56 to 0.66. The informal comparator</w:t>
      </w:r>
      <w:r>
        <w:t xml:space="preserve"> </w:t>
      </w:r>
      <w:r>
        <w:t xml:space="preserve">understated these displacements by factors of 3.8 to 5.5, so that formulation would materially</w:t>
      </w:r>
      <w:r>
        <w:t xml:space="preserve"> </w:t>
      </w:r>
      <w:r>
        <w:t xml:space="preserve">understate the apparent sensitivity to bulk-decay misspecification.</w:t>
      </w:r>
    </w:p>
    <w:p>
      <w:pPr>
        <w:pStyle w:val="BodyText"/>
      </w:pPr>
      <w:r>
        <w:t xml:space="preserve">The Fisher analysis explains the pattern and extends it. Admitting bulk decay as a fourth</w:t>
      </w:r>
      <w:r>
        <w:t xml:space="preserve"> </w:t>
      </w:r>
      <w:r>
        <w:t xml:space="preserve">unknown raises the Cramér–Rao bound from 25%, 29% and 29% of the prior standard deviation to</w:t>
      </w:r>
      <w:r>
        <w:t xml:space="preserve"> </w:t>
      </w:r>
      <w:r>
        <w:t xml:space="preserve">30%, 54% and 54%: the old coefficient is affected more modestly, whereas the average and new</w:t>
      </w:r>
      <w:r>
        <w:t xml:space="preserve"> </w:t>
      </w:r>
      <w:r>
        <w:t xml:space="preserve">coefficients lose roughly half their information to the bulk term. Admitting six</w:t>
      </w:r>
      <w:r>
        <w:t xml:space="preserve"> </w:t>
      </w:r>
      <w:r>
        <w:t xml:space="preserve">monitor-specific offsets as further nuisance parameters raises the ratios to 67%, 224% and 109%,</w:t>
      </w:r>
      <w:r>
        <w:t xml:space="preserve"> </w:t>
      </w:r>
      <w:r>
        <w:t xml:space="preserve">so their local bounds equal or exceed the prior standard deviation. Under the identifiability</w:t>
      </w:r>
      <w:r>
        <w:t xml:space="preserve"> </w:t>
      </w:r>
      <w:r>
        <w:t xml:space="preserve">criterion adopted here, the average and new coefficients are therefore not practically</w:t>
      </w:r>
      <w:r>
        <w:t xml:space="preserve"> </w:t>
      </w:r>
      <w:r>
        <w:t xml:space="preserve">identifiable from this six-monitor design once both bulk decay and monitor offsets are treated</w:t>
      </w:r>
      <w:r>
        <w:t xml:space="preserve"> </w:t>
      </w:r>
      <w:r>
        <w:t xml:space="preserve">as unknown — a statement about this observation design and nuisance model, not a mathematical</w:t>
      </w:r>
      <w:r>
        <w:t xml:space="preserve"> </w:t>
      </w:r>
      <w:r>
        <w:t xml:space="preserve">impossibility. This is the formal counterpart of Section 3.3.2: the available concentration</w:t>
      </w:r>
      <w:r>
        <w:t xml:space="preserve"> </w:t>
      </w:r>
      <w:r>
        <w:t xml:space="preserve">sensitivities do not separate the weakly decaying zones’ wall coefficients from bulk decay and</w:t>
      </w:r>
      <w:r>
        <w:t xml:space="preserve"> </w:t>
      </w:r>
      <w:r>
        <w:t xml:space="preserve">monitor-specific offsets under a six-monitor design.</w:t>
      </w:r>
    </w:p>
    <w:p>
      <w:pPr>
        <w:pStyle w:val="BodyText"/>
      </w:pPr>
      <w:r>
        <w:t xml:space="preserve">These displacements are large in parameter terms, but Section 3.6 shows that they do not</w:t>
      </w:r>
      <w:r>
        <w:t xml:space="preserve"> </w:t>
      </w:r>
      <w:r>
        <w:t xml:space="preserve">translate into proportionate changes in the network-wide risk pattern, and that whether an</w:t>
      </w:r>
      <w:r>
        <w:t xml:space="preserve"> </w:t>
      </w:r>
      <w:r>
        <w:t xml:space="preserve">operational shortlist changes at all depends on which risk metric defines it. Before that,</w:t>
      </w:r>
      <w:r>
        <w:t xml:space="preserve"> </w:t>
      </w:r>
      <w:r>
        <w:t xml:space="preserve">Section 3.4 turns to the one error source that is internal to the model rather than to the</w:t>
      </w:r>
      <w:r>
        <w:t xml:space="preserve"> </w:t>
      </w:r>
      <w:r>
        <w:t xml:space="preserve">instruments.</w:t>
      </w:r>
    </w:p>
    <w:p>
      <w:pPr>
        <w:pStyle w:val="CaptionedFigure"/>
      </w:pPr>
      <w:r>
        <w:drawing>
          <wp:inline>
            <wp:extent cx="5753100" cy="994694"/>
            <wp:effectExtent b="0" l="0" r="0" t="0"/>
            <wp:docPr descr="Figure 4. Standardised effect of each error source. (A) Interval widening where an uncertainty source is represented in the model. (B) Displacement where a perturbation is imposed but not represented, in baseline posterior standard deviations — the median within-realisation value over the 30 unbiased realisations, not the single-realisation value of Table 3. The panels answer different questions and are not comparable; sign is printed, not encoded by colour." title="" id="72" name="Picture"/>
            <a:graphic>
              <a:graphicData uri="http://schemas.openxmlformats.org/drawingml/2006/picture">
                <pic:pic>
                  <pic:nvPicPr>
                    <pic:cNvPr descr="figures/paper/fig4_standardised_effects.png" id="73" name="Picture"/>
                    <pic:cNvPicPr>
                      <a:picLocks noChangeArrowheads="1" noChangeAspect="1"/>
                    </pic:cNvPicPr>
                  </pic:nvPicPr>
                  <pic:blipFill>
                    <a:blip r:embed="rId71"/>
                    <a:stretch>
                      <a:fillRect/>
                    </a:stretch>
                  </pic:blipFill>
                  <pic:spPr bwMode="auto">
                    <a:xfrm>
                      <a:off x="0" y="0"/>
                      <a:ext cx="5753100" cy="994694"/>
                    </a:xfrm>
                    <a:prstGeom prst="rect">
                      <a:avLst/>
                    </a:prstGeom>
                    <a:noFill/>
                    <a:ln w="9525">
                      <a:noFill/>
                      <a:headEnd/>
                      <a:tailEnd/>
                    </a:ln>
                  </pic:spPr>
                </pic:pic>
              </a:graphicData>
            </a:graphic>
          </wp:inline>
        </w:drawing>
      </w:r>
    </w:p>
    <w:p>
      <w:pPr>
        <w:pStyle w:val="ImageCaption"/>
      </w:pPr>
      <w:r>
        <w:t xml:space="preserve">Figure 4.</w:t>
      </w:r>
      <w:r>
        <w:t xml:space="preserve"> </w:t>
      </w:r>
      <w:r>
        <w:rPr>
          <w:b/>
          <w:bCs/>
        </w:rPr>
        <w:t xml:space="preserve">Standardised effect of each error source.</w:t>
      </w:r>
      <w:r>
        <w:t xml:space="preserve"> </w:t>
      </w:r>
      <w:r>
        <w:t xml:space="preserve">(A) Interval widening where an</w:t>
      </w:r>
      <w:r>
        <w:t xml:space="preserve"> </w:t>
      </w:r>
      <w:r>
        <w:t xml:space="preserve">uncertainty source is represented in the model. (B) Displacement where a perturbation is imposed</w:t>
      </w:r>
      <w:r>
        <w:t xml:space="preserve"> </w:t>
      </w:r>
      <w:r>
        <w:t xml:space="preserve">but not represented, in baseline posterior standard deviations — the median within-realisation</w:t>
      </w:r>
      <w:r>
        <w:t xml:space="preserve"> </w:t>
      </w:r>
      <w:r>
        <w:t xml:space="preserve">value over the 30 unbiased realisations, not the single-realisation value of Table 3. The panels</w:t>
      </w:r>
      <w:r>
        <w:t xml:space="preserve"> </w:t>
      </w:r>
      <w:r>
        <w:t xml:space="preserve">answer different questions and are not comparable; sign is printed, not encoded by</w:t>
      </w:r>
      <w:r>
        <w:t xml:space="preserve"> </w:t>
      </w:r>
      <w:r>
        <w:t xml:space="preserve">colour.</w:t>
      </w:r>
    </w:p>
    <w:tbl>
      <w:tblPr>
        <w:tblStyle w:val="Table"/>
        <w:tblW w:type="pct" w:w="5000"/>
        <w:tblLayout w:type="fixed"/>
        <w:tblLook w:firstRow="1" w:lastRow="0" w:firstColumn="0" w:lastColumn="0" w:noHBand="0" w:noVBand="0" w:val="0020"/>
      </w:tblPr>
      <w:tblGrid>
        <w:gridCol w:w="1131"/>
        <w:gridCol w:w="1508"/>
        <w:gridCol w:w="1508"/>
        <w:gridCol w:w="1508"/>
        <w:gridCol w:w="1131"/>
        <w:gridCol w:w="1131"/>
      </w:tblGrid>
      <w:tr>
        <w:trPr>
          <w:tblHeader w:val="on"/>
        </w:trPr>
        <w:tc>
          <w:tcPr/>
          <w:p>
            <w:pPr>
              <w:pStyle w:val="Compact"/>
            </w:pPr>
            <w:r>
              <w:t xml:space="preserve">Error source</w:t>
            </w:r>
          </w:p>
        </w:tc>
        <w:tc>
          <w:tcPr/>
          <w:p>
            <w:pPr>
              <w:pStyle w:val="Compact"/>
              <w:jc w:val="right"/>
            </w:pPr>
            <w:r>
              <w:t xml:space="preserve">old</w:t>
            </w:r>
          </w:p>
        </w:tc>
        <w:tc>
          <w:tcPr/>
          <w:p>
            <w:pPr>
              <w:pStyle w:val="Compact"/>
              <w:jc w:val="right"/>
            </w:pPr>
            <w:r>
              <w:t xml:space="preserve">average</w:t>
            </w:r>
          </w:p>
        </w:tc>
        <w:tc>
          <w:tcPr/>
          <w:p>
            <w:pPr>
              <w:pStyle w:val="Compact"/>
              <w:jc w:val="right"/>
            </w:pPr>
            <w:r>
              <w:t xml:space="preserve">new</w:t>
            </w:r>
          </w:p>
        </w:tc>
        <w:tc>
          <w:tcPr/>
          <w:p>
            <w:pPr>
              <w:pStyle w:val="Compact"/>
            </w:pPr>
            <w:r>
              <w:t xml:space="preserve">Risk</w:t>
            </w:r>
          </w:p>
        </w:tc>
        <w:tc>
          <w:tcPr/>
          <w:p>
            <w:pPr>
              <w:pStyle w:val="Compact"/>
            </w:pPr>
            <w:r>
              <w:t xml:space="preserve">Basis</w:t>
            </w:r>
          </w:p>
        </w:tc>
      </w:tr>
      <w:tr>
        <w:tc>
          <w:tcPr/>
          <w:p>
            <w:pPr>
              <w:pStyle w:val="Compact"/>
            </w:pPr>
            <w:r>
              <w:t xml:space="preserve">sigma 0.10 to 0.15 (W)</w:t>
            </w:r>
          </w:p>
        </w:tc>
        <w:tc>
          <w:tcPr/>
          <w:p>
            <w:pPr>
              <w:pStyle w:val="Compact"/>
              <w:jc w:val="right"/>
            </w:pPr>
            <w:r>
              <w:t xml:space="preserve">x1.41</w:t>
            </w:r>
          </w:p>
        </w:tc>
        <w:tc>
          <w:tcPr/>
          <w:p>
            <w:pPr>
              <w:pStyle w:val="Compact"/>
              <w:jc w:val="right"/>
            </w:pPr>
            <w:r>
              <w:t xml:space="preserve">x1.52</w:t>
            </w:r>
          </w:p>
        </w:tc>
        <w:tc>
          <w:tcPr/>
          <w:p>
            <w:pPr>
              <w:pStyle w:val="Compact"/>
              <w:jc w:val="right"/>
            </w:pPr>
            <w:r>
              <w:t xml:space="preserve">x1.48</w:t>
            </w:r>
          </w:p>
        </w:tc>
        <w:tc>
          <w:tcPr/>
          <w:p>
            <w:pPr>
              <w:pStyle w:val="Compact"/>
            </w:pPr>
            <w:r>
              <w:t xml:space="preserve">—</w:t>
            </w:r>
          </w:p>
        </w:tc>
        <w:tc>
          <w:tcPr/>
          <w:p>
            <w:pPr>
              <w:pStyle w:val="Compact"/>
            </w:pPr>
            <w:r>
              <w:t xml:space="preserve">30 real.</w:t>
            </w:r>
          </w:p>
        </w:tc>
      </w:tr>
      <w:tr>
        <w:tc>
          <w:tcPr/>
          <w:p>
            <w:pPr>
              <w:pStyle w:val="Compact"/>
            </w:pPr>
            <w:r>
              <w:t xml:space="preserve">AR(1) rho = 0.4 (W)</w:t>
            </w:r>
          </w:p>
        </w:tc>
        <w:tc>
          <w:tcPr/>
          <w:p>
            <w:pPr>
              <w:pStyle w:val="Compact"/>
              <w:jc w:val="right"/>
            </w:pPr>
            <w:r>
              <w:t xml:space="preserve">x1.48</w:t>
            </w:r>
          </w:p>
        </w:tc>
        <w:tc>
          <w:tcPr/>
          <w:p>
            <w:pPr>
              <w:pStyle w:val="Compact"/>
              <w:jc w:val="right"/>
            </w:pPr>
            <w:r>
              <w:t xml:space="preserve">x1.49</w:t>
            </w:r>
          </w:p>
        </w:tc>
        <w:tc>
          <w:tcPr/>
          <w:p>
            <w:pPr>
              <w:pStyle w:val="Compact"/>
              <w:jc w:val="right"/>
            </w:pPr>
            <w:r>
              <w:t xml:space="preserve">x1.44</w:t>
            </w:r>
          </w:p>
        </w:tc>
        <w:tc>
          <w:tcPr/>
          <w:p>
            <w:pPr>
              <w:pStyle w:val="Compact"/>
            </w:pPr>
            <w:r>
              <w:t xml:space="preserve">—</w:t>
            </w:r>
          </w:p>
        </w:tc>
        <w:tc>
          <w:tcPr/>
          <w:p>
            <w:pPr>
              <w:pStyle w:val="Compact"/>
            </w:pPr>
            <w:r>
              <w:t xml:space="preserve">Fisher</w:t>
            </w:r>
          </w:p>
        </w:tc>
      </w:tr>
      <w:tr>
        <w:tc>
          <w:tcPr/>
          <w:p>
            <w:pPr>
              <w:pStyle w:val="Compact"/>
            </w:pPr>
            <w:r>
              <w:t xml:space="preserve">k_b = -0.4 (D)</w:t>
            </w:r>
          </w:p>
        </w:tc>
        <w:tc>
          <w:tcPr/>
          <w:p>
            <w:pPr>
              <w:pStyle w:val="Compact"/>
              <w:jc w:val="right"/>
            </w:pPr>
            <w:r>
              <w:t xml:space="preserve">-0.66</w:t>
            </w:r>
          </w:p>
        </w:tc>
        <w:tc>
          <w:tcPr/>
          <w:p>
            <w:pPr>
              <w:pStyle w:val="Compact"/>
              <w:jc w:val="right"/>
            </w:pPr>
            <w:r>
              <w:t xml:space="preserve">-1.53</w:t>
            </w:r>
          </w:p>
        </w:tc>
        <w:tc>
          <w:tcPr/>
          <w:p>
            <w:pPr>
              <w:pStyle w:val="Compact"/>
              <w:jc w:val="right"/>
            </w:pPr>
            <w:r>
              <w:t xml:space="preserve">-1.58</w:t>
            </w:r>
          </w:p>
        </w:tc>
        <w:tc>
          <w:tcPr/>
          <w:p>
            <w:pPr>
              <w:pStyle w:val="Compact"/>
            </w:pPr>
            <w:r>
              <w:t xml:space="preserve">rho_s 0.976; top-6 0.50 / 1.00</w:t>
            </w:r>
          </w:p>
        </w:tc>
        <w:tc>
          <w:tcPr/>
          <w:p>
            <w:pPr>
              <w:pStyle w:val="Compact"/>
            </w:pPr>
            <w:r>
              <w:t xml:space="preserve">30 real.</w:t>
            </w:r>
          </w:p>
        </w:tc>
      </w:tr>
      <w:tr>
        <w:tc>
          <w:tcPr/>
          <w:p>
            <w:pPr>
              <w:pStyle w:val="Compact"/>
            </w:pPr>
            <w:r>
              <w:t xml:space="preserve">k_b = -0.6 (D)</w:t>
            </w:r>
          </w:p>
        </w:tc>
        <w:tc>
          <w:tcPr/>
          <w:p>
            <w:pPr>
              <w:pStyle w:val="Compact"/>
              <w:jc w:val="right"/>
            </w:pPr>
            <w:r>
              <w:t xml:space="preserve">+0.56</w:t>
            </w:r>
          </w:p>
        </w:tc>
        <w:tc>
          <w:tcPr/>
          <w:p>
            <w:pPr>
              <w:pStyle w:val="Compact"/>
              <w:jc w:val="right"/>
            </w:pPr>
            <w:r>
              <w:t xml:space="preserve">+1.41</w:t>
            </w:r>
          </w:p>
        </w:tc>
        <w:tc>
          <w:tcPr/>
          <w:p>
            <w:pPr>
              <w:pStyle w:val="Compact"/>
              <w:jc w:val="right"/>
            </w:pPr>
            <w:r>
              <w:t xml:space="preserve">+1.49</w:t>
            </w:r>
          </w:p>
        </w:tc>
        <w:tc>
          <w:tcPr/>
          <w:p>
            <w:pPr>
              <w:pStyle w:val="Compact"/>
            </w:pPr>
            <w:r>
              <w:t xml:space="preserve">rho_s 0.933; top-6 0.50 / 0.71</w:t>
            </w:r>
          </w:p>
        </w:tc>
        <w:tc>
          <w:tcPr/>
          <w:p>
            <w:pPr>
              <w:pStyle w:val="Compact"/>
            </w:pPr>
            <w:r>
              <w:t xml:space="preserve">30 real.</w:t>
            </w:r>
          </w:p>
        </w:tc>
      </w:tr>
      <w:tr>
        <w:tc>
          <w:tcPr/>
          <w:p>
            <w:pPr>
              <w:pStyle w:val="Compact"/>
            </w:pPr>
            <w:r>
              <w:t xml:space="preserve">sensor bias, worst arm (D)</w:t>
            </w:r>
          </w:p>
        </w:tc>
        <w:tc>
          <w:tcPr/>
          <w:p>
            <w:pPr>
              <w:pStyle w:val="Compact"/>
              <w:jc w:val="right"/>
            </w:pPr>
            <w:r>
              <w:t xml:space="preserve">+3.87</w:t>
            </w:r>
          </w:p>
        </w:tc>
        <w:tc>
          <w:tcPr/>
          <w:p>
            <w:pPr>
              <w:pStyle w:val="Compact"/>
              <w:jc w:val="right"/>
            </w:pPr>
            <w:r>
              <w:t xml:space="preserve">-5.94</w:t>
            </w:r>
          </w:p>
        </w:tc>
        <w:tc>
          <w:tcPr/>
          <w:p>
            <w:pPr>
              <w:pStyle w:val="Compact"/>
              <w:jc w:val="right"/>
            </w:pPr>
            <w:r>
              <w:t xml:space="preserve">-4.44</w:t>
            </w:r>
          </w:p>
        </w:tc>
        <w:tc>
          <w:tcPr/>
          <w:p>
            <w:pPr>
              <w:pStyle w:val="Compact"/>
            </w:pPr>
            <w:r>
              <w:t xml:space="preserve">rho_s &gt;= 0.9993; E[A] top-6 held in 23/24</w:t>
            </w:r>
          </w:p>
        </w:tc>
        <w:tc>
          <w:tcPr/>
          <w:p>
            <w:pPr>
              <w:pStyle w:val="Compact"/>
            </w:pPr>
            <w:r>
              <w:t xml:space="preserve">24 arms x 30</w:t>
            </w:r>
          </w:p>
        </w:tc>
      </w:tr>
      <w:tr>
        <w:tc>
          <w:tcPr/>
          <w:p>
            <w:pPr>
              <w:pStyle w:val="Compact"/>
            </w:pPr>
            <w:r>
              <w:t xml:space="preserve">sensor drift (D)</w:t>
            </w:r>
          </w:p>
        </w:tc>
        <w:tc>
          <w:tcPr/>
          <w:p>
            <w:pPr>
              <w:pStyle w:val="Compact"/>
              <w:jc w:val="right"/>
            </w:pPr>
            <w:r>
              <w:t xml:space="preserve">0.89-0.99 of the mean-equivalent bias</w:t>
            </w:r>
          </w:p>
        </w:tc>
        <w:tc>
          <w:tcPr/>
          <w:p>
            <w:pPr>
              <w:pStyle w:val="Compact"/>
            </w:pPr>
          </w:p>
        </w:tc>
        <w:tc>
          <w:tcPr/>
          <w:p>
            <w:pPr>
              <w:pStyle w:val="Compact"/>
            </w:pPr>
          </w:p>
        </w:tc>
        <w:tc>
          <w:tcPr/>
          <w:p>
            <w:pPr>
              <w:pStyle w:val="Compact"/>
            </w:pPr>
            <w:r>
              <w:t xml:space="preserve">unchanged</w:t>
            </w:r>
          </w:p>
        </w:tc>
        <w:tc>
          <w:tcPr/>
          <w:p>
            <w:pPr>
              <w:pStyle w:val="Compact"/>
            </w:pPr>
            <w:r>
              <w:t xml:space="preserve">2 nodes x 4</w:t>
            </w:r>
          </w:p>
        </w:tc>
      </w:tr>
      <w:tr>
        <w:tc>
          <w:tcPr/>
          <w:p>
            <w:pPr>
              <w:pStyle w:val="Compact"/>
            </w:pPr>
            <w:r>
              <w:t xml:space="preserve">zero censoring (D)</w:t>
            </w:r>
          </w:p>
        </w:tc>
        <w:tc>
          <w:tcPr/>
          <w:p>
            <w:pPr>
              <w:pStyle w:val="Compact"/>
              <w:jc w:val="right"/>
            </w:pPr>
            <w:r>
              <w:t xml:space="preserve">-0.11</w:t>
            </w:r>
          </w:p>
        </w:tc>
        <w:tc>
          <w:tcPr/>
          <w:p>
            <w:pPr>
              <w:pStyle w:val="Compact"/>
              <w:jc w:val="right"/>
            </w:pPr>
            <w:r>
              <w:t xml:space="preserve">-0.00</w:t>
            </w:r>
          </w:p>
        </w:tc>
        <w:tc>
          <w:tcPr/>
          <w:p>
            <w:pPr>
              <w:pStyle w:val="Compact"/>
              <w:jc w:val="right"/>
            </w:pPr>
            <w:r>
              <w:t xml:space="preserve">+0.01</w:t>
            </w:r>
          </w:p>
        </w:tc>
        <w:tc>
          <w:tcPr/>
          <w:p>
            <w:pPr>
              <w:pStyle w:val="Compact"/>
            </w:pPr>
            <w:r>
              <w:t xml:space="preserve">top-3 unchanged</w:t>
            </w:r>
          </w:p>
        </w:tc>
        <w:tc>
          <w:tcPr/>
          <w:p>
            <w:pPr>
              <w:pStyle w:val="Compact"/>
            </w:pPr>
            <w:r>
              <w:t xml:space="preserve">10/294 clipped</w:t>
            </w:r>
          </w:p>
        </w:tc>
      </w:tr>
      <w:tr>
        <w:tc>
          <w:tcPr/>
          <w:p>
            <w:pPr>
              <w:pStyle w:val="Compact"/>
            </w:pPr>
            <w:r>
              <w:t xml:space="preserve">symmetric heterogeneity (D)</w:t>
            </w:r>
          </w:p>
        </w:tc>
        <w:tc>
          <w:tcPr/>
          <w:p>
            <w:pPr>
              <w:pStyle w:val="Compact"/>
              <w:jc w:val="right"/>
            </w:pPr>
            <w:r>
              <w:t xml:space="preserve">+0.11</w:t>
            </w:r>
          </w:p>
        </w:tc>
        <w:tc>
          <w:tcPr/>
          <w:p>
            <w:pPr>
              <w:pStyle w:val="Compact"/>
              <w:jc w:val="right"/>
            </w:pPr>
            <w:r>
              <w:t xml:space="preserve">+0.02</w:t>
            </w:r>
          </w:p>
        </w:tc>
        <w:tc>
          <w:tcPr/>
          <w:p>
            <w:pPr>
              <w:pStyle w:val="Compact"/>
              <w:jc w:val="right"/>
            </w:pPr>
            <w:r>
              <w:t xml:space="preserve">-0.06</w:t>
            </w:r>
          </w:p>
        </w:tc>
        <w:tc>
          <w:tcPr/>
          <w:p>
            <w:pPr>
              <w:pStyle w:val="Compact"/>
            </w:pPr>
            <w:r>
              <w:t xml:space="preserve">—</w:t>
            </w:r>
          </w:p>
        </w:tc>
        <w:tc>
          <w:tcPr/>
          <w:p>
            <w:pPr>
              <w:pStyle w:val="Compact"/>
            </w:pPr>
            <w:r>
              <w:t xml:space="preserve">25 fields</w:t>
            </w:r>
          </w:p>
        </w:tc>
      </w:tr>
      <w:tr>
        <w:tc>
          <w:tcPr/>
          <w:p>
            <w:pPr>
              <w:pStyle w:val="Compact"/>
            </w:pPr>
            <w:r>
              <w:t xml:space="preserve">structured heterogeneity (D)</w:t>
            </w:r>
          </w:p>
        </w:tc>
        <w:tc>
          <w:tcPr/>
          <w:p>
            <w:pPr>
              <w:pStyle w:val="Compact"/>
              <w:jc w:val="right"/>
            </w:pPr>
            <w:r>
              <w:t xml:space="preserve">-1.55</w:t>
            </w:r>
          </w:p>
        </w:tc>
        <w:tc>
          <w:tcPr/>
          <w:p>
            <w:pPr>
              <w:pStyle w:val="Compact"/>
              <w:jc w:val="right"/>
            </w:pPr>
            <w:r>
              <w:t xml:space="preserve">-1.89</w:t>
            </w:r>
          </w:p>
        </w:tc>
        <w:tc>
          <w:tcPr/>
          <w:p>
            <w:pPr>
              <w:pStyle w:val="Compact"/>
              <w:jc w:val="right"/>
            </w:pPr>
            <w:r>
              <w:t xml:space="preserve">-1.65</w:t>
            </w:r>
          </w:p>
        </w:tc>
        <w:tc>
          <w:tcPr/>
          <w:p>
            <w:pPr>
              <w:pStyle w:val="Compact"/>
            </w:pPr>
            <w:r>
              <w:t xml:space="preserve">—</w:t>
            </w:r>
          </w:p>
        </w:tc>
        <w:tc>
          <w:tcPr/>
          <w:p>
            <w:pPr>
              <w:pStyle w:val="Compact"/>
            </w:pPr>
            <w:r>
              <w:t xml:space="preserve">1 design, single draw</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Notes</w:t>
            </w:r>
          </w:p>
        </w:tc>
      </w:tr>
      <w:tr>
        <w:tc>
          <w:tcPr/>
          <w:p>
            <w:pPr>
              <w:pStyle w:val="Compact"/>
            </w:pPr>
            <w:r>
              <w:t xml:space="preserve">(W) widening, a factor on the interval; (D) displacement, in baseline posterior standard deviations.</w:t>
            </w:r>
          </w:p>
        </w:tc>
      </w:tr>
      <w:tr>
        <w:tc>
          <w:tcPr/>
          <w:p>
            <w:pPr>
              <w:pStyle w:val="Compact"/>
            </w:pPr>
            <w:r>
              <w:t xml:space="preserve">Risk column: whole-network Spearman, then top-6 Jaccard under</w:t>
            </w:r>
            <w:r>
              <w:t xml:space="preserve"> </w:t>
            </w:r>
            <m:oMath>
              <m:acc>
                <m:accPr>
                  <m:chr m:val="‾"/>
                </m:accPr>
                <m:e>
                  <m:r>
                    <m:t>P</m:t>
                  </m:r>
                </m:e>
              </m:acc>
            </m:oMath>
            <w:r>
              <w:t xml:space="preserve"> </w:t>
            </w:r>
            <w:r>
              <w:t xml:space="preserve">/</w:t>
            </w:r>
            <w:r>
              <w:t xml:space="preserve"> </w:t>
            </w:r>
            <m:oMath>
              <m:r>
                <m:t>E</m:t>
              </m:r>
              <m:r>
                <m:rPr>
                  <m:sty m:val="p"/>
                </m:rPr>
                <m:t>[</m:t>
              </m:r>
              <m:r>
                <m:t>A</m:t>
              </m:r>
              <m:r>
                <m:rPr>
                  <m:sty m:val="p"/>
                </m:rPr>
                <m:t>]</m:t>
              </m:r>
            </m:oMath>
            <w:r>
              <w:t xml:space="preserve">.</w:t>
            </w:r>
          </w:p>
        </w:tc>
      </w:tr>
      <w:tr>
        <w:tc>
          <w:tcPr/>
          <w:p>
            <w:pPr>
              <w:pStyle w:val="Compact"/>
            </w:pPr>
            <w:r>
              <w:t xml:space="preserve">Structured-heterogeneity displacements are a single noise draw. Over 30 draws the median proxy-gap fraction is 0.86/1.12/0.92 (raw), with 5-95% intervals that overlap across zones, so the zones cannot be ordered against one another.</w:t>
            </w:r>
          </w:p>
        </w:tc>
      </w:tr>
      <w:tr>
        <w:tc>
          <w:tcPr/>
          <w:p>
            <w:pPr>
              <w:pStyle w:val="Compact"/>
            </w:pPr>
            <w:r>
              <w:t xml:space="preserve">Length is one correlate; the length-weighted proxy is not the effective coefficient.</w:t>
            </w:r>
          </w:p>
        </w:tc>
      </w:tr>
    </w:tbl>
    <w:p>
      <w:pPr>
        <w:pStyle w:val="BodyText"/>
      </w:pPr>
      <w:r>
        <w:t xml:space="preserve">Table 4.</w:t>
      </w:r>
      <w:r>
        <w:t xml:space="preserve"> </w:t>
      </w:r>
      <w:r>
        <w:rPr>
          <w:b/>
          <w:bCs/>
        </w:rPr>
        <w:t xml:space="preserve">Robustness summary across error sources.</w:t>
      </w:r>
      <w:r>
        <w:t xml:space="preserve"> </w:t>
      </w:r>
      <w:r>
        <w:t xml:space="preserve">Standardisation follows Figure 4; the notes below the table define the entry types and the caveats attached to each row.</w:t>
      </w:r>
    </w:p>
    <w:bookmarkEnd w:id="74"/>
    <w:bookmarkEnd w:id="75"/>
    <w:bookmarkStart w:id="82" w:name="X5c6fbb3654315815bfb725b2f40781d28e6ad47"/>
    <w:p>
      <w:pPr>
        <w:pStyle w:val="Heading2"/>
      </w:pPr>
      <w:r>
        <w:t xml:space="preserve">3.4 Structural heterogeneity and grouped effective parameters</w:t>
      </w:r>
    </w:p>
    <w:bookmarkStart w:id="76" w:name="Xa43c37939fe66a3a2a13d01c117c575e424ba6a"/>
    <w:p>
      <w:pPr>
        <w:pStyle w:val="Heading3"/>
      </w:pPr>
      <w:r>
        <w:t xml:space="preserve">3.4.1 Symmetric within-zone heterogeneity averages out</w:t>
      </w:r>
    </w:p>
    <w:p>
      <w:pPr>
        <w:pStyle w:val="FirstParagraph"/>
      </w:pPr>
      <w:r>
        <w:t xml:space="preserve">Sections 3.2 and 3.3 treated each synthetic zone as internally homogeneous, whereas in the field</w:t>
      </w:r>
      <w:r>
        <w:t xml:space="preserve"> </w:t>
      </w:r>
      <w:r>
        <w:t xml:space="preserve">wall reactivity is unlikely to be uniform within any practical grouping. Whether that variation</w:t>
      </w:r>
      <w:r>
        <w:t xml:space="preserve"> </w:t>
      </w:r>
      <w:r>
        <w:t xml:space="preserve">biases the grouped estimate turns out to depend on whether it has directional structure.</w:t>
      </w:r>
    </w:p>
    <w:p>
      <w:pPr>
        <w:pStyle w:val="BodyText"/>
      </w:pPr>
      <w:r>
        <w:t xml:space="preserve">With per-pipe coefficients jittered symmetrically about each zone mean, the grouped estimate</w:t>
      </w:r>
      <w:r>
        <w:t xml:space="preserve"> </w:t>
      </w:r>
      <w:r>
        <w:t xml:space="preserve">stayed at the zone arithmetic mean to within the scatter between realisations. Across 25</w:t>
      </w:r>
      <w:r>
        <w:t xml:space="preserve"> </w:t>
      </w:r>
      <w:r>
        <w:t xml:space="preserve">independent fields at +/-20%, the structural increment — the shift relative to a homogeneous</w:t>
      </w:r>
      <w:r>
        <w:t xml:space="preserve"> </w:t>
      </w:r>
      <w:r>
        <w:t xml:space="preserve">control run with the same noise — was +0.011 +/- 0.033 m day</w:t>
      </w:r>
      <w:r>
        <w:rPr>
          <w:vertAlign w:val="superscript"/>
        </w:rPr>
        <w:t xml:space="preserve">-1</w:t>
      </w:r>
      <w:r>
        <w:t xml:space="preserve"> </w:t>
      </w:r>
      <w:r>
        <w:t xml:space="preserve">for old, +0.0002 +/- 0.005 for</w:t>
      </w:r>
      <w:r>
        <w:t xml:space="preserve"> </w:t>
      </w:r>
      <w:r>
        <w:t xml:space="preserve">average and −0.0005 +/- 0.002 for new. Each mean increment is a fraction of the field-to-field</w:t>
      </w:r>
      <w:r>
        <w:t xml:space="preserve"> </w:t>
      </w:r>
      <w:r>
        <w:t xml:space="preserve">standard deviation (0.32, 0.04 and 0.24), so no systematic bias is distinguishable from the</w:t>
      </w:r>
      <w:r>
        <w:t xml:space="preserve"> </w:t>
      </w:r>
      <w:r>
        <w:t xml:space="preserve">scatter; standardised as in Figure 4 they are +0.11, +0.02 and −0.06.</w:t>
      </w:r>
    </w:p>
    <w:p>
      <w:pPr>
        <w:pStyle w:val="BodyText"/>
      </w:pPr>
      <w:r>
        <w:t xml:space="preserve">Fit quality gives no warning: the grid-based residual rises from its homogeneous resolution</w:t>
      </w:r>
      <w:r>
        <w:t xml:space="preserve"> </w:t>
      </w:r>
      <w:r>
        <w:t xml:space="preserve">floor of 0.0055 mg L</w:t>
      </w:r>
      <w:r>
        <w:rPr>
          <w:vertAlign w:val="superscript"/>
        </w:rPr>
        <w:t xml:space="preserve">-1</w:t>
      </w:r>
      <w:r>
        <w:t xml:space="preserve"> </w:t>
      </w:r>
      <w:r>
        <w:t xml:space="preserve">to 0.0068, leaving only 0.0013 attributable to the imposed</w:t>
      </w:r>
      <w:r>
        <w:t xml:space="preserve"> </w:t>
      </w:r>
      <w:r>
        <w:t xml:space="preserve">heterogeneity, and the best achievable fit stays at the noise floor. Nor would one field have</w:t>
      </w:r>
      <w:r>
        <w:t xml:space="preserve"> </w:t>
      </w:r>
      <w:r>
        <w:t xml:space="preserve">sufficed — the realisation examined first gave an old-zone increment of −0.032 m day</w:t>
      </w:r>
      <w:r>
        <w:rPr>
          <w:vertAlign w:val="superscript"/>
        </w:rPr>
        <w:t xml:space="preserve">-1</w:t>
      </w:r>
      <w:r>
        <w:t xml:space="preserve">,</w:t>
      </w:r>
      <w:r>
        <w:t xml:space="preserve"> </w:t>
      </w:r>
      <w:r>
        <w:t xml:space="preserve">opposite in sign to the 25-field mean, as did the other two coefficients. Symmetric +/-20%</w:t>
      </w:r>
      <w:r>
        <w:t xml:space="preserve"> </w:t>
      </w:r>
      <w:r>
        <w:t xml:space="preserve">heterogeneity therefore produced no detectable systematic bias in this controlled case, but</w:t>
      </w:r>
      <w:r>
        <w:t xml:space="preserve"> </w:t>
      </w:r>
      <w:r>
        <w:t xml:space="preserve">establishing that required a paired control and replication over fields.</w:t>
      </w:r>
    </w:p>
    <w:bookmarkEnd w:id="76"/>
    <w:bookmarkStart w:id="77" w:name="Xf795476aebf5c4172365929c86ee6a19e9abdae"/>
    <w:p>
      <w:pPr>
        <w:pStyle w:val="Heading3"/>
      </w:pPr>
      <w:r>
        <w:t xml:space="preserve">3.4.2 Structured heterogeneity displaces all three grouped coefficients</w:t>
      </w:r>
    </w:p>
    <w:p>
      <w:pPr>
        <w:pStyle w:val="FirstParagraph"/>
      </w:pPr>
      <w:r>
        <w:t xml:space="preserve">Heterogeneity correlated with a network property behaves differently. Making within-zone decay</w:t>
      </w:r>
      <w:r>
        <w:t xml:space="preserve"> </w:t>
      </w:r>
      <w:r>
        <w:t xml:space="preserve">increase with pipe length at amplitude</w:t>
      </w:r>
      <w:r>
        <w:t xml:space="preserve"> </w:t>
      </w:r>
      <m:oMath>
        <m:r>
          <m:t>λ</m:t>
        </m:r>
        <m:r>
          <m:rPr>
            <m:sty m:val="p"/>
          </m:rPr>
          <m:t>=</m:t>
        </m:r>
        <m:r>
          <m:t>0.50</m:t>
        </m:r>
      </m:oMath>
      <w:r>
        <w:t xml:space="preserve">, while holding each zone’s arithmetic</w:t>
      </w:r>
      <w:r>
        <w:t xml:space="preserve"> </w:t>
      </w:r>
      <w:r>
        <w:t xml:space="preserve">mean fixed, separates two candidate targets for a homogeneous grouped fit: the arithmetic mean</w:t>
      </w:r>
      <w:r>
        <w:t xml:space="preserve"> </w:t>
      </w:r>
      <w:r>
        <w:t xml:space="preserve">and a length-weighted mean, the latter shifted to −1.240, −0.124 and −0.066 m day</w:t>
      </w:r>
      <w:r>
        <w:rPr>
          <w:vertAlign w:val="superscript"/>
        </w:rPr>
        <w:t xml:space="preserve">-1</w:t>
      </w:r>
      <w:r>
        <w:t xml:space="preserve"> </w:t>
      </w:r>
      <w:r>
        <w:t xml:space="preserve">for old,</w:t>
      </w:r>
      <w:r>
        <w:t xml:space="preserve"> </w:t>
      </w:r>
      <w:r>
        <w:t xml:space="preserve">average and new.</w:t>
      </w:r>
    </w:p>
    <w:p>
      <w:pPr>
        <w:pStyle w:val="BodyText"/>
      </w:pPr>
      <w:r>
        <w:t xml:space="preserve">In the paired reference realisation, subtracting the corresponding homogeneous-control offset</w:t>
      </w:r>
      <w:r>
        <w:t xml:space="preserve"> </w:t>
      </w:r>
      <w:r>
        <w:t xml:space="preserve">gives displacements of −1.55, −1.89 and −1.65 baseline posterior standard deviations for old,</w:t>
      </w:r>
      <w:r>
        <w:t xml:space="preserve"> </w:t>
      </w:r>
      <w:r>
        <w:t xml:space="preserve">average and new — comparable in magnitude across all three coefficients — while the fit remains</w:t>
      </w:r>
      <w:r>
        <w:t xml:space="preserve"> </w:t>
      </w:r>
      <w:r>
        <w:t xml:space="preserve">at the noise floor, with a best RMSE of 0.0968 against a realised noise RMSE of 0.0973.</w:t>
      </w:r>
    </w:p>
    <w:p>
      <w:pPr>
        <w:pStyle w:val="BodyText"/>
      </w:pPr>
      <w:r>
        <w:t xml:space="preserve">A separate sensitivity test over 30 noise realisations then asked whether that displacement is a</w:t>
      </w:r>
      <w:r>
        <w:t xml:space="preserve"> </w:t>
      </w:r>
      <w:r>
        <w:t xml:space="preserve">property of the imposed structure or of the particular noise draw. This test reports the raw</w:t>
      </w:r>
      <w:r>
        <w:t xml:space="preserve"> </w:t>
      </w:r>
      <w:r>
        <w:t xml:space="preserve">fraction of the arithmetic-to-length-weighted gap travelled, without the paired control</w:t>
      </w:r>
      <w:r>
        <w:t xml:space="preserve"> </w:t>
      </w:r>
      <w:r>
        <w:t xml:space="preserve">adjustment. At an amplitude of</w:t>
      </w:r>
      <w:r>
        <w:t xml:space="preserve"> </w:t>
      </w:r>
      <m:oMath>
        <m:r>
          <m:t>λ</m:t>
        </m:r>
        <m:r>
          <m:rPr>
            <m:sty m:val="p"/>
          </m:rPr>
          <m:t>=</m:t>
        </m:r>
        <m:r>
          <m:t>0.50</m:t>
        </m:r>
      </m:oMath>
      <w:r>
        <w:t xml:space="preserve"> </w:t>
      </w:r>
      <w:r>
        <w:t xml:space="preserve">the median fractions were 0.86, 1.12 and 0.92</w:t>
      </w:r>
      <w:r>
        <w:t xml:space="preserve"> </w:t>
      </w:r>
      <w:r>
        <w:t xml:space="preserve">for old, average and new, and they lay between 0.74 and 1.26 for every zone at every non-zero</w:t>
      </w:r>
      <w:r>
        <w:t xml:space="preserve"> </w:t>
      </w:r>
      <w:r>
        <w:t xml:space="preserve">amplitude tested; at</w:t>
      </w:r>
      <w:r>
        <w:t xml:space="preserve"> </w:t>
      </w:r>
      <m:oMath>
        <m:r>
          <m:t>λ</m:t>
        </m:r>
        <m:r>
          <m:rPr>
            <m:sty m:val="p"/>
          </m:rPr>
          <m:t>=</m:t>
        </m:r>
        <m:r>
          <m:t>0</m:t>
        </m:r>
      </m:oMath>
      <w:r>
        <w:t xml:space="preserve"> </w:t>
      </w:r>
      <w:r>
        <w:t xml:space="preserve">the two targets coincide and the fraction is undefined. The</w:t>
      </w:r>
      <w:r>
        <w:t xml:space="preserve"> </w:t>
      </w:r>
      <w:r>
        <w:t xml:space="preserve">5th-to-95th ranges are wide and overlap heavily across zones — [0.12, 1.46] for old, [−0.07,</w:t>
      </w:r>
      <w:r>
        <w:t xml:space="preserve"> </w:t>
      </w:r>
      <w:r>
        <w:t xml:space="preserve">2.43] for average and [−0.03, 1.78] for new — and all three contain unity, so the coefficients</w:t>
      </w:r>
      <w:r>
        <w:t xml:space="preserve"> </w:t>
      </w:r>
      <w:r>
        <w:t xml:space="preserve">cannot be ordered against one another. The representative realisation shown in Figure 5C places</w:t>
      </w:r>
      <w:r>
        <w:t xml:space="preserve"> </w:t>
      </w:r>
      <w:r>
        <w:t xml:space="preserve">the average-zone estimate beyond the length-weighted value, but that apparent overshoot is not</w:t>
      </w:r>
      <w:r>
        <w:t xml:space="preserve"> </w:t>
      </w:r>
      <w:r>
        <w:t xml:space="preserve">stable: across noise realisations the interval spans both sides of unity. At</w:t>
      </w:r>
      <w:r>
        <w:t xml:space="preserve"> </w:t>
      </w:r>
      <m:oMath>
        <m:r>
          <m:t>λ</m:t>
        </m:r>
        <m:r>
          <m:rPr>
            <m:sty m:val="p"/>
          </m:rPr>
          <m:t>=</m:t>
        </m:r>
        <m:r>
          <m:t>0.75</m:t>
        </m:r>
      </m:oMath>
      <w:r>
        <w:t xml:space="preserve"> </w:t>
      </w:r>
      <w:r>
        <w:t xml:space="preserve">all three intervals exclude zero, so the displacement away from the arithmetic mean in the</w:t>
      </w:r>
      <w:r>
        <w:t xml:space="preserve"> </w:t>
      </w:r>
      <w:r>
        <w:t xml:space="preserve">length-weighted direction is resolved at the tested noise level, even though its size is not.</w:t>
      </w:r>
    </w:p>
    <w:p>
      <w:pPr>
        <w:pStyle w:val="BodyText"/>
      </w:pPr>
      <w:r>
        <w:t xml:space="preserve">The informal comparator attenuates the effect substantially and consistently. Its median</w:t>
      </w:r>
      <w:r>
        <w:t xml:space="preserve"> </w:t>
      </w:r>
      <w:r>
        <w:t xml:space="preserve">fraction for the old zone is 0.65, 0.43 and 0.34 at</w:t>
      </w:r>
      <w:r>
        <w:t xml:space="preserve"> </w:t>
      </w:r>
      <m:oMath>
        <m:r>
          <m:t>λ</m:t>
        </m:r>
        <m:r>
          <m:rPr>
            <m:sty m:val="p"/>
          </m:rPr>
          <m:t>=</m:t>
        </m:r>
        <m:r>
          <m:t>0.25</m:t>
        </m:r>
      </m:oMath>
      <w:r>
        <w:t xml:space="preserve">, 0.50 and 0.75, against</w:t>
      </w:r>
      <w:r>
        <w:t xml:space="preserve"> </w:t>
      </w:r>
      <w:r>
        <w:t xml:space="preserve">formal medians of 1.10, 0.86 and 0.74 — between 0.46 and 0.59 of the formal value at every</w:t>
      </w:r>
      <w:r>
        <w:t xml:space="preserve"> </w:t>
      </w:r>
      <w:r>
        <w:t xml:space="preserve">strength. Both rules report a falling fraction as</w:t>
      </w:r>
      <w:r>
        <w:t xml:space="preserve"> </w:t>
      </w:r>
      <m:oMath>
        <m:r>
          <m:t>λ</m:t>
        </m:r>
      </m:oMath>
      <w:r>
        <w:t xml:space="preserve"> </w:t>
      </w:r>
      <w:r>
        <w:t xml:space="preserve">grows, but because the gap itself</w:t>
      </w:r>
      <w:r>
        <w:t xml:space="preserve"> </w:t>
      </w:r>
      <w:r>
        <w:t xml:space="preserve">widens the absolute displacement rises under both; the informal weighting simply recovers about</w:t>
      </w:r>
      <w:r>
        <w:t xml:space="preserve"> </w:t>
      </w:r>
      <w:r>
        <w:t xml:space="preserve">half as much of it. A score that is nearly flat inside its behavioural set cannot follow a</w:t>
      </w:r>
      <w:r>
        <w:t xml:space="preserve"> </w:t>
      </w:r>
      <w:r>
        <w:t xml:space="preserve">systematic displacement, so a study relying on it would materially understate how far structural</w:t>
      </w:r>
      <w:r>
        <w:t xml:space="preserve"> </w:t>
      </w:r>
      <w:r>
        <w:t xml:space="preserve">misspecification moves a grouped coefficient.</w:t>
      </w:r>
    </w:p>
    <w:bookmarkEnd w:id="77"/>
    <w:bookmarkStart w:id="81" w:name="what-a-grouped-coefficient-represents"/>
    <w:p>
      <w:pPr>
        <w:pStyle w:val="Heading3"/>
      </w:pPr>
      <w:r>
        <w:t xml:space="preserve">3.4.3 What a grouped coefficient represents</w:t>
      </w:r>
    </w:p>
    <w:p>
      <w:pPr>
        <w:pStyle w:val="FirstParagraph"/>
      </w:pPr>
      <w:r>
        <w:t xml:space="preserve">Length was chosen because it cleanly separates the two candidate targets, not because it is the</w:t>
      </w:r>
      <w:r>
        <w:t xml:space="preserve"> </w:t>
      </w:r>
      <w:r>
        <w:t xml:space="preserve">physically correct weighting. The reaction weight of a pipe depends on its flow, direction,</w:t>
      </w:r>
      <w:r>
        <w:t xml:space="preserve"> </w:t>
      </w:r>
      <w:r>
        <w:t xml:space="preserve">diameter and residence time, and on how strongly the six monitors see it; the length-weighted</w:t>
      </w:r>
      <w:r>
        <w:t xml:space="preserve"> </w:t>
      </w:r>
      <w:r>
        <w:t xml:space="preserve">value is an illustrative directional comparator, not an estimand, a common endpoint or a bound.</w:t>
      </w:r>
      <w:r>
        <w:t xml:space="preserve"> </w:t>
      </w:r>
      <w:r>
        <w:t xml:space="preserve">A sensitivity- or Jacobian-weighted effective mean, which would identify what the fit actually</w:t>
      </w:r>
      <w:r>
        <w:t xml:space="preserve"> </w:t>
      </w:r>
      <w:r>
        <w:t xml:space="preserve">estimates, was not computed here and remains open work.</w:t>
      </w:r>
    </w:p>
    <w:p>
      <w:pPr>
        <w:pStyle w:val="BodyText"/>
      </w:pPr>
      <w:r>
        <w:t xml:space="preserve">Two consequences follow. A grouped calibrated coefficient is a model- and observation-dependent</w:t>
      </w:r>
      <w:r>
        <w:t xml:space="preserve"> </w:t>
      </w:r>
      <w:r>
        <w:t xml:space="preserve">effective parameter rather than a physical average of its pipes, so using it to infer the</w:t>
      </w:r>
      <w:r>
        <w:t xml:space="preserve"> </w:t>
      </w:r>
      <w:r>
        <w:t xml:space="preserve">condition of individual assets is not supported here. And unlike the measurement errors of</w:t>
      </w:r>
      <w:r>
        <w:t xml:space="preserve"> </w:t>
      </w:r>
      <w:r>
        <w:t xml:space="preserve">Section 3.3, this discrepancy cannot be removed by improving sensor precision, because its</w:t>
      </w:r>
      <w:r>
        <w:t xml:space="preserve"> </w:t>
      </w:r>
      <w:r>
        <w:t xml:space="preserve">source is the grouped model rather than the observation process — though better instruments</w:t>
      </w:r>
      <w:r>
        <w:t xml:space="preserve"> </w:t>
      </w:r>
      <w:r>
        <w:t xml:space="preserve">would make it easier to detect.</w:t>
      </w:r>
    </w:p>
    <w:p>
      <w:pPr>
        <w:pStyle w:val="CaptionedFigure"/>
      </w:pPr>
      <w:r>
        <w:drawing>
          <wp:inline>
            <wp:extent cx="5753100" cy="1462293"/>
            <wp:effectExtent b="0" l="0" r="0" t="0"/>
            <wp:docPr descr="Figure 5. Symmetric and structured within-zone heterogeneity. (A) Structural increment over 25 independent +/-20% fields, in baseline posterior standard deviations. (B) One field against the 25-field mean, showing sign reversal. (C) Raw arithmetic-to-proxy displacement fraction: median and 5-95% range over 30 noise realisations; the faint marker is the paired reference realisation whose control-adjusted shift is quoted in the text. (D) Structural residual against the largest standardised displacement — descriptive across designs, not equivalent replication schemes." title="" id="79" name="Picture"/>
            <a:graphic>
              <a:graphicData uri="http://schemas.openxmlformats.org/drawingml/2006/picture">
                <pic:pic>
                  <pic:nvPicPr>
                    <pic:cNvPr descr="figures/paper/fig5_symmetric_vs_structured.png" id="80" name="Picture"/>
                    <pic:cNvPicPr>
                      <a:picLocks noChangeArrowheads="1" noChangeAspect="1"/>
                    </pic:cNvPicPr>
                  </pic:nvPicPr>
                  <pic:blipFill>
                    <a:blip r:embed="rId78"/>
                    <a:stretch>
                      <a:fillRect/>
                    </a:stretch>
                  </pic:blipFill>
                  <pic:spPr bwMode="auto">
                    <a:xfrm>
                      <a:off x="0" y="0"/>
                      <a:ext cx="5753100" cy="1462293"/>
                    </a:xfrm>
                    <a:prstGeom prst="rect">
                      <a:avLst/>
                    </a:prstGeom>
                    <a:noFill/>
                    <a:ln w="9525">
                      <a:noFill/>
                      <a:headEnd/>
                      <a:tailEnd/>
                    </a:ln>
                  </pic:spPr>
                </pic:pic>
              </a:graphicData>
            </a:graphic>
          </wp:inline>
        </w:drawing>
      </w:r>
    </w:p>
    <w:p>
      <w:pPr>
        <w:pStyle w:val="ImageCaption"/>
      </w:pPr>
      <w:r>
        <w:t xml:space="preserve">Figure 5.</w:t>
      </w:r>
      <w:r>
        <w:t xml:space="preserve"> </w:t>
      </w:r>
      <w:r>
        <w:rPr>
          <w:b/>
          <w:bCs/>
        </w:rPr>
        <w:t xml:space="preserve">Symmetric and structured within-zone heterogeneity.</w:t>
      </w:r>
      <w:r>
        <w:t xml:space="preserve"> </w:t>
      </w:r>
      <w:r>
        <w:t xml:space="preserve">(A) Structural increment</w:t>
      </w:r>
      <w:r>
        <w:t xml:space="preserve"> </w:t>
      </w:r>
      <w:r>
        <w:t xml:space="preserve">over 25 independent +/-20% fields, in baseline posterior standard deviations. (B) One field</w:t>
      </w:r>
      <w:r>
        <w:t xml:space="preserve"> </w:t>
      </w:r>
      <w:r>
        <w:t xml:space="preserve">against the 25-field mean, showing sign reversal. (C) Raw arithmetic-to-proxy displacement</w:t>
      </w:r>
      <w:r>
        <w:t xml:space="preserve"> </w:t>
      </w:r>
      <w:r>
        <w:t xml:space="preserve">fraction: median and 5-95% range over 30 noise realisations; the faint marker is the paired</w:t>
      </w:r>
      <w:r>
        <w:t xml:space="preserve"> </w:t>
      </w:r>
      <w:r>
        <w:t xml:space="preserve">reference realisation whose control-adjusted shift is quoted in the text. (D) Structural</w:t>
      </w:r>
      <w:r>
        <w:t xml:space="preserve"> </w:t>
      </w:r>
      <w:r>
        <w:t xml:space="preserve">residual against the largest standardised displacement — descriptive across designs, not</w:t>
      </w:r>
      <w:r>
        <w:t xml:space="preserve"> </w:t>
      </w:r>
      <w:r>
        <w:t xml:space="preserve">equivalent replication schemes.</w:t>
      </w:r>
    </w:p>
    <w:bookmarkEnd w:id="81"/>
    <w:bookmarkEnd w:id="82"/>
    <w:bookmarkStart w:id="89" w:name="X44cb885e018a13507da67f983d6df8610da438a"/>
    <w:p>
      <w:pPr>
        <w:pStyle w:val="Heading2"/>
      </w:pPr>
      <w:r>
        <w:t xml:space="preserve">3.5 Predictive accuracy is not parameter identification</w:t>
      </w:r>
    </w:p>
    <w:bookmarkStart w:id="83" w:name="leaving-out-one-monitor"/>
    <w:p>
      <w:pPr>
        <w:pStyle w:val="Heading3"/>
      </w:pPr>
      <w:r>
        <w:t xml:space="preserve">3.5.1 Leaving out one monitor</w:t>
      </w:r>
    </w:p>
    <w:p>
      <w:pPr>
        <w:pStyle w:val="FirstParagraph"/>
      </w:pPr>
      <w:r>
        <w:t xml:space="preserve">If a calibrated model predicts well at a sensor it never saw, the calibration is often taken to</w:t>
      </w:r>
      <w:r>
        <w:t xml:space="preserve"> </w:t>
      </w:r>
      <w:r>
        <w:t xml:space="preserve">be validated. Withholding each of the six monitors in turn and refitting gives held-out RMSEs</w:t>
      </w:r>
      <w:r>
        <w:t xml:space="preserve"> </w:t>
      </w:r>
      <w:r>
        <w:t xml:space="preserve">between 0.092 and 0.103 mg L</w:t>
      </w:r>
      <w:r>
        <w:rPr>
          <w:vertAlign w:val="superscript"/>
        </w:rPr>
        <w:t xml:space="preserve">-1</w:t>
      </w:r>
      <w:r>
        <w:t xml:space="preserve"> </w:t>
      </w:r>
      <w:r>
        <w:t xml:space="preserve">against an observation noise standard deviation of 0.1, with</w:t>
      </w:r>
      <w:r>
        <w:t xml:space="preserve"> </w:t>
      </w:r>
      <w:r>
        <w:t xml:space="preserve">90% predictive interval coverage between 0.90 and 0.94 (Table 5). Taken at face value, these</w:t>
      </w:r>
      <w:r>
        <w:t xml:space="preserve"> </w:t>
      </w:r>
      <w:r>
        <w:t xml:space="preserve">diagnostics indicate good held-out predictive performance at all six monitors.</w:t>
      </w:r>
    </w:p>
    <w:p>
      <w:pPr>
        <w:pStyle w:val="BodyText"/>
      </w:pPr>
      <w:r>
        <w:t xml:space="preserve">Two observations qualify that reading. First, each zone retains its second monitor throughout,</w:t>
      </w:r>
      <w:r>
        <w:t xml:space="preserve"> </w:t>
      </w:r>
      <w:r>
        <w:t xml:space="preserve">so the test establishes prediction at an unseen monitor while its reaction zone remains locally</w:t>
      </w:r>
      <w:r>
        <w:t xml:space="preserve"> </w:t>
      </w:r>
      <w:r>
        <w:t xml:space="preserve">observed; it does not test whether that zone’s coefficient can be identified without local</w:t>
      </w:r>
      <w:r>
        <w:t xml:space="preserve"> </w:t>
      </w:r>
      <w:r>
        <w:t xml:space="preserve">monitoring. Second, the informal comparator achieved almost the same held-out RMSE, 0.092 to</w:t>
      </w:r>
      <w:r>
        <w:t xml:space="preserve"> </w:t>
      </w:r>
      <w:r>
        <w:t xml:space="preserve">0.102 mg L</w:t>
      </w:r>
      <w:r>
        <w:rPr>
          <w:vertAlign w:val="superscript"/>
        </w:rPr>
        <w:t xml:space="preserve">-1</w:t>
      </w:r>
      <w:r>
        <w:t xml:space="preserve">, despite producing the much broader and more prior-sensitive parameter</w:t>
      </w:r>
      <w:r>
        <w:t xml:space="preserve"> </w:t>
      </w:r>
      <w:r>
        <w:t xml:space="preserve">distributions of Section 3.2. A weighting rule can therefore extract very little parameter</w:t>
      </w:r>
      <w:r>
        <w:t xml:space="preserve"> </w:t>
      </w:r>
      <w:r>
        <w:t xml:space="preserve">information and still predict concentrations about as well, which is a first indication that</w:t>
      </w:r>
      <w:r>
        <w:t xml:space="preserve"> </w:t>
      </w:r>
      <w:r>
        <w:t xml:space="preserve">predictive adequacy and parameter identification are distinct properties.</w:t>
      </w:r>
    </w:p>
    <w:bookmarkEnd w:id="83"/>
    <w:bookmarkStart w:id="84" w:name="leaving-out-a-whole-zone"/>
    <w:p>
      <w:pPr>
        <w:pStyle w:val="Heading3"/>
      </w:pPr>
      <w:r>
        <w:t xml:space="preserve">3.5.2 Leaving out a whole zone</w:t>
      </w:r>
    </w:p>
    <w:p>
      <w:pPr>
        <w:pStyle w:val="FirstParagraph"/>
      </w:pPr>
      <w:r>
        <w:t xml:space="preserve">Withholding both monitors of a zone removes that local information. The old-zone coefficient</w:t>
      </w:r>
      <w:r>
        <w:t xml:space="preserve"> </w:t>
      </w:r>
      <w:r>
        <w:t xml:space="preserve">then returns to −0.851 and the average-zone coefficient to −0.120, the midpoints of their priors</w:t>
      </w:r>
      <w:r>
        <w:t xml:space="preserve"> </w:t>
      </w:r>
      <w:r>
        <w:t xml:space="preserve">to three decimal places, and both retain 100% of the prior standard deviation: the observations</w:t>
      </w:r>
      <w:r>
        <w:t xml:space="preserve"> </w:t>
      </w:r>
      <w:r>
        <w:t xml:space="preserve">provide effectively no update beyond the prior for those two coefficients. The new-zone</w:t>
      </w:r>
      <w:r>
        <w:t xml:space="preserve"> </w:t>
      </w:r>
      <w:r>
        <w:t xml:space="preserve">coefficient behaves differently, retaining about 57% of its prior standard deviation, which is</w:t>
      </w:r>
      <w:r>
        <w:t xml:space="preserve"> </w:t>
      </w:r>
      <w:r>
        <w:t xml:space="preserve">consistent with the upstream position of the new zone and with the cross-zone sensitivity</w:t>
      </w:r>
      <w:r>
        <w:t xml:space="preserve"> </w:t>
      </w:r>
      <w:r>
        <w:t xml:space="preserve">visible in the Fisher analysis of Section 3.2.3.</w:t>
      </w:r>
    </w:p>
    <w:p>
      <w:pPr>
        <w:pStyle w:val="BodyText"/>
      </w:pPr>
      <w:r>
        <w:t xml:space="preserve">Predictive performance barely notices. Held-out RMSE at the dropped monitors is 0.0999, 0.0988</w:t>
      </w:r>
      <w:r>
        <w:t xml:space="preserve"> </w:t>
      </w:r>
      <w:r>
        <w:t xml:space="preserve">and 0.1006 mg L</w:t>
      </w:r>
      <w:r>
        <w:rPr>
          <w:vertAlign w:val="superscript"/>
        </w:rPr>
        <w:t xml:space="preserve">-1</w:t>
      </w:r>
      <w:r>
        <w:t xml:space="preserve"> </w:t>
      </w:r>
      <w:r>
        <w:t xml:space="preserve">— comparable to the leave-one-monitor-out values and to the</w:t>
      </w:r>
      <w:r>
        <w:t xml:space="preserve"> </w:t>
      </w:r>
      <w:r>
        <w:t xml:space="preserve">observation-noise scale — with coverage between 0.90 and 0.96 (Figure 6). Repeating</w:t>
      </w:r>
      <w:r>
        <w:t xml:space="preserve"> </w:t>
      </w:r>
      <w:r>
        <w:t xml:space="preserve">leave-one-zone-out under +/-20% per-pipe heterogeneity across eight independent fields changes</w:t>
      </w:r>
      <w:r>
        <w:t xml:space="preserve"> </w:t>
      </w:r>
      <w:r>
        <w:t xml:space="preserve">little: coefficient errors relative to each field’s own arithmetic mean are +0.139, −0.020 and</w:t>
      </w:r>
      <w:r>
        <w:t xml:space="preserve"> </w:t>
      </w:r>
      <w:r>
        <w:t xml:space="preserve">+0.012 m day</w:t>
      </w:r>
      <w:r>
        <w:rPr>
          <w:vertAlign w:val="superscript"/>
        </w:rPr>
        <w:t xml:space="preserve">-1</w:t>
      </w:r>
      <w:r>
        <w:t xml:space="preserve">, and errors at unmonitored junctions remain between 0.8% and 1.2%. As a</w:t>
      </w:r>
      <w:r>
        <w:t xml:space="preserve"> </w:t>
      </w:r>
      <w:r>
        <w:t xml:space="preserve">separate spatial validation using all six monitors, predictions at twenty junctions that never</w:t>
      </w:r>
      <w:r>
        <w:t xml:space="preserve"> </w:t>
      </w:r>
      <w:r>
        <w:t xml:space="preserve">entered any calibration had a median mean-absolute relative error of 0.8% under the primary</w:t>
      </w:r>
      <w:r>
        <w:t xml:space="preserve"> </w:t>
      </w:r>
      <w:r>
        <w:t xml:space="preserve">likelihood.</w:t>
      </w:r>
    </w:p>
    <w:p>
      <w:pPr>
        <w:pStyle w:val="BodyText"/>
      </w:pPr>
      <w:r>
        <w:t xml:space="preserve">The mechanism differs by zone, and it is not mutual compensation between coefficients: when one</w:t>
      </w:r>
      <w:r>
        <w:t xml:space="preserve"> </w:t>
      </w:r>
      <w:r>
        <w:t xml:space="preserve">zone is withheld the other two coefficients barely move, changing by less than 0.005 m day</w:t>
      </w:r>
      <w:r>
        <w:rPr>
          <w:vertAlign w:val="superscript"/>
        </w:rPr>
        <w:t xml:space="preserve">-1</w:t>
      </w:r>
      <w:r>
        <w:t xml:space="preserve"> </w:t>
      </w:r>
      <w:r>
        <w:t xml:space="preserve">from their six-monitor values. For old and average, the prior midpoints already lie close enough</w:t>
      </w:r>
      <w:r>
        <w:t xml:space="preserve"> </w:t>
      </w:r>
      <w:r>
        <w:t xml:space="preserve">to the imposed truths that a prior-dominated coefficient still produces concentrations whose</w:t>
      </w:r>
      <w:r>
        <w:t xml:space="preserve"> </w:t>
      </w:r>
      <w:r>
        <w:t xml:space="preserve">discrepancies are small relative to the 0.1 mg L</w:t>
      </w:r>
      <w:r>
        <w:rPr>
          <w:vertAlign w:val="superscript"/>
        </w:rPr>
        <w:t xml:space="preserve">-1</w:t>
      </w:r>
      <w:r>
        <w:t xml:space="preserve"> </w:t>
      </w:r>
      <w:r>
        <w:t xml:space="preserve">observation noise. The new coefficient is</w:t>
      </w:r>
      <w:r>
        <w:t xml:space="preserve"> </w:t>
      </w:r>
      <w:r>
        <w:t xml:space="preserve">different in kind, retaining genuine information from monitors outside its own zone. A zone</w:t>
      </w:r>
      <w:r>
        <w:t xml:space="preserve"> </w:t>
      </w:r>
      <w:r>
        <w:t xml:space="preserve">coefficient can therefore remain effectively at its prior while predictions at the withheld</w:t>
      </w:r>
      <w:r>
        <w:t xml:space="preserve"> </w:t>
      </w:r>
      <w:r>
        <w:t xml:space="preserve">monitors of that same zone stay close to the observation-noise scale.</w:t>
      </w:r>
    </w:p>
    <w:bookmarkEnd w:id="84"/>
    <w:bookmarkStart w:id="88" w:name="X68f19514e01396656c07c61bd9e2aff5b14a223"/>
    <w:p>
      <w:pPr>
        <w:pStyle w:val="Heading3"/>
      </w:pPr>
      <w:r>
        <w:t xml:space="preserve">3.5.3 What predictive validation does and does not license</w:t>
      </w:r>
    </w:p>
    <w:p>
      <w:pPr>
        <w:pStyle w:val="FirstParagraph"/>
      </w:pPr>
      <w:r>
        <w:t xml:space="preserve">The two claims support different uses. Held-out prediction supports spatial prediction at unseen</w:t>
      </w:r>
      <w:r>
        <w:t xml:space="preserve"> </w:t>
      </w:r>
      <w:r>
        <w:t xml:space="preserve">locations within the same simulated operating regime. It does not support physical</w:t>
      </w:r>
      <w:r>
        <w:t xml:space="preserve"> </w:t>
      </w:r>
      <w:r>
        <w:t xml:space="preserve">interpretation of the coefficients, attribution of decay to particular assets, or any</w:t>
      </w:r>
      <w:r>
        <w:t xml:space="preserve"> </w:t>
      </w:r>
      <w:r>
        <w:t xml:space="preserve">intervention whose design depends on which zone is reactive — for those, Section 3.5.2 shows the</w:t>
      </w:r>
      <w:r>
        <w:t xml:space="preserve"> </w:t>
      </w:r>
      <w:r>
        <w:t xml:space="preserve">evidence may be absent while every predictive diagnostic passes. A model adequate for</w:t>
      </w:r>
      <w:r>
        <w:t xml:space="preserve"> </w:t>
      </w:r>
      <w:r>
        <w:t xml:space="preserve">concentration screening may still be inadequate for asset diagnosis.</w:t>
      </w:r>
    </w:p>
    <w:p>
      <w:pPr>
        <w:pStyle w:val="BodyText"/>
      </w:pPr>
      <w:r>
        <w:t xml:space="preserve">Nor is this an external validation. Even the heterogeneous-truth extension retains the same</w:t>
      </w:r>
      <w:r>
        <w:t xml:space="preserve"> </w:t>
      </w:r>
      <w:r>
        <w:t xml:space="preserve">underlying hydraulics, the same first-order reaction family and the same solver, and no field</w:t>
      </w:r>
      <w:r>
        <w:t xml:space="preserve"> </w:t>
      </w:r>
      <w:r>
        <w:t xml:space="preserve">observations are used. The exercise establishes internal predictive consistency, not</w:t>
      </w:r>
      <w:r>
        <w:t xml:space="preserve"> </w:t>
      </w:r>
      <w:r>
        <w:t xml:space="preserve">real-network validity.</w:t>
      </w:r>
    </w:p>
    <w:p>
      <w:pPr>
        <w:pStyle w:val="CaptionedFigure"/>
      </w:pPr>
      <w:r>
        <w:drawing>
          <wp:inline>
            <wp:extent cx="5591819" cy="2500276"/>
            <wp:effectExtent b="0" l="0" r="0" t="0"/>
            <wp:docPr descr="Figure 6. A zone coefficient can remain at its prior while prediction stays near the noise scale. For each withheld zone: the median inferred coefficient over 30 realisations, with a 90% width from the median within-realisation posterior standard deviation, against prior support, prior midpoint and truth; the label gives that standard deviation as a fraction of the prior. Right: held-out RMSE at the dropped monitors against the noise level." title="" id="86" name="Picture"/>
            <a:graphic>
              <a:graphicData uri="http://schemas.openxmlformats.org/drawingml/2006/picture">
                <pic:pic>
                  <pic:nvPicPr>
                    <pic:cNvPr descr="figures/paper/fig6_prediction_without_identification.png" id="87" name="Picture"/>
                    <pic:cNvPicPr>
                      <a:picLocks noChangeArrowheads="1" noChangeAspect="1"/>
                    </pic:cNvPicPr>
                  </pic:nvPicPr>
                  <pic:blipFill>
                    <a:blip r:embed="rId85"/>
                    <a:stretch>
                      <a:fillRect/>
                    </a:stretch>
                  </pic:blipFill>
                  <pic:spPr bwMode="auto">
                    <a:xfrm>
                      <a:off x="0" y="0"/>
                      <a:ext cx="5591819" cy="2500276"/>
                    </a:xfrm>
                    <a:prstGeom prst="rect">
                      <a:avLst/>
                    </a:prstGeom>
                    <a:noFill/>
                    <a:ln w="9525">
                      <a:noFill/>
                      <a:headEnd/>
                      <a:tailEnd/>
                    </a:ln>
                  </pic:spPr>
                </pic:pic>
              </a:graphicData>
            </a:graphic>
          </wp:inline>
        </w:drawing>
      </w:r>
    </w:p>
    <w:p>
      <w:pPr>
        <w:pStyle w:val="ImageCaption"/>
      </w:pPr>
      <w:r>
        <w:t xml:space="preserve">Figure 6.</w:t>
      </w:r>
      <w:r>
        <w:t xml:space="preserve"> </w:t>
      </w:r>
      <w:r>
        <w:rPr>
          <w:b/>
          <w:bCs/>
        </w:rPr>
        <w:t xml:space="preserve">A zone coefficient can remain at its prior while prediction stays near the noise</w:t>
      </w:r>
      <w:r>
        <w:rPr>
          <w:b/>
          <w:bCs/>
        </w:rPr>
        <w:t xml:space="preserve"> </w:t>
      </w:r>
      <w:r>
        <w:rPr>
          <w:b/>
          <w:bCs/>
        </w:rPr>
        <w:t xml:space="preserve">scale.</w:t>
      </w:r>
      <w:r>
        <w:t xml:space="preserve"> </w:t>
      </w:r>
      <w:r>
        <w:t xml:space="preserve">For each withheld zone: the median inferred coefficient over 30 realisations, with a</w:t>
      </w:r>
      <w:r>
        <w:t xml:space="preserve"> </w:t>
      </w:r>
      <w:r>
        <w:t xml:space="preserve">90% width from the median within-realisation posterior standard deviation, against prior</w:t>
      </w:r>
      <w:r>
        <w:t xml:space="preserve"> </w:t>
      </w:r>
      <w:r>
        <w:t xml:space="preserve">support, prior midpoint and truth; the label gives that standard deviation as a fraction of the</w:t>
      </w:r>
      <w:r>
        <w:t xml:space="preserve"> </w:t>
      </w:r>
      <w:r>
        <w:t xml:space="preserve">prior. Right: held-out RMSE at the dropped monitors against the noise</w:t>
      </w:r>
      <w:r>
        <w:t xml:space="preserve"> </w:t>
      </w:r>
      <w:r>
        <w:t xml:space="preserve">level.</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Design</w:t>
            </w:r>
          </w:p>
        </w:tc>
        <w:tc>
          <w:tcPr/>
          <w:p>
            <w:pPr>
              <w:pStyle w:val="Compact"/>
            </w:pPr>
            <w:r>
              <w:t xml:space="preserve">Withheld</w:t>
            </w:r>
          </w:p>
        </w:tc>
        <w:tc>
          <w:tcPr/>
          <w:p>
            <w:pPr>
              <w:pStyle w:val="Compact"/>
              <w:jc w:val="right"/>
            </w:pPr>
            <w:r>
              <w:t xml:space="preserve">Own-coefficient error</w:t>
            </w:r>
          </w:p>
        </w:tc>
        <w:tc>
          <w:tcPr/>
          <w:p>
            <w:pPr>
              <w:pStyle w:val="Compact"/>
              <w:jc w:val="right"/>
            </w:pPr>
            <w:r>
              <w:t xml:space="preserve">Own SD retained</w:t>
            </w:r>
          </w:p>
        </w:tc>
        <w:tc>
          <w:tcPr/>
          <w:p>
            <w:pPr>
              <w:pStyle w:val="Compact"/>
              <w:jc w:val="right"/>
            </w:pPr>
            <w:r>
              <w:t xml:space="preserve">Held-out RMSE</w:t>
            </w:r>
          </w:p>
        </w:tc>
        <w:tc>
          <w:tcPr/>
          <w:p>
            <w:pPr>
              <w:pStyle w:val="Compact"/>
              <w:jc w:val="right"/>
            </w:pPr>
            <w:r>
              <w:t xml:space="preserve">Coverage</w:t>
            </w:r>
          </w:p>
        </w:tc>
      </w:tr>
      <w:tr>
        <w:tc>
          <w:tcPr/>
          <w:p>
            <w:pPr>
              <w:pStyle w:val="Compact"/>
            </w:pPr>
            <w:r>
              <w:t xml:space="preserve">leave-one-monitor-out</w:t>
            </w:r>
          </w:p>
        </w:tc>
        <w:tc>
          <w:tcPr/>
          <w:p>
            <w:pPr>
              <w:pStyle w:val="Compact"/>
            </w:pPr>
            <w:r>
              <w:t xml:space="preserve">node 107 (new)</w:t>
            </w:r>
          </w:p>
        </w:tc>
        <w:tc>
          <w:tcPr/>
          <w:p>
            <w:pPr>
              <w:pStyle w:val="Compact"/>
              <w:jc w:val="right"/>
            </w:pPr>
            <w:r>
              <w:t xml:space="preserve">-</w:t>
            </w:r>
          </w:p>
        </w:tc>
        <w:tc>
          <w:tcPr/>
          <w:p>
            <w:pPr>
              <w:pStyle w:val="Compact"/>
              <w:jc w:val="right"/>
            </w:pPr>
            <w:r>
              <w:t xml:space="preserve">-</w:t>
            </w:r>
          </w:p>
        </w:tc>
        <w:tc>
          <w:tcPr/>
          <w:p>
            <w:pPr>
              <w:pStyle w:val="Compact"/>
              <w:jc w:val="right"/>
            </w:pPr>
            <w:r>
              <w:t xml:space="preserve">0.0978</w:t>
            </w:r>
          </w:p>
        </w:tc>
        <w:tc>
          <w:tcPr/>
          <w:p>
            <w:pPr>
              <w:pStyle w:val="Compact"/>
              <w:jc w:val="right"/>
            </w:pPr>
            <w:r>
              <w:t xml:space="preserve">0.92</w:t>
            </w:r>
          </w:p>
        </w:tc>
      </w:tr>
      <w:tr>
        <w:tc>
          <w:tcPr/>
          <w:p>
            <w:pPr>
              <w:pStyle w:val="Compact"/>
            </w:pPr>
            <w:r>
              <w:t xml:space="preserve">leave-one-monitor-out</w:t>
            </w:r>
          </w:p>
        </w:tc>
        <w:tc>
          <w:tcPr/>
          <w:p>
            <w:pPr>
              <w:pStyle w:val="Compact"/>
            </w:pPr>
            <w:r>
              <w:t xml:space="preserve">node 113 (new)</w:t>
            </w:r>
          </w:p>
        </w:tc>
        <w:tc>
          <w:tcPr/>
          <w:p>
            <w:pPr>
              <w:pStyle w:val="Compact"/>
              <w:jc w:val="right"/>
            </w:pPr>
            <w:r>
              <w:t xml:space="preserve">-</w:t>
            </w:r>
          </w:p>
        </w:tc>
        <w:tc>
          <w:tcPr/>
          <w:p>
            <w:pPr>
              <w:pStyle w:val="Compact"/>
              <w:jc w:val="right"/>
            </w:pPr>
            <w:r>
              <w:t xml:space="preserve">-</w:t>
            </w:r>
          </w:p>
        </w:tc>
        <w:tc>
          <w:tcPr/>
          <w:p>
            <w:pPr>
              <w:pStyle w:val="Compact"/>
              <w:jc w:val="right"/>
            </w:pPr>
            <w:r>
              <w:t xml:space="preserve">0.1026</w:t>
            </w:r>
          </w:p>
        </w:tc>
        <w:tc>
          <w:tcPr/>
          <w:p>
            <w:pPr>
              <w:pStyle w:val="Compact"/>
              <w:jc w:val="right"/>
            </w:pPr>
            <w:r>
              <w:t xml:space="preserve">0.90</w:t>
            </w:r>
          </w:p>
        </w:tc>
      </w:tr>
      <w:tr>
        <w:tc>
          <w:tcPr/>
          <w:p>
            <w:pPr>
              <w:pStyle w:val="Compact"/>
            </w:pPr>
            <w:r>
              <w:t xml:space="preserve">leave-one-monitor-out</w:t>
            </w:r>
          </w:p>
        </w:tc>
        <w:tc>
          <w:tcPr/>
          <w:p>
            <w:pPr>
              <w:pStyle w:val="Compact"/>
            </w:pPr>
            <w:r>
              <w:t xml:space="preserve">node 15 (old)</w:t>
            </w:r>
          </w:p>
        </w:tc>
        <w:tc>
          <w:tcPr/>
          <w:p>
            <w:pPr>
              <w:pStyle w:val="Compact"/>
              <w:jc w:val="right"/>
            </w:pPr>
            <w:r>
              <w:t xml:space="preserve">-</w:t>
            </w:r>
          </w:p>
        </w:tc>
        <w:tc>
          <w:tcPr/>
          <w:p>
            <w:pPr>
              <w:pStyle w:val="Compact"/>
              <w:jc w:val="right"/>
            </w:pPr>
            <w:r>
              <w:t xml:space="preserve">-</w:t>
            </w:r>
          </w:p>
        </w:tc>
        <w:tc>
          <w:tcPr/>
          <w:p>
            <w:pPr>
              <w:pStyle w:val="Compact"/>
              <w:jc w:val="right"/>
            </w:pPr>
            <w:r>
              <w:t xml:space="preserve">0.0938</w:t>
            </w:r>
          </w:p>
        </w:tc>
        <w:tc>
          <w:tcPr/>
          <w:p>
            <w:pPr>
              <w:pStyle w:val="Compact"/>
              <w:jc w:val="right"/>
            </w:pPr>
            <w:r>
              <w:t xml:space="preserve">0.94</w:t>
            </w:r>
          </w:p>
        </w:tc>
      </w:tr>
      <w:tr>
        <w:tc>
          <w:tcPr/>
          <w:p>
            <w:pPr>
              <w:pStyle w:val="Compact"/>
            </w:pPr>
            <w:r>
              <w:t xml:space="preserve">leave-one-monitor-out</w:t>
            </w:r>
          </w:p>
        </w:tc>
        <w:tc>
          <w:tcPr/>
          <w:p>
            <w:pPr>
              <w:pStyle w:val="Compact"/>
            </w:pPr>
            <w:r>
              <w:t xml:space="preserve">node 145 (old)</w:t>
            </w:r>
          </w:p>
        </w:tc>
        <w:tc>
          <w:tcPr/>
          <w:p>
            <w:pPr>
              <w:pStyle w:val="Compact"/>
              <w:jc w:val="right"/>
            </w:pPr>
            <w:r>
              <w:t xml:space="preserve">-</w:t>
            </w:r>
          </w:p>
        </w:tc>
        <w:tc>
          <w:tcPr/>
          <w:p>
            <w:pPr>
              <w:pStyle w:val="Compact"/>
              <w:jc w:val="right"/>
            </w:pPr>
            <w:r>
              <w:t xml:space="preserve">-</w:t>
            </w:r>
          </w:p>
        </w:tc>
        <w:tc>
          <w:tcPr/>
          <w:p>
            <w:pPr>
              <w:pStyle w:val="Compact"/>
              <w:jc w:val="right"/>
            </w:pPr>
            <w:r>
              <w:t xml:space="preserve">0.0922</w:t>
            </w:r>
          </w:p>
        </w:tc>
        <w:tc>
          <w:tcPr/>
          <w:p>
            <w:pPr>
              <w:pStyle w:val="Compact"/>
              <w:jc w:val="right"/>
            </w:pPr>
            <w:r>
              <w:t xml:space="preserve">0.94</w:t>
            </w:r>
          </w:p>
        </w:tc>
      </w:tr>
      <w:tr>
        <w:tc>
          <w:tcPr/>
          <w:p>
            <w:pPr>
              <w:pStyle w:val="Compact"/>
            </w:pPr>
            <w:r>
              <w:t xml:space="preserve">leave-one-monitor-out</w:t>
            </w:r>
          </w:p>
        </w:tc>
        <w:tc>
          <w:tcPr/>
          <w:p>
            <w:pPr>
              <w:pStyle w:val="Compact"/>
            </w:pPr>
            <w:r>
              <w:t xml:space="preserve">node 209 (average)</w:t>
            </w:r>
          </w:p>
        </w:tc>
        <w:tc>
          <w:tcPr/>
          <w:p>
            <w:pPr>
              <w:pStyle w:val="Compact"/>
              <w:jc w:val="right"/>
            </w:pPr>
            <w:r>
              <w:t xml:space="preserve">-</w:t>
            </w:r>
          </w:p>
        </w:tc>
        <w:tc>
          <w:tcPr/>
          <w:p>
            <w:pPr>
              <w:pStyle w:val="Compact"/>
              <w:jc w:val="right"/>
            </w:pPr>
            <w:r>
              <w:t xml:space="preserve">-</w:t>
            </w:r>
          </w:p>
        </w:tc>
        <w:tc>
          <w:tcPr/>
          <w:p>
            <w:pPr>
              <w:pStyle w:val="Compact"/>
              <w:jc w:val="right"/>
            </w:pPr>
            <w:r>
              <w:t xml:space="preserve">0.0987</w:t>
            </w:r>
          </w:p>
        </w:tc>
        <w:tc>
          <w:tcPr/>
          <w:p>
            <w:pPr>
              <w:pStyle w:val="Compact"/>
              <w:jc w:val="right"/>
            </w:pPr>
            <w:r>
              <w:t xml:space="preserve">0.91</w:t>
            </w:r>
          </w:p>
        </w:tc>
      </w:tr>
      <w:tr>
        <w:tc>
          <w:tcPr/>
          <w:p>
            <w:pPr>
              <w:pStyle w:val="Compact"/>
            </w:pPr>
            <w:r>
              <w:t xml:space="preserve">leave-one-monitor-out</w:t>
            </w:r>
          </w:p>
        </w:tc>
        <w:tc>
          <w:tcPr/>
          <w:p>
            <w:pPr>
              <w:pStyle w:val="Compact"/>
            </w:pPr>
            <w:r>
              <w:t xml:space="preserve">node 231 (average)</w:t>
            </w:r>
          </w:p>
        </w:tc>
        <w:tc>
          <w:tcPr/>
          <w:p>
            <w:pPr>
              <w:pStyle w:val="Compact"/>
              <w:jc w:val="right"/>
            </w:pPr>
            <w:r>
              <w:t xml:space="preserve">-</w:t>
            </w:r>
          </w:p>
        </w:tc>
        <w:tc>
          <w:tcPr/>
          <w:p>
            <w:pPr>
              <w:pStyle w:val="Compact"/>
              <w:jc w:val="right"/>
            </w:pPr>
            <w:r>
              <w:t xml:space="preserve">-</w:t>
            </w:r>
          </w:p>
        </w:tc>
        <w:tc>
          <w:tcPr/>
          <w:p>
            <w:pPr>
              <w:pStyle w:val="Compact"/>
              <w:jc w:val="right"/>
            </w:pPr>
            <w:r>
              <w:t xml:space="preserve">0.0990</w:t>
            </w:r>
          </w:p>
        </w:tc>
        <w:tc>
          <w:tcPr/>
          <w:p>
            <w:pPr>
              <w:pStyle w:val="Compact"/>
              <w:jc w:val="right"/>
            </w:pPr>
            <w:r>
              <w:t xml:space="preserve">0.92</w:t>
            </w:r>
          </w:p>
        </w:tc>
      </w:tr>
      <w:tr>
        <w:tc>
          <w:tcPr/>
          <w:p>
            <w:pPr>
              <w:pStyle w:val="Compact"/>
            </w:pPr>
            <w:r>
              <w:t xml:space="preserve">leave-one-zone-out</w:t>
            </w:r>
          </w:p>
        </w:tc>
        <w:tc>
          <w:tcPr/>
          <w:p>
            <w:pPr>
              <w:pStyle w:val="Compact"/>
            </w:pPr>
            <w:r>
              <w:t xml:space="preserve">old zone (15, 145)</w:t>
            </w:r>
          </w:p>
        </w:tc>
        <w:tc>
          <w:tcPr/>
          <w:p>
            <w:pPr>
              <w:pStyle w:val="Compact"/>
              <w:jc w:val="right"/>
            </w:pPr>
            <w:r>
              <w:t xml:space="preserve">+0.1492</w:t>
            </w:r>
          </w:p>
        </w:tc>
        <w:tc>
          <w:tcPr/>
          <w:p>
            <w:pPr>
              <w:pStyle w:val="Compact"/>
              <w:jc w:val="right"/>
            </w:pPr>
            <w:r>
              <w:t xml:space="preserve">100%</w:t>
            </w:r>
          </w:p>
        </w:tc>
        <w:tc>
          <w:tcPr/>
          <w:p>
            <w:pPr>
              <w:pStyle w:val="Compact"/>
              <w:jc w:val="right"/>
            </w:pPr>
            <w:r>
              <w:t xml:space="preserve">0.0999</w:t>
            </w:r>
          </w:p>
        </w:tc>
        <w:tc>
          <w:tcPr/>
          <w:p>
            <w:pPr>
              <w:pStyle w:val="Compact"/>
              <w:jc w:val="right"/>
            </w:pPr>
            <w:r>
              <w:t xml:space="preserve">0.96</w:t>
            </w:r>
          </w:p>
        </w:tc>
      </w:tr>
      <w:tr>
        <w:tc>
          <w:tcPr/>
          <w:p>
            <w:pPr>
              <w:pStyle w:val="Compact"/>
            </w:pPr>
            <w:r>
              <w:t xml:space="preserve">leave-one-zone-out</w:t>
            </w:r>
          </w:p>
        </w:tc>
        <w:tc>
          <w:tcPr/>
          <w:p>
            <w:pPr>
              <w:pStyle w:val="Compact"/>
            </w:pPr>
            <w:r>
              <w:t xml:space="preserve">average zone (209, 231)</w:t>
            </w:r>
          </w:p>
        </w:tc>
        <w:tc>
          <w:tcPr/>
          <w:p>
            <w:pPr>
              <w:pStyle w:val="Compact"/>
              <w:jc w:val="right"/>
            </w:pPr>
            <w:r>
              <w:t xml:space="preserve">-0.0200</w:t>
            </w:r>
          </w:p>
        </w:tc>
        <w:tc>
          <w:tcPr/>
          <w:p>
            <w:pPr>
              <w:pStyle w:val="Compact"/>
              <w:jc w:val="right"/>
            </w:pPr>
            <w:r>
              <w:t xml:space="preserve">100%</w:t>
            </w:r>
          </w:p>
        </w:tc>
        <w:tc>
          <w:tcPr/>
          <w:p>
            <w:pPr>
              <w:pStyle w:val="Compact"/>
              <w:jc w:val="right"/>
            </w:pPr>
            <w:r>
              <w:t xml:space="preserve">0.0988</w:t>
            </w:r>
          </w:p>
        </w:tc>
        <w:tc>
          <w:tcPr/>
          <w:p>
            <w:pPr>
              <w:pStyle w:val="Compact"/>
              <w:jc w:val="right"/>
            </w:pPr>
            <w:r>
              <w:t xml:space="preserve">0.92</w:t>
            </w:r>
          </w:p>
        </w:tc>
      </w:tr>
      <w:tr>
        <w:tc>
          <w:tcPr/>
          <w:p>
            <w:pPr>
              <w:pStyle w:val="Compact"/>
            </w:pPr>
            <w:r>
              <w:t xml:space="preserve">leave-one-zone-out</w:t>
            </w:r>
          </w:p>
        </w:tc>
        <w:tc>
          <w:tcPr/>
          <w:p>
            <w:pPr>
              <w:pStyle w:val="Compact"/>
            </w:pPr>
            <w:r>
              <w:t xml:space="preserve">new zone (107, 113)</w:t>
            </w:r>
          </w:p>
        </w:tc>
        <w:tc>
          <w:tcPr/>
          <w:p>
            <w:pPr>
              <w:pStyle w:val="Compact"/>
              <w:jc w:val="right"/>
            </w:pPr>
            <w:r>
              <w:t xml:space="preserve">+0.0007</w:t>
            </w:r>
          </w:p>
        </w:tc>
        <w:tc>
          <w:tcPr/>
          <w:p>
            <w:pPr>
              <w:pStyle w:val="Compact"/>
              <w:jc w:val="right"/>
            </w:pPr>
            <w:r>
              <w:t xml:space="preserve">57%</w:t>
            </w:r>
          </w:p>
        </w:tc>
        <w:tc>
          <w:tcPr/>
          <w:p>
            <w:pPr>
              <w:pStyle w:val="Compact"/>
              <w:jc w:val="right"/>
            </w:pPr>
            <w:r>
              <w:t xml:space="preserve">0.1006</w:t>
            </w:r>
          </w:p>
        </w:tc>
        <w:tc>
          <w:tcPr/>
          <w:p>
            <w:pPr>
              <w:pStyle w:val="Compact"/>
              <w:jc w:val="right"/>
            </w:pPr>
            <w:r>
              <w:t xml:space="preserve">0.90</w:t>
            </w:r>
          </w:p>
        </w:tc>
      </w:tr>
    </w:tbl>
    <w:p>
      <w:pPr>
        <w:pStyle w:val="BodyText"/>
      </w:pPr>
      <w:r>
        <w:t xml:space="preserve">Table 5.</w:t>
      </w:r>
      <w:r>
        <w:t xml:space="preserve"> </w:t>
      </w:r>
      <w:r>
        <w:rPr>
          <w:b/>
          <w:bCs/>
        </w:rPr>
        <w:t xml:space="preserve">Held-out validation under the primary likelihood.</w:t>
      </w:r>
      <w:r>
        <w:t xml:space="preserve"> </w:t>
      </w:r>
      <w:r>
        <w:t xml:space="preserve">Leave-one-monitor-out rows withhold a</w:t>
      </w:r>
      <w:r>
        <w:t xml:space="preserve"> </w:t>
      </w:r>
      <w:r>
        <w:t xml:space="preserve">single sensor; leave-one-zone-out rows withhold both sensors of a zone. Own-coefficient error is</w:t>
      </w:r>
      <w:r>
        <w:t xml:space="preserve"> </w:t>
      </w:r>
      <w:r>
        <w:t xml:space="preserve">measured against the true zone value, and own SD retained is that coefficient’s posterior standard</w:t>
      </w:r>
      <w:r>
        <w:t xml:space="preserve"> </w:t>
      </w:r>
      <w:r>
        <w:t xml:space="preserve">deviation as a percentage of its prior standard deviation.</w:t>
      </w:r>
    </w:p>
    <w:bookmarkEnd w:id="88"/>
    <w:bookmarkEnd w:id="89"/>
    <w:bookmarkStart w:id="96" w:name="X18a78fb24137a841c027c2d5aa826b00ca777e2"/>
    <w:p>
      <w:pPr>
        <w:pStyle w:val="Heading2"/>
      </w:pPr>
      <w:r>
        <w:t xml:space="preserve">3.6 Propagation to operational low-chlorine risk</w:t>
      </w:r>
    </w:p>
    <w:bookmarkStart w:id="90" w:name="Xc055e23747760d795e741d8a0b84e2d3ce1b6f3"/>
    <w:p>
      <w:pPr>
        <w:pStyle w:val="Heading3"/>
      </w:pPr>
      <w:r>
        <w:t xml:space="preserve">3.6.1 Duration, depth and hydraulic interpretation</w:t>
      </w:r>
    </w:p>
    <w:p>
      <w:pPr>
        <w:pStyle w:val="FirstParagraph"/>
      </w:pPr>
      <w:r>
        <w:t xml:space="preserve">Calibration uncertainty matters operationally when it changes estimated risk or the</w:t>
      </w:r>
      <w:r>
        <w:t xml:space="preserve"> </w:t>
      </w:r>
      <w:r>
        <w:t xml:space="preserve">prioritisation of locations for action, so the ensemble was propagated to the network and</w:t>
      </w:r>
      <w:r>
        <w:t xml:space="preserve"> </w:t>
      </w:r>
      <w:r>
        <w:t xml:space="preserve">summarised with several metrics rather than one. Node 145 spends 12.0 h below 0.2 mg L</w:t>
      </w:r>
      <w:r>
        <w:rPr>
          <w:vertAlign w:val="superscript"/>
        </w:rPr>
        <w:t xml:space="preserve">-1</w:t>
      </w:r>
      <w:r>
        <w:t xml:space="preserve">,</w:t>
      </w:r>
      <w:r>
        <w:t xml:space="preserve"> </w:t>
      </w:r>
      <w:r>
        <w:t xml:space="preserve">accumulates a deficit of 1.68 mg L</w:t>
      </w:r>
      <w:r>
        <w:rPr>
          <w:vertAlign w:val="superscript"/>
        </w:rPr>
        <w:t xml:space="preserve">-1</w:t>
      </w:r>
      <w:r>
        <w:t xml:space="preserve"> </w:t>
      </w:r>
      <w:r>
        <w:t xml:space="preserve">h and has a median window minimum of 0.031 mg L</w:t>
      </w:r>
      <w:r>
        <w:rPr>
          <w:vertAlign w:val="superscript"/>
        </w:rPr>
        <w:t xml:space="preserve">-1</w:t>
      </w:r>
      <w:r>
        <w:t xml:space="preserve">; node</w:t>
      </w:r>
      <w:r>
        <w:t xml:space="preserve"> </w:t>
      </w:r>
      <w:r>
        <w:t xml:space="preserve">129 spends twice as long below the threshold yet accumulates only 0.84 mg L</w:t>
      </w:r>
      <w:r>
        <w:rPr>
          <w:vertAlign w:val="superscript"/>
        </w:rPr>
        <w:t xml:space="preserve">-1</w:t>
      </w:r>
      <w:r>
        <w:t xml:space="preserve"> </w:t>
      </w:r>
      <w:r>
        <w:t xml:space="preserve">h, with a median</w:t>
      </w:r>
      <w:r>
        <w:t xml:space="preserve"> </w:t>
      </w:r>
      <w:r>
        <w:t xml:space="preserve">minimum of 0.147. Duration measures persistence, deficit combines persistence with depth, and</w:t>
      </w:r>
      <w:r>
        <w:t xml:space="preserve"> </w:t>
      </w:r>
      <w:r>
        <w:t xml:space="preserve">the two therefore rank the network differently; a window-breach probability distinguishes</w:t>
      </w:r>
      <w:r>
        <w:t xml:space="preserve"> </w:t>
      </w:r>
      <w:r>
        <w:t xml:space="preserve">neither, collapsing both to whether the threshold is crossed at all.</w:t>
      </w:r>
    </w:p>
    <w:p>
      <w:pPr>
        <w:pStyle w:val="BodyText"/>
      </w:pPr>
      <w:r>
        <w:t xml:space="preserve">The population matters as much as the metric. Averaged over all 92 junctions the expected</w:t>
      </w:r>
      <w:r>
        <w:t xml:space="preserve"> </w:t>
      </w:r>
      <w:r>
        <w:t xml:space="preserve">duration is 3.43 h; over the 59 that serve demand, 4.46 h; weighted by average expected demand,</w:t>
      </w:r>
      <w:r>
        <w:t xml:space="preserve"> </w:t>
      </w:r>
      <w:r>
        <w:t xml:space="preserve">1.23 h. The demand-weighted figure is lowest because low-chlorine conditions concentrate at</w:t>
      </w:r>
      <w:r>
        <w:t xml:space="preserve"> </w:t>
      </w:r>
      <w:r>
        <w:t xml:space="preserve">small-demand junctions at network extremities, so reporting it alone would downweight exactly</w:t>
      </w:r>
      <w:r>
        <w:t xml:space="preserve"> </w:t>
      </w:r>
      <w:r>
        <w:t xml:space="preserve">those locations.</w:t>
      </w:r>
    </w:p>
    <w:p>
      <w:pPr>
        <w:pStyle w:val="BodyText"/>
      </w:pPr>
      <w:r>
        <w:t xml:space="preserve">Mean water age is associated with both metrics, with Spearman correlations of 0.73 against</w:t>
      </w:r>
      <w:r>
        <w:t xml:space="preserve"> </w:t>
      </w:r>
      <w:r>
        <w:t xml:space="preserve">duration and 0.72 against deficit; for the duration association a ten-block spatial bootstrap</w:t>
      </w:r>
      <w:r>
        <w:t xml:space="preserve"> </w:t>
      </w:r>
      <w:r>
        <w:t xml:space="preserve">gives a descriptive 95% width of [0.455, 0.897]. No p-value is quoted, because the junctions</w:t>
      </w:r>
      <w:r>
        <w:t xml:space="preserve"> </w:t>
      </w:r>
      <w:r>
        <w:t xml:space="preserve">share pipes, tanks and demand patterns and are not independent samples. Water age is a hydraulic</w:t>
      </w:r>
      <w:r>
        <w:t xml:space="preserve"> </w:t>
      </w:r>
      <w:r>
        <w:t xml:space="preserve">diagnostic from the same model rather than an independent measurement, and its absolute values</w:t>
      </w:r>
      <w:r>
        <w:t xml:space="preserve"> </w:t>
      </w:r>
      <w:r>
        <w:t xml:space="preserve">remain horizon-dependent (Section 3.1.2), so the association is descriptive only.</w:t>
      </w:r>
    </w:p>
    <w:bookmarkEnd w:id="90"/>
    <w:bookmarkStart w:id="91" w:name="X3a08c32d7c1101b1d19e1780508082b9c9c373b"/>
    <w:p>
      <w:pPr>
        <w:pStyle w:val="Heading3"/>
      </w:pPr>
      <w:r>
        <w:t xml:space="preserve">3.6.2 Network-scale stability does not guarantee shortlist stability</w:t>
      </w:r>
    </w:p>
    <w:p>
      <w:pPr>
        <w:pStyle w:val="FirstParagraph"/>
      </w:pPr>
      <w:r>
        <w:t xml:space="preserve">The parameter displacements of Section 3.3 are large, but they do not propagate proportionately</w:t>
      </w:r>
      <w:r>
        <w:t xml:space="preserve"> </w:t>
      </w:r>
      <w:r>
        <w:t xml:space="preserve">(Table 4). Under a 20% error in bulk decay the whole-network rank correlation stays between 0.93</w:t>
      </w:r>
      <w:r>
        <w:t xml:space="preserve"> </w:t>
      </w:r>
      <w:r>
        <w:t xml:space="preserve">and 0.98 on both risk metrics, and under any of the 24 sensor-bias arms it never falls below</w:t>
      </w:r>
      <w:r>
        <w:t xml:space="preserve"> </w:t>
      </w:r>
      <w:r>
        <w:t xml:space="preserve">0.9993. On that evidence the risk map looks robust.</w:t>
      </w:r>
    </w:p>
    <w:p>
      <w:pPr>
        <w:pStyle w:val="BodyText"/>
      </w:pPr>
      <w:r>
        <w:t xml:space="preserve">The six-node shortlist an operator would act on behaves differently, and differently again by</w:t>
      </w:r>
      <w:r>
        <w:t xml:space="preserve"> </w:t>
      </w:r>
      <w:r>
        <w:t xml:space="preserve">metric. Ranked by time-averaged below-threshold probability, a 20% bulk-decay error retains only</w:t>
      </w:r>
      <w:r>
        <w:t xml:space="preserve"> </w:t>
      </w:r>
      <w:r>
        <w:t xml:space="preserve">four of the six leading nodes in either direction. Ranked by cumulative deficit, the same</w:t>
      </w:r>
      <w:r>
        <w:t xml:space="preserve"> </w:t>
      </w:r>
      <w:r>
        <w:t xml:space="preserve">perturbation leaves the shortlist unchanged when bulk decay is underestimated and exchanges one</w:t>
      </w:r>
      <w:r>
        <w:t xml:space="preserve"> </w:t>
      </w:r>
      <w:r>
        <w:t xml:space="preserve">boundary node when it is overestimated. Sensor bias is similar: nine of the 24 arms alter the</w:t>
      </w:r>
      <w:r>
        <w:t xml:space="preserve"> </w:t>
      </w:r>
      <w:r>
        <w:t xml:space="preserve">duration-based shortlist, all positive offsets, whereas the deficit-based one is unchanged in 23</w:t>
      </w:r>
      <w:r>
        <w:t xml:space="preserve"> </w:t>
      </w:r>
      <w:r>
        <w:t xml:space="preserve">of 24. Changing the weighting rule rather than the physics has comparable effect, the two</w:t>
      </w:r>
      <w:r>
        <w:t xml:space="preserve"> </w:t>
      </w:r>
      <w:r>
        <w:t xml:space="preserve">ensembles sharing nine of ten leading nodes.</w:t>
      </w:r>
    </w:p>
    <w:p>
      <w:pPr>
        <w:pStyle w:val="BodyText"/>
      </w:pPr>
      <w:r>
        <w:t xml:space="preserve">Two claims must therefore be kept apart: a high whole-network rank correlation does not license</w:t>
      </w:r>
      <w:r>
        <w:t xml:space="preserve"> </w:t>
      </w:r>
      <w:r>
        <w:t xml:space="preserve">the statement that the hot-spot list is stable, and any claim that hot spots did or did not</w:t>
      </w:r>
      <w:r>
        <w:t xml:space="preserve"> </w:t>
      </w:r>
      <w:r>
        <w:t xml:space="preserve">change is meaningless without naming the metric behind it. Part of the duration ranking’s</w:t>
      </w:r>
      <w:r>
        <w:t xml:space="preserve"> </w:t>
      </w:r>
      <w:r>
        <w:t xml:space="preserve">volatility comes from near-ties at the shortlist boundary, where three nodes lie within 0.001 of</w:t>
      </w:r>
      <w:r>
        <w:t xml:space="preserve"> </w:t>
      </w:r>
      <w:r>
        <w:t xml:space="preserve">one another in expected breach fraction, but bulk-decay misspecification also produces deeper</w:t>
      </w:r>
      <w:r>
        <w:t xml:space="preserve"> </w:t>
      </w:r>
      <w:r>
        <w:t xml:space="preserve">reordering — one node moves from third to eighth and another from fourth to twentieth when bulk</w:t>
      </w:r>
      <w:r>
        <w:t xml:space="preserve"> </w:t>
      </w:r>
      <w:r>
        <w:t xml:space="preserve">decay is underestimated, and a node ranked twelfth rises to second when it is overestimated. The</w:t>
      </w:r>
      <w:r>
        <w:t xml:space="preserve"> </w:t>
      </w:r>
      <w:r>
        <w:t xml:space="preserve">deficit ranking retains a more clearly separated leading core.</w:t>
      </w:r>
    </w:p>
    <w:bookmarkEnd w:id="91"/>
    <w:bookmarkStart w:id="95" w:name="X79e5c6cb393dc55fde9a2ae77dfa24eab8355c3"/>
    <w:p>
      <w:pPr>
        <w:pStyle w:val="Heading3"/>
      </w:pPr>
      <w:r>
        <w:t xml:space="preserve">3.6.3 Temperature, ageing and dosing stress tests</w:t>
      </w:r>
    </w:p>
    <w:p>
      <w:pPr>
        <w:pStyle w:val="FirstParagraph"/>
      </w:pPr>
      <w:r>
        <w:t xml:space="preserve">Propagating the same ensemble through warmer conditions illustrates the machinery under</w:t>
      </w:r>
      <w:r>
        <w:t xml:space="preserve"> </w:t>
      </w:r>
      <w:r>
        <w:t xml:space="preserve">illustrative stress-test assumptions. Scenario A reproduces the 12 degree Celsius baseline but</w:t>
      </w:r>
      <w:r>
        <w:t xml:space="preserve"> </w:t>
      </w:r>
      <w:r>
        <w:t xml:space="preserve">includes the prescribed temperature uncertainty around that reference, shifting the network-mean</w:t>
      </w:r>
      <w:r>
        <w:t xml:space="preserve"> </w:t>
      </w:r>
      <w:r>
        <w:t xml:space="preserve">cumulative deficit from the fixed-temperature 0.218 mg L</w:t>
      </w:r>
      <w:r>
        <w:rPr>
          <w:vertAlign w:val="superscript"/>
        </w:rPr>
        <w:t xml:space="preserve">-1</w:t>
      </w:r>
      <w:r>
        <w:t xml:space="preserve"> </w:t>
      </w:r>
      <w:r>
        <w:t xml:space="preserve">h of Section 3.6.1 to 0.222 while</w:t>
      </w:r>
      <w:r>
        <w:t xml:space="preserve"> </w:t>
      </w:r>
      <w:r>
        <w:t xml:space="preserve">leaving the 21-junction breach count and 55.4 L s</w:t>
      </w:r>
      <w:r>
        <w:rPr>
          <w:vertAlign w:val="superscript"/>
        </w:rPr>
        <w:t xml:space="preserve">-1</w:t>
      </w:r>
      <w:r>
        <w:t xml:space="preserve"> </w:t>
      </w:r>
      <w:r>
        <w:t xml:space="preserve">of demand at risk unchanged.</w:t>
      </w:r>
    </w:p>
    <w:p>
      <w:pPr>
        <w:pStyle w:val="BodyText"/>
      </w:pPr>
      <w:r>
        <w:t xml:space="preserve">Raising the water temperature to 16 and then 20 degrees Celsius with Arrhenius scaling increases</w:t>
      </w:r>
      <w:r>
        <w:t xml:space="preserve"> </w:t>
      </w:r>
      <w:r>
        <w:t xml:space="preserve">the number of junctions more likely than not to breach from 21 to 28 and 29, the demand they</w:t>
      </w:r>
      <w:r>
        <w:t xml:space="preserve"> </w:t>
      </w:r>
      <w:r>
        <w:t xml:space="preserve">serve from 55.4 to 64.7 and 67.8 L s</w:t>
      </w:r>
      <w:r>
        <w:rPr>
          <w:vertAlign w:val="superscript"/>
        </w:rPr>
        <w:t xml:space="preserve">-1</w:t>
      </w:r>
      <w:r>
        <w:t xml:space="preserve">, and the network-mean cumulative deficit from 0.222 to</w:t>
      </w:r>
      <w:r>
        <w:t xml:space="preserve"> </w:t>
      </w:r>
      <w:r>
        <w:t xml:space="preserve">0.365 and 0.522 mg L</w:t>
      </w:r>
      <w:r>
        <w:rPr>
          <w:vertAlign w:val="superscript"/>
        </w:rPr>
        <w:t xml:space="preserve">-1</w:t>
      </w:r>
      <w:r>
        <w:t xml:space="preserve"> </w:t>
      </w:r>
      <w:r>
        <w:t xml:space="preserve">h. Adding illustrative zone-specific ageing multipliers at 20 degrees —</w:t>
      </w:r>
      <w:r>
        <w:t xml:space="preserve"> </w:t>
      </w:r>
      <w:r>
        <w:t xml:space="preserve">1.35 for the average zone and 1.85 for the old zone, with the new zone unchanged — raises these</w:t>
      </w:r>
      <w:r>
        <w:t xml:space="preserve"> </w:t>
      </w:r>
      <w:r>
        <w:t xml:space="preserve">to 31 junctions, 69.4 L s</w:t>
      </w:r>
      <w:r>
        <w:rPr>
          <w:vertAlign w:val="superscript"/>
        </w:rPr>
        <w:t xml:space="preserve">-1</w:t>
      </w:r>
      <w:r>
        <w:t xml:space="preserve"> </w:t>
      </w:r>
      <w:r>
        <w:t xml:space="preserve">and 0.579 mg L</w:t>
      </w:r>
      <w:r>
        <w:rPr>
          <w:vertAlign w:val="superscript"/>
        </w:rPr>
        <w:t xml:space="preserve">-1</w:t>
      </w:r>
      <w:r>
        <w:t xml:space="preserve"> </w:t>
      </w:r>
      <w:r>
        <w:t xml:space="preserve">h. The continuous severity measures respond</w:t>
      </w:r>
      <w:r>
        <w:t xml:space="preserve"> </w:t>
      </w:r>
      <w:r>
        <w:t xml:space="preserve">more smoothly than the binary count, which is threshold-sensitive by construction.</w:t>
      </w:r>
    </w:p>
    <w:p>
      <w:pPr>
        <w:pStyle w:val="BodyText"/>
      </w:pPr>
      <w:r>
        <w:t xml:space="preserve">Raising the source dose by 15% and 30% under the heatwave reduces the network-mean expected</w:t>
      </w:r>
      <w:r>
        <w:t xml:space="preserve"> </w:t>
      </w:r>
      <w:r>
        <w:t xml:space="preserve">duration from 5.22 to 4.63 and 4.29 h and the deficit from 0.522 to 0.453 and 0.396 mg L</w:t>
      </w:r>
      <w:r>
        <w:rPr>
          <w:vertAlign w:val="superscript"/>
        </w:rPr>
        <w:t xml:space="preserve">-1</w:t>
      </w:r>
      <w:r>
        <w:t xml:space="preserve"> </w:t>
      </w:r>
      <w:r>
        <w:t xml:space="preserve">h,</w:t>
      </w:r>
      <w:r>
        <w:t xml:space="preserve"> </w:t>
      </w:r>
      <w:r>
        <w:t xml:space="preserve">but demand at risk falls only to 64.7 L s</w:t>
      </w:r>
      <w:r>
        <w:rPr>
          <w:vertAlign w:val="superscript"/>
        </w:rPr>
        <w:t xml:space="preserve">-1</w:t>
      </w:r>
      <w:r>
        <w:t xml:space="preserve"> </w:t>
      </w:r>
      <w:r>
        <w:t xml:space="preserve">at both doses and never returns to the baseline</w:t>
      </w:r>
      <w:r>
        <w:t xml:space="preserve"> </w:t>
      </w:r>
      <w:r>
        <w:t xml:space="preserve">55.4. Dosing improves the continuous severity metrics without restoring the baseline</w:t>
      </w:r>
      <w:r>
        <w:t xml:space="preserve"> </w:t>
      </w:r>
      <w:r>
        <w:t xml:space="preserve">demand-at-risk level; the identical figure at both doses is a plateau of the binary</w:t>
      </w:r>
      <w:r>
        <w:t xml:space="preserve"> </w:t>
      </w:r>
      <w:r>
        <w:t xml:space="preserve">classification, not evidence that the extra 15% achieved nothing. These are stress tests, not</w:t>
      </w:r>
      <w:r>
        <w:t xml:space="preserve"> </w:t>
      </w:r>
      <w:r>
        <w:t xml:space="preserve">forecasts: the ageing multipliers are illustrative, no by-product, taste or booster constraint</w:t>
      </w:r>
      <w:r>
        <w:t xml:space="preserve"> </w:t>
      </w:r>
      <w:r>
        <w:t xml:space="preserve">is represented, and absolute severities inherit the horizon dependence of Section 3.1.2. Maps</w:t>
      </w:r>
      <w:r>
        <w:t xml:space="preserve"> </w:t>
      </w:r>
      <w:r>
        <w:t xml:space="preserve">and the full register are in Appendix H.</w:t>
      </w:r>
    </w:p>
    <w:p>
      <w:pPr>
        <w:pStyle w:val="CaptionedFigure"/>
      </w:pPr>
      <w:r>
        <w:drawing>
          <wp:inline>
            <wp:extent cx="5720156" cy="2129016"/>
            <wp:effectExtent b="0" l="0" r="0" t="0"/>
            <wp:docPr descr="Figure 7. Risk robustness is metric-specific. (A) Rank of the leading nodes under the time-averaged below-threshold probability, \bar{P} = E[D]/48, against cumulative deficit, E[A]; (B) Top-six overlap with the reference ranking under each perturbation, both metrics, with the whole-network rank correlation above. (C) Expected duration against deficit for all 92 junctions, with representative deep-and-short and long-and-shallow nodes marked." title="" id="93" name="Picture"/>
            <a:graphic>
              <a:graphicData uri="http://schemas.openxmlformats.org/drawingml/2006/picture">
                <pic:pic>
                  <pic:nvPicPr>
                    <pic:cNvPr descr="figures/paper/fig7_metric_specific_risk.png" id="94" name="Picture"/>
                    <pic:cNvPicPr>
                      <a:picLocks noChangeArrowheads="1" noChangeAspect="1"/>
                    </pic:cNvPicPr>
                  </pic:nvPicPr>
                  <pic:blipFill>
                    <a:blip r:embed="rId92"/>
                    <a:stretch>
                      <a:fillRect/>
                    </a:stretch>
                  </pic:blipFill>
                  <pic:spPr bwMode="auto">
                    <a:xfrm>
                      <a:off x="0" y="0"/>
                      <a:ext cx="5720156" cy="2129016"/>
                    </a:xfrm>
                    <a:prstGeom prst="rect">
                      <a:avLst/>
                    </a:prstGeom>
                    <a:noFill/>
                    <a:ln w="9525">
                      <a:noFill/>
                      <a:headEnd/>
                      <a:tailEnd/>
                    </a:ln>
                  </pic:spPr>
                </pic:pic>
              </a:graphicData>
            </a:graphic>
          </wp:inline>
        </w:drawing>
      </w:r>
    </w:p>
    <w:p>
      <w:pPr>
        <w:pStyle w:val="ImageCaption"/>
      </w:pPr>
      <w:r>
        <w:t xml:space="preserve">Figure 7.</w:t>
      </w:r>
      <w:r>
        <w:t xml:space="preserve"> </w:t>
      </w:r>
      <w:r>
        <w:rPr>
          <w:b/>
          <w:bCs/>
        </w:rPr>
        <w:t xml:space="preserve">Risk robustness is metric-specific.</w:t>
      </w:r>
      <w:r>
        <w:t xml:space="preserve"> </w:t>
      </w:r>
      <w:r>
        <w:t xml:space="preserve">(A) Rank of the leading nodes under the</w:t>
      </w:r>
      <w:r>
        <w:t xml:space="preserve"> </w:t>
      </w:r>
      <w:r>
        <w:t xml:space="preserve">time-averaged below-threshold probability,</w:t>
      </w:r>
      <w:r>
        <w:t xml:space="preserve"> </w:t>
      </w:r>
      <m:oMath>
        <m:acc>
          <m:accPr>
            <m:chr m:val="‾"/>
          </m:accPr>
          <m:e>
            <m:r>
              <m:t>P</m:t>
            </m:r>
          </m:e>
        </m:acc>
        <m:r>
          <m:rPr>
            <m:sty m:val="p"/>
          </m:rPr>
          <m:t>=</m:t>
        </m:r>
        <m:r>
          <m:t>E</m:t>
        </m:r>
        <m:r>
          <m:rPr>
            <m:sty m:val="p"/>
          </m:rPr>
          <m:t>[</m:t>
        </m:r>
        <m:r>
          <m:t>D</m:t>
        </m:r>
        <m:r>
          <m:rPr>
            <m:sty m:val="p"/>
          </m:rPr>
          <m:t>]</m:t>
        </m:r>
        <m:r>
          <m:rPr>
            <m:sty m:val="p"/>
          </m:rPr>
          <m:t>/</m:t>
        </m:r>
        <m:r>
          <m:t>48</m:t>
        </m:r>
      </m:oMath>
      <w:r>
        <w:t xml:space="preserve">, against cumulative deficit,</w:t>
      </w:r>
      <w:r>
        <w:t xml:space="preserve"> </w:t>
      </w:r>
      <m:oMath>
        <m:r>
          <m:t>E</m:t>
        </m:r>
        <m:r>
          <m:rPr>
            <m:sty m:val="p"/>
          </m:rPr>
          <m:t>[</m:t>
        </m:r>
        <m:r>
          <m:t>A</m:t>
        </m:r>
        <m:r>
          <m:rPr>
            <m:sty m:val="p"/>
          </m:rPr>
          <m:t>]</m:t>
        </m:r>
      </m:oMath>
      <w:r>
        <w:t xml:space="preserve">;</w:t>
      </w:r>
      <w:r>
        <w:t xml:space="preserve"> </w:t>
      </w:r>
      <w:r>
        <w:t xml:space="preserve">(B) Top-six overlap with the reference ranking under each perturbation, both metrics, with the</w:t>
      </w:r>
      <w:r>
        <w:t xml:space="preserve"> </w:t>
      </w:r>
      <w:r>
        <w:t xml:space="preserve">whole-network rank correlation above. (C) Expected duration against deficit for all 92</w:t>
      </w:r>
      <w:r>
        <w:t xml:space="preserve"> </w:t>
      </w:r>
      <w:r>
        <w:t xml:space="preserve">junctions, with representative deep-and-short and long-and-shallow nodes</w:t>
      </w:r>
      <w:r>
        <w:t xml:space="preserve"> </w:t>
      </w:r>
      <w:r>
        <w:t xml:space="preserve">marked.</w:t>
      </w:r>
    </w:p>
    <w:bookmarkEnd w:id="95"/>
    <w:bookmarkEnd w:id="96"/>
    <w:bookmarkStart w:id="101" w:name="X7aae9a29c0c924fb0cf7cb400610c1dd13a5f2e"/>
    <w:p>
      <w:pPr>
        <w:pStyle w:val="Heading2"/>
      </w:pPr>
      <w:r>
        <w:t xml:space="preserve">3.7 Integrated implications, limitations and future work</w:t>
      </w:r>
    </w:p>
    <w:bookmarkStart w:id="97" w:name="Xc77ad706d56c4a70aa95b40c985d4b02f5b072a"/>
    <w:p>
      <w:pPr>
        <w:pStyle w:val="Heading3"/>
      </w:pPr>
      <w:r>
        <w:t xml:space="preserve">3.7.1 Parameter, prediction and decision robustness are distinct</w:t>
      </w:r>
    </w:p>
    <w:p>
      <w:pPr>
        <w:pStyle w:val="FirstParagraph"/>
      </w:pPr>
      <w:r>
        <w:t xml:space="preserve">Three findings sit at different levels and should not substitute for one another. At the level</w:t>
      </w:r>
      <w:r>
        <w:t xml:space="preserve"> </w:t>
      </w:r>
      <w:r>
        <w:t xml:space="preserve">of the parameters, six monitors do carry identifiable information about all three coefficients</w:t>
      </w:r>
      <w:r>
        <w:t xml:space="preserve"> </w:t>
      </w:r>
      <w:r>
        <w:t xml:space="preserve">under the controlled baseline; the contrary appearance in the original analysis arose from its</w:t>
      </w:r>
      <w:r>
        <w:t xml:space="preserve"> </w:t>
      </w:r>
      <w:r>
        <w:t xml:space="preserve">specific informal weighting rather than from an absence of information in the monitored series.</w:t>
      </w:r>
    </w:p>
    <w:p>
      <w:pPr>
        <w:pStyle w:val="BodyText"/>
      </w:pPr>
      <w:r>
        <w:t xml:space="preserve">At the level of robustness the error sources act in three ways, and a single verdict would</w:t>
      </w:r>
      <w:r>
        <w:t xml:space="preserve"> </w:t>
      </w:r>
      <w:r>
        <w:t xml:space="preserve">mislead. Larger random error and an assumed AR(1) correlation mainly reduce precision.</w:t>
      </w:r>
      <w:r>
        <w:t xml:space="preserve"> </w:t>
      </w:r>
      <w:r>
        <w:t xml:space="preserve">Systematic sensor error and structured heterogeneity instead introduce potentially large bias</w:t>
      </w:r>
      <w:r>
        <w:t xml:space="preserve"> </w:t>
      </w:r>
      <w:r>
        <w:t xml:space="preserve">while leaving the fit apparently precise. Bulk-decay uncertainty does both, disproportionately</w:t>
      </w:r>
      <w:r>
        <w:t xml:space="preserve"> </w:t>
      </w:r>
      <w:r>
        <w:t xml:space="preserve">for the average and new coefficients; once it and six monitor offsets are all unknown, the</w:t>
      </w:r>
      <w:r>
        <w:t xml:space="preserve"> </w:t>
      </w:r>
      <w:r>
        <w:t xml:space="preserve">Fisher analysis no longer supports practical identification of those two from this design.</w:t>
      </w:r>
    </w:p>
    <w:p>
      <w:pPr>
        <w:pStyle w:val="BodyText"/>
      </w:pPr>
      <w:r>
        <w:t xml:space="preserve">At the level of decisions, neither predictive accuracy nor the whole-network risk pattern tracks</w:t>
      </w:r>
      <w:r>
        <w:t xml:space="preserve"> </w:t>
      </w:r>
      <w:r>
        <w:t xml:space="preserve">parameter error reliably. Coefficients can become effectively prior-dominated while held-out</w:t>
      </w:r>
      <w:r>
        <w:t xml:space="preserve"> </w:t>
      </w:r>
      <w:r>
        <w:t xml:space="preserve">prediction errors stay close to the observation-noise scale, and displacements of several</w:t>
      </w:r>
      <w:r>
        <w:t xml:space="preserve"> </w:t>
      </w:r>
      <w:r>
        <w:t xml:space="preserve">posterior standard deviations often left the leading set ranked by cumulative deficit unchanged</w:t>
      </w:r>
      <w:r>
        <w:t xml:space="preserve"> </w:t>
      </w:r>
      <w:r>
        <w:t xml:space="preserve">while the ranking by time-averaged breach probability was considerably more sensitive.</w:t>
      </w:r>
    </w:p>
    <w:p>
      <w:pPr>
        <w:pStyle w:val="BodyText"/>
      </w:pPr>
      <w:r>
        <w:t xml:space="preserve">A study reporting only a fit statistic, a held-out prediction error or a rank correlation cannot</w:t>
      </w:r>
      <w:r>
        <w:t xml:space="preserve"> </w:t>
      </w:r>
      <w:r>
        <w:t xml:space="preserve">distinguish a calibration that has learned its parameters from one that has learned to predict</w:t>
      </w:r>
      <w:r>
        <w:t xml:space="preserve"> </w:t>
      </w:r>
      <w:r>
        <w:t xml:space="preserve">without them, or one whose broad ranking is stable while its shortlist is not.</w:t>
      </w:r>
    </w:p>
    <w:bookmarkEnd w:id="97"/>
    <w:bookmarkStart w:id="98" w:name="methodological-implications"/>
    <w:p>
      <w:pPr>
        <w:pStyle w:val="Heading3"/>
      </w:pPr>
      <w:r>
        <w:t xml:space="preserve">3.7.2 Methodological implications</w:t>
      </w:r>
    </w:p>
    <w:p>
      <w:pPr>
        <w:pStyle w:val="FirstParagraph"/>
      </w:pPr>
      <w:r>
        <w:t xml:space="preserve">Four safeguards proved necessary, each following from a result above rather than from general</w:t>
      </w:r>
      <w:r>
        <w:t xml:space="preserve"> </w:t>
      </w:r>
      <w:r>
        <w:t xml:space="preserve">good practice.</w:t>
      </w:r>
      <w:r>
        <w:t xml:space="preserve"> </w:t>
      </w:r>
      <w:r>
        <w:rPr>
          <w:i/>
          <w:iCs/>
        </w:rPr>
        <w:t xml:space="preserve">Paired controls</w:t>
      </w:r>
      <w:r>
        <w:t xml:space="preserve">: a structural increment is interpretable only against a</w:t>
      </w:r>
      <w:r>
        <w:t xml:space="preserve"> </w:t>
      </w:r>
      <w:r>
        <w:t xml:space="preserve">homogeneous run sharing the same noise, since part of any apparent shift is the inference rule’s</w:t>
      </w:r>
      <w:r>
        <w:t xml:space="preserve"> </w:t>
      </w:r>
      <w:r>
        <w:t xml:space="preserve">own offset.</w:t>
      </w:r>
      <w:r>
        <w:t xml:space="preserve"> </w:t>
      </w:r>
      <w:r>
        <w:rPr>
          <w:i/>
          <w:iCs/>
        </w:rPr>
        <w:t xml:space="preserve">Replication</w:t>
      </w:r>
      <w:r>
        <w:t xml:space="preserve">: the structural increment in one heterogeneity field reversed sign</w:t>
      </w:r>
      <w:r>
        <w:t xml:space="preserve"> </w:t>
      </w:r>
      <w:r>
        <w:t xml:space="preserve">relative to the 25-field mean, and an apparent overshoot past the length-weighted comparator in</w:t>
      </w:r>
      <w:r>
        <w:t xml:space="preserve"> </w:t>
      </w:r>
      <w:r>
        <w:t xml:space="preserve">one noise draw did not survive 30 realisations.</w:t>
      </w:r>
      <w:r>
        <w:t xml:space="preserve"> </w:t>
      </w:r>
      <w:r>
        <w:rPr>
          <w:i/>
          <w:iCs/>
        </w:rPr>
        <w:t xml:space="preserve">Triangulation</w:t>
      </w:r>
      <w:r>
        <w:t xml:space="preserve">: prior contraction, a displaced</w:t>
      </w:r>
      <w:r>
        <w:t xml:space="preserve"> </w:t>
      </w:r>
      <w:r>
        <w:t xml:space="preserve">prior, a curvature bound, a profile interval and a repeated-sampling experiment fail</w:t>
      </w:r>
      <w:r>
        <w:t xml:space="preserve"> </w:t>
      </w:r>
      <w:r>
        <w:t xml:space="preserve">differently, so their agreement is far stronger than any one alone.</w:t>
      </w:r>
      <w:r>
        <w:t xml:space="preserve"> </w:t>
      </w:r>
      <w:r>
        <w:rPr>
          <w:i/>
          <w:iCs/>
        </w:rPr>
        <w:t xml:space="preserve">Matching the metric to the</w:t>
      </w:r>
      <w:r>
        <w:rPr>
          <w:i/>
          <w:iCs/>
        </w:rPr>
        <w:t xml:space="preserve"> </w:t>
      </w:r>
      <w:r>
        <w:rPr>
          <w:i/>
          <w:iCs/>
        </w:rPr>
        <w:t xml:space="preserve">claim</w:t>
      </w:r>
      <w:r>
        <w:t xml:space="preserve">: predictive RMSE does not test identification, a rank correlation does not test shortlist</w:t>
      </w:r>
      <w:r>
        <w:t xml:space="preserve"> </w:t>
      </w:r>
      <w:r>
        <w:t xml:space="preserve">stability, and the low-chlorine metrics are not interchangeable.</w:t>
      </w:r>
    </w:p>
    <w:bookmarkEnd w:id="98"/>
    <w:bookmarkStart w:id="99" w:name="limitations"/>
    <w:p>
      <w:pPr>
        <w:pStyle w:val="Heading3"/>
      </w:pPr>
      <w:r>
        <w:t xml:space="preserve">3.7.3 Limitations</w:t>
      </w:r>
    </w:p>
    <w:p>
      <w:pPr>
        <w:pStyle w:val="FirstParagraph"/>
      </w:pPr>
      <w:r>
        <w:rPr>
          <w:i/>
          <w:iCs/>
        </w:rPr>
        <w:t xml:space="preserve">Synthetic and internally validated.</w:t>
      </w:r>
      <w:r>
        <w:t xml:space="preserve"> </w:t>
      </w:r>
      <w:r>
        <w:t xml:space="preserve">Truth and calibration share the same hydraulics, reaction</w:t>
      </w:r>
      <w:r>
        <w:t xml:space="preserve"> </w:t>
      </w:r>
      <w:r>
        <w:t xml:space="preserve">family and solver, and no field data are used. The priors were chosen to contain the synthetic</w:t>
      </w:r>
      <w:r>
        <w:t xml:space="preserve"> </w:t>
      </w:r>
      <w:r>
        <w:t xml:space="preserve">truths and lie reasonably close to them; this suits a controlled experiment but makes</w:t>
      </w:r>
      <w:r>
        <w:t xml:space="preserve"> </w:t>
      </w:r>
      <w:r>
        <w:t xml:space="preserve">prior-dominated predictions less damaging than under a poorly centred field prior, which bounds</w:t>
      </w:r>
      <w:r>
        <w:t xml:space="preserve"> </w:t>
      </w:r>
      <w:r>
        <w:t xml:space="preserve">the generality of the leave-one-zone-out result in particular.</w:t>
      </w:r>
    </w:p>
    <w:p>
      <w:pPr>
        <w:pStyle w:val="BodyText"/>
      </w:pPr>
      <w:r>
        <w:rPr>
          <w:i/>
          <w:iCs/>
        </w:rPr>
        <w:t xml:space="preserve">Idealised uncertainty representation.</w:t>
      </w:r>
      <w:r>
        <w:t xml:space="preserve"> </w:t>
      </w:r>
      <w:r>
        <w:t xml:space="preserve">The observation standard deviation is known, baseline</w:t>
      </w:r>
      <w:r>
        <w:t xml:space="preserve"> </w:t>
      </w:r>
      <w:r>
        <w:t xml:space="preserve">errors are independent, the autocorrelation coefficient is assumed rather than estimated, drift</w:t>
      </w:r>
      <w:r>
        <w:t xml:space="preserve"> </w:t>
      </w:r>
      <w:r>
        <w:t xml:space="preserve">is a linear ramp, sensor offsets are imposed one at a time, and bulk decay is varied as a fixed</w:t>
      </w:r>
      <w:r>
        <w:t xml:space="preserve"> </w:t>
      </w:r>
      <w:r>
        <w:t xml:space="preserve">sensitivity rather than inferred.</w:t>
      </w:r>
    </w:p>
    <w:p>
      <w:pPr>
        <w:pStyle w:val="BodyText"/>
      </w:pPr>
      <w:r>
        <w:rPr>
          <w:i/>
          <w:iCs/>
        </w:rPr>
        <w:t xml:space="preserve">Fixed structure and hydraulics.</w:t>
      </w:r>
      <w:r>
        <w:t xml:space="preserve"> </w:t>
      </w:r>
      <w:r>
        <w:t xml:space="preserve">The zones are synthetic, only one structured design was</w:t>
      </w:r>
      <w:r>
        <w:t xml:space="preserve"> </w:t>
      </w:r>
      <w:r>
        <w:t xml:space="preserve">tested, and the effective weighting the fit estimates was not identified. Hydraulic uncertainty</w:t>
      </w:r>
      <w:r>
        <w:t xml:space="preserve"> </w:t>
      </w:r>
      <w:r>
        <w:t xml:space="preserve">was not propagated at all — demands, roughness, controls and the flow field were treated as</w:t>
      </w:r>
      <w:r>
        <w:t xml:space="preserve"> </w:t>
      </w:r>
      <w:r>
        <w:t xml:space="preserve">known — so the identifiability reported here is likely optimistic relative to a field</w:t>
      </w:r>
      <w:r>
        <w:t xml:space="preserve"> </w:t>
      </w:r>
      <w:r>
        <w:t xml:space="preserve">application where hydraulic and reaction parameters are uncertain together.</w:t>
      </w:r>
    </w:p>
    <w:p>
      <w:pPr>
        <w:pStyle w:val="BodyText"/>
      </w:pPr>
      <w:r>
        <w:rPr>
          <w:i/>
          <w:iCs/>
        </w:rPr>
        <w:t xml:space="preserve">Bounded numerical and operational scope.</w:t>
      </w:r>
      <w:r>
        <w:t xml:space="preserve"> </w:t>
      </w:r>
      <w:r>
        <w:t xml:space="preserve">The 120 h warm-up satisfies the</w:t>
      </w:r>
      <w:r>
        <w:t xml:space="preserve"> </w:t>
      </w:r>
      <w:r>
        <w:t xml:space="preserve">chlorine-concentration criteria but not the water-age or cumulative-deficit criteria within the</w:t>
      </w:r>
      <w:r>
        <w:t xml:space="preserve"> </w:t>
      </w:r>
      <w:r>
        <w:t xml:space="preserve">168 h horizon, so absolute water-age and severity magnitudes remain horizon-dependent even</w:t>
      </w:r>
      <w:r>
        <w:t xml:space="preserve"> </w:t>
      </w:r>
      <w:r>
        <w:t xml:space="preserve">though the concentration field underlying the inference results is stable. The baseline weighted</w:t>
      </w:r>
      <w:r>
        <w:t xml:space="preserve"> </w:t>
      </w:r>
      <w:r>
        <w:t xml:space="preserve">ensemble has an effective sample size of about 157, and the sigma &lt;= 0.05 mg L</w:t>
      </w:r>
      <w:r>
        <w:rPr>
          <w:vertAlign w:val="superscript"/>
        </w:rPr>
        <w:t xml:space="preserve">-1</w:t>
      </w:r>
      <w:r>
        <w:t xml:space="preserve"> </w:t>
      </w:r>
      <w:r>
        <w:t xml:space="preserve">rows are</w:t>
      </w:r>
      <w:r>
        <w:t xml:space="preserve"> </w:t>
      </w:r>
      <w:r>
        <w:t xml:space="preserve">sampling-limited. Scenario inputs are illustrative, and 0.2 mg L</w:t>
      </w:r>
      <w:r>
        <w:rPr>
          <w:vertAlign w:val="superscript"/>
        </w:rPr>
        <w:t xml:space="preserve">-1</w:t>
      </w:r>
      <w:r>
        <w:t xml:space="preserve"> </w:t>
      </w:r>
      <w:r>
        <w:t xml:space="preserve">is a representative</w:t>
      </w:r>
      <w:r>
        <w:t xml:space="preserve"> </w:t>
      </w:r>
      <w:r>
        <w:t xml:space="preserve">operational threshold, not a compliance limit.</w:t>
      </w:r>
    </w:p>
    <w:bookmarkEnd w:id="99"/>
    <w:bookmarkStart w:id="100" w:name="future-work"/>
    <w:p>
      <w:pPr>
        <w:pStyle w:val="Heading3"/>
      </w:pPr>
      <w:r>
        <w:t xml:space="preserve">3.7.4 Future work</w:t>
      </w:r>
    </w:p>
    <w:p>
      <w:pPr>
        <w:pStyle w:val="FirstParagraph"/>
      </w:pPr>
      <w:r>
        <w:t xml:space="preserve">Each extension addresses a failure mode identified above. The inference model should absorb what</w:t>
      </w:r>
      <w:r>
        <w:t xml:space="preserve"> </w:t>
      </w:r>
      <w:r>
        <w:t xml:space="preserve">is currently fixed: bulk decay inferred jointly with the wall coefficients, monitor bias and</w:t>
      </w:r>
      <w:r>
        <w:t xml:space="preserve"> </w:t>
      </w:r>
      <w:r>
        <w:t xml:space="preserve">drift as hierarchical nuisance parameters, and an estimated rather than assumed error covariance</w:t>
      </w:r>
      <w:r>
        <w:t xml:space="preserve"> </w:t>
      </w:r>
      <w:r>
        <w:t xml:space="preserve">— costly in precision, but honest about it. A likelihood-adapted sampler would remove the</w:t>
      </w:r>
      <w:r>
        <w:t xml:space="preserve"> </w:t>
      </w:r>
      <w:r>
        <w:t xml:space="preserve">effective-sample-size collapse that made the low-noise cases uninformative. A</w:t>
      </w:r>
      <w:r>
        <w:t xml:space="preserve"> </w:t>
      </w:r>
      <w:r>
        <w:t xml:space="preserve">sensitivity-weighted effective coefficient would establish what a grouped fit estimates, and</w:t>
      </w:r>
      <w:r>
        <w:t xml:space="preserve"> </w:t>
      </w:r>
      <w:r>
        <w:t xml:space="preserve">siting monitors on the marginal Fisher information after nuisance adjustment, rather than on</w:t>
      </w:r>
      <w:r>
        <w:t xml:space="preserve"> </w:t>
      </w:r>
      <w:r>
        <w:t xml:space="preserve">spatial coverage, addresses the Case C result directly. External validity requires both</w:t>
      </w:r>
      <w:r>
        <w:t xml:space="preserve"> </w:t>
      </w:r>
      <w:r>
        <w:t xml:space="preserve">propagating hydraulic uncertainty and a real network with independent observations.</w:t>
      </w:r>
    </w:p>
    <w:bookmarkEnd w:id="100"/>
    <w:bookmarkEnd w:id="101"/>
    <w:bookmarkEnd w:id="102"/>
    <w:bookmarkStart w:id="103" w:name="conclusions"/>
    <w:p>
      <w:pPr>
        <w:pStyle w:val="Heading1"/>
      </w:pPr>
      <w:r>
        <w:t xml:space="preserve">4. Conclusions</w:t>
      </w:r>
    </w:p>
    <w:p>
      <w:pPr>
        <w:pStyle w:val="FirstParagraph"/>
      </w:pPr>
      <w:r>
        <w:t xml:space="preserve">Under the controlled baseline assumptions, six monitored chlorine series carry identifiable</w:t>
      </w:r>
      <w:r>
        <w:t xml:space="preserve"> </w:t>
      </w:r>
      <w:r>
        <w:t xml:space="preserve">information about all three grouped wall-decay coefficients. The formal censored likelihood</w:t>
      </w:r>
      <w:r>
        <w:t xml:space="preserve"> </w:t>
      </w:r>
      <w:r>
        <w:t xml:space="preserve">contracted each coefficient to roughly a quarter to a third of its prior standard deviation,</w:t>
      </w:r>
      <w:r>
        <w:t xml:space="preserve"> </w:t>
      </w:r>
      <w:r>
        <w:t xml:space="preserve">recovered a displaced prior, and agreed with an independent Fisher bound, a continuous profile</w:t>
      </w:r>
      <w:r>
        <w:t xml:space="preserve"> </w:t>
      </w:r>
      <w:r>
        <w:t xml:space="preserve">likelihood and a repeated-noise experiment. The much wider distributions obtained previously on</w:t>
      </w:r>
      <w:r>
        <w:t xml:space="preserve"> </w:t>
      </w:r>
      <w:r>
        <w:t xml:space="preserve">the same system reflect the specific informal weighting used rather than an absence of</w:t>
      </w:r>
      <w:r>
        <w:t xml:space="preserve"> </w:t>
      </w:r>
      <w:r>
        <w:t xml:space="preserve">information in the observations, and tightening its behavioural threshold does not close the</w:t>
      </w:r>
      <w:r>
        <w:t xml:space="preserve"> </w:t>
      </w:r>
      <w:r>
        <w:t xml:space="preserve">gap, because a threshold cannot restore an omitted information factor.</w:t>
      </w:r>
    </w:p>
    <w:p>
      <w:pPr>
        <w:pStyle w:val="BodyText"/>
      </w:pPr>
      <w:r>
        <w:t xml:space="preserve">That baseline result is conditional, and the conditions matter unequally. Larger random</w:t>
      </w:r>
      <w:r>
        <w:t xml:space="preserve"> </w:t>
      </w:r>
      <w:r>
        <w:t xml:space="preserve">measurement error and an assumed temporal correlation mainly cost precision. Systematic sensor</w:t>
      </w:r>
      <w:r>
        <w:t xml:space="preserve"> </w:t>
      </w:r>
      <w:r>
        <w:t xml:space="preserve">error and structured within-zone heterogeneity instead displace the estimate by several</w:t>
      </w:r>
      <w:r>
        <w:t xml:space="preserve"> </w:t>
      </w:r>
      <w:r>
        <w:t xml:space="preserve">posterior standard deviations while the fit remains at the noise floor, so neither is detectable</w:t>
      </w:r>
      <w:r>
        <w:t xml:space="preserve"> </w:t>
      </w:r>
      <w:r>
        <w:t xml:space="preserve">from goodness of fit. Bulk-decay uncertainty does both and falls disproportionately on the two</w:t>
      </w:r>
      <w:r>
        <w:t xml:space="preserve"> </w:t>
      </w:r>
      <w:r>
        <w:t xml:space="preserve">weakly decaying zones; once bulk decay and monitor-specific offsets are treated as unknown</w:t>
      </w:r>
      <w:r>
        <w:t xml:space="preserve"> </w:t>
      </w:r>
      <w:r>
        <w:t xml:space="preserve">together, those two coefficients are no longer practically identifiable from this six-monitor</w:t>
      </w:r>
      <w:r>
        <w:t xml:space="preserve"> </w:t>
      </w:r>
      <w:r>
        <w:t xml:space="preserve">design. Structured heterogeneity displaced all three coefficients comparably, although the zones</w:t>
      </w:r>
      <w:r>
        <w:t xml:space="preserve"> </w:t>
      </w:r>
      <w:r>
        <w:t xml:space="preserve">could not be ordered against one another across noise realisations, and the length-weighted</w:t>
      </w:r>
      <w:r>
        <w:t xml:space="preserve"> </w:t>
      </w:r>
      <w:r>
        <w:t xml:space="preserve">value used to separate the candidate targets is a directional comparator rather than the</w:t>
      </w:r>
      <w:r>
        <w:t xml:space="preserve"> </w:t>
      </w:r>
      <w:r>
        <w:t xml:space="preserve">quantity a grouped fit estimates.</w:t>
      </w:r>
    </w:p>
    <w:p>
      <w:pPr>
        <w:pStyle w:val="BodyText"/>
      </w:pPr>
      <w:r>
        <w:t xml:space="preserve">Neither predictive accuracy nor the whole-network risk pattern is a reliable proxy for parameter</w:t>
      </w:r>
      <w:r>
        <w:t xml:space="preserve"> </w:t>
      </w:r>
      <w:r>
        <w:t xml:space="preserve">recovery. When a zone’s monitors were withheld, its coefficient returned to the prior midpoint</w:t>
      </w:r>
      <w:r>
        <w:t xml:space="preserve"> </w:t>
      </w:r>
      <w:r>
        <w:t xml:space="preserve">and retained the full prior standard deviation, yet held-out prediction at those same monitors</w:t>
      </w:r>
      <w:r>
        <w:t xml:space="preserve"> </w:t>
      </w:r>
      <w:r>
        <w:t xml:space="preserve">stayed at the observation-noise scale, and errors at never-calibrated junctions remained below</w:t>
      </w:r>
      <w:r>
        <w:t xml:space="preserve"> </w:t>
      </w:r>
      <w:r>
        <w:t xml:space="preserve">about one per cent. Parameter displacements of several standard deviations left whole-network</w:t>
      </w:r>
      <w:r>
        <w:t xml:space="preserve"> </w:t>
      </w:r>
      <w:r>
        <w:t xml:space="preserve">rank correlations high, but the six-node shortlist an operator would act on changed under some</w:t>
      </w:r>
      <w:r>
        <w:t xml:space="preserve"> </w:t>
      </w:r>
      <w:r>
        <w:t xml:space="preserve">perturbations and not others, and which it was depended on whether the ranking used expected</w:t>
      </w:r>
      <w:r>
        <w:t xml:space="preserve"> </w:t>
      </w:r>
      <w:r>
        <w:t xml:space="preserve">duration or cumulative deficit.</w:t>
      </w:r>
    </w:p>
    <w:p>
      <w:pPr>
        <w:pStyle w:val="BodyText"/>
      </w:pPr>
      <w:r>
        <w:t xml:space="preserve">Three practical conclusions follow for calibration practice. The inference rule should be</w:t>
      </w:r>
      <w:r>
        <w:t xml:space="preserve"> </w:t>
      </w:r>
      <w:r>
        <w:t xml:space="preserve">audited before a wide parameter distribution is read as evidence about the monitoring array.</w:t>
      </w:r>
      <w:r>
        <w:t xml:space="preserve"> </w:t>
      </w:r>
      <w:r>
        <w:t xml:space="preserve">Systematic instrument error and model aggregation deserve at least the attention usually given</w:t>
      </w:r>
      <w:r>
        <w:t xml:space="preserve"> </w:t>
      </w:r>
      <w:r>
        <w:t xml:space="preserve">to sensor precision, since they bias rather than merely blur. And parameter identification,</w:t>
      </w:r>
      <w:r>
        <w:t xml:space="preserve"> </w:t>
      </w:r>
      <w:r>
        <w:t xml:space="preserve">predictive adequacy and decision stability should be reported separately, because a study that</w:t>
      </w:r>
      <w:r>
        <w:t xml:space="preserve"> </w:t>
      </w:r>
      <w:r>
        <w:t xml:space="preserve">reports only one of them cannot show that the other two hold. These conclusions are established</w:t>
      </w:r>
      <w:r>
        <w:t xml:space="preserve"> </w:t>
      </w:r>
      <w:r>
        <w:t xml:space="preserve">within a controlled synthetic experiment with known truth, fixed hydraulics and no field data,</w:t>
      </w:r>
      <w:r>
        <w:t xml:space="preserve"> </w:t>
      </w:r>
      <w:r>
        <w:t xml:space="preserve">and their transfer to a real network remains to be tested.</w:t>
      </w:r>
    </w:p>
    <w:bookmarkEnd w:id="103"/>
    <w:bookmarkStart w:id="104" w:name="acknowledgements"/>
    <w:p>
      <w:pPr>
        <w:pStyle w:val="Heading1"/>
      </w:pPr>
      <w:r>
        <w:t xml:space="preserve">Acknowledgements</w:t>
      </w:r>
    </w:p>
    <w:p>
      <w:pPr>
        <w:pStyle w:val="FirstParagraph"/>
      </w:pPr>
      <w:r>
        <w:t xml:space="preserve">The author thanks the supervisory team for guidance throughout the project. The EPANET Net3</w:t>
      </w:r>
      <w:r>
        <w:t xml:space="preserve"> </w:t>
      </w:r>
      <w:r>
        <w:t xml:space="preserve">example network is distributed with EPANET; all simulations were run through WNTR.</w:t>
      </w:r>
    </w:p>
    <w:bookmarkEnd w:id="104"/>
    <w:bookmarkStart w:id="119" w:name="references"/>
    <w:p>
      <w:pPr>
        <w:pStyle w:val="Heading1"/>
      </w:pPr>
      <w:r>
        <w:t xml:space="preserve">References</w:t>
      </w:r>
    </w:p>
    <w:bookmarkStart w:id="118" w:name="refs"/>
    <w:bookmarkStart w:id="106" w:name="ref-BevenBinley1992"/>
    <w:p>
      <w:pPr>
        <w:pStyle w:val="Bibliography"/>
      </w:pPr>
      <w:r>
        <w:t xml:space="preserve">Beven, K. and Binley, A. (1992)</w:t>
      </w:r>
      <w:r>
        <w:t xml:space="preserve"> </w:t>
      </w:r>
      <w:r>
        <w:t xml:space="preserve">“The future of distributed models: Model calibration and uncertainty prediction,”</w:t>
      </w:r>
      <w:r>
        <w:t xml:space="preserve"> </w:t>
      </w:r>
      <w:r>
        <w:rPr>
          <w:i/>
          <w:iCs/>
        </w:rPr>
        <w:t xml:space="preserve">Hydrological Processes</w:t>
      </w:r>
      <w:r>
        <w:t xml:space="preserve">, 6(3), pp. 279–298. Available at:</w:t>
      </w:r>
      <w:r>
        <w:t xml:space="preserve"> </w:t>
      </w:r>
      <w:hyperlink r:id="rId105">
        <w:r>
          <w:rPr>
            <w:rStyle w:val="Hyperlink"/>
          </w:rPr>
          <w:t xml:space="preserve">https://doi.org/10.1002/hyp.3360060305</w:t>
        </w:r>
      </w:hyperlink>
      <w:r>
        <w:t xml:space="preserve">.</w:t>
      </w:r>
    </w:p>
    <w:bookmarkEnd w:id="106"/>
    <w:bookmarkStart w:id="107" w:name="ref-Hallam2002"/>
    <w:p>
      <w:pPr>
        <w:pStyle w:val="Bibliography"/>
      </w:pPr>
      <w:r>
        <w:t xml:space="preserve">Hallam, N.</w:t>
      </w:r>
      <w:r>
        <w:t xml:space="preserve"> </w:t>
      </w:r>
      <w:r>
        <w:rPr>
          <w:i/>
          <w:iCs/>
        </w:rPr>
        <w:t xml:space="preserve">et al.</w:t>
      </w:r>
      <w:r>
        <w:t xml:space="preserve"> </w:t>
      </w:r>
      <w:r>
        <w:t xml:space="preserve">(2002)</w:t>
      </w:r>
      <w:r>
        <w:t xml:space="preserve"> </w:t>
      </w:r>
      <w:r>
        <w:t xml:space="preserve">“The decay of chlorine associated with the pipe wall in distribution systems,”</w:t>
      </w:r>
      <w:r>
        <w:t xml:space="preserve"> </w:t>
      </w:r>
      <w:r>
        <w:rPr>
          <w:i/>
          <w:iCs/>
        </w:rPr>
        <w:t xml:space="preserve">Water Research</w:t>
      </w:r>
      <w:r>
        <w:t xml:space="preserve">, 36(14), pp. 3479–3488.</w:t>
      </w:r>
    </w:p>
    <w:bookmarkEnd w:id="107"/>
    <w:bookmarkStart w:id="109" w:name="ref-Klise2017WNTR"/>
    <w:p>
      <w:pPr>
        <w:pStyle w:val="Bibliography"/>
      </w:pPr>
      <w:r>
        <w:t xml:space="preserve">Klise, K.A.</w:t>
      </w:r>
      <w:r>
        <w:t xml:space="preserve"> </w:t>
      </w:r>
      <w:r>
        <w:rPr>
          <w:i/>
          <w:iCs/>
        </w:rPr>
        <w:t xml:space="preserve">et al.</w:t>
      </w:r>
      <w:r>
        <w:t xml:space="preserve"> </w:t>
      </w:r>
      <w:r>
        <w:t xml:space="preserve">(2017)</w:t>
      </w:r>
      <w:r>
        <w:t xml:space="preserve"> </w:t>
      </w:r>
      <w:r>
        <w:t xml:space="preserve">“A software framework for assessing the resilience of drinking water systems to disasters with an example earthquake case study,”</w:t>
      </w:r>
      <w:r>
        <w:t xml:space="preserve"> </w:t>
      </w:r>
      <w:r>
        <w:rPr>
          <w:i/>
          <w:iCs/>
        </w:rPr>
        <w:t xml:space="preserve">Environmental Modelling &amp; Software</w:t>
      </w:r>
      <w:r>
        <w:t xml:space="preserve">, 95, pp. 420–431. Available at:</w:t>
      </w:r>
      <w:r>
        <w:t xml:space="preserve"> </w:t>
      </w:r>
      <w:hyperlink r:id="rId108">
        <w:r>
          <w:rPr>
            <w:rStyle w:val="Hyperlink"/>
          </w:rPr>
          <w:t xml:space="preserve">https://doi.org/10.1016/j.envsoft.2017.06.022</w:t>
        </w:r>
      </w:hyperlink>
      <w:r>
        <w:t xml:space="preserve">.</w:t>
      </w:r>
    </w:p>
    <w:bookmarkEnd w:id="109"/>
    <w:bookmarkStart w:id="111" w:name="ref-Munavalli2003SteadyState"/>
    <w:p>
      <w:pPr>
        <w:pStyle w:val="Bibliography"/>
      </w:pPr>
      <w:r>
        <w:t xml:space="preserve">Munavalli, G.R. and Mohan Kumar, M.S. (2003)</w:t>
      </w:r>
      <w:r>
        <w:t xml:space="preserve"> </w:t>
      </w:r>
      <w:r>
        <w:t xml:space="preserve">“Water quality parameter estimation in steady-state distribution system,”</w:t>
      </w:r>
      <w:r>
        <w:t xml:space="preserve"> </w:t>
      </w:r>
      <w:r>
        <w:rPr>
          <w:i/>
          <w:iCs/>
        </w:rPr>
        <w:t xml:space="preserve">Journal of Water Resources Planning and Management</w:t>
      </w:r>
      <w:r>
        <w:t xml:space="preserve">, 129(2), pp. 124–134. Available at:</w:t>
      </w:r>
      <w:r>
        <w:t xml:space="preserve"> </w:t>
      </w:r>
      <w:hyperlink r:id="rId110">
        <w:r>
          <w:rPr>
            <w:rStyle w:val="Hyperlink"/>
          </w:rPr>
          <w:t xml:space="preserve">https://doi.org/10.1061/(ASCE)0733-9496(2003)129:2(124)</w:t>
        </w:r>
      </w:hyperlink>
      <w:r>
        <w:t xml:space="preserve">.</w:t>
      </w:r>
    </w:p>
    <w:bookmarkEnd w:id="111"/>
    <w:bookmarkStart w:id="113" w:name="ref-Nejjari2014ChlorineCalibration"/>
    <w:p>
      <w:pPr>
        <w:pStyle w:val="Bibliography"/>
      </w:pPr>
      <w:r>
        <w:t xml:space="preserve">Nejjari, F.</w:t>
      </w:r>
      <w:r>
        <w:t xml:space="preserve"> </w:t>
      </w:r>
      <w:r>
        <w:rPr>
          <w:i/>
          <w:iCs/>
        </w:rPr>
        <w:t xml:space="preserve">et al.</w:t>
      </w:r>
      <w:r>
        <w:t xml:space="preserve"> </w:t>
      </w:r>
      <w:r>
        <w:t xml:space="preserve">(2014)</w:t>
      </w:r>
      <w:r>
        <w:t xml:space="preserve"> </w:t>
      </w:r>
      <w:r>
        <w:t xml:space="preserve">“Chlorine decay model calibration and comparison: Application to a real water network,”</w:t>
      </w:r>
      <w:r>
        <w:t xml:space="preserve"> </w:t>
      </w:r>
      <w:r>
        <w:rPr>
          <w:i/>
          <w:iCs/>
        </w:rPr>
        <w:t xml:space="preserve">Procedia Engineering</w:t>
      </w:r>
      <w:r>
        <w:t xml:space="preserve">, 70, pp. 1221–1230. Available at:</w:t>
      </w:r>
      <w:r>
        <w:t xml:space="preserve"> </w:t>
      </w:r>
      <w:hyperlink r:id="rId112">
        <w:r>
          <w:rPr>
            <w:rStyle w:val="Hyperlink"/>
          </w:rPr>
          <w:t xml:space="preserve">https://doi.org/10.1016/j.proeng.2014.02.135</w:t>
        </w:r>
      </w:hyperlink>
      <w:r>
        <w:t xml:space="preserve">.</w:t>
      </w:r>
    </w:p>
    <w:bookmarkEnd w:id="113"/>
    <w:bookmarkStart w:id="114" w:name="ref-Rossman2000"/>
    <w:p>
      <w:pPr>
        <w:pStyle w:val="Bibliography"/>
      </w:pPr>
      <w:r>
        <w:t xml:space="preserve">Rossman, L.A. (2000)</w:t>
      </w:r>
      <w:r>
        <w:t xml:space="preserve"> </w:t>
      </w:r>
      <w:r>
        <w:rPr>
          <w:i/>
          <w:iCs/>
        </w:rPr>
        <w:t xml:space="preserve">EPANET</w:t>
      </w:r>
      <w:r>
        <w:rPr>
          <w:i/>
          <w:iCs/>
        </w:rPr>
        <w:t xml:space="preserve"> </w:t>
      </w:r>
      <w:r>
        <w:rPr>
          <w:i/>
          <w:iCs/>
        </w:rPr>
        <w:t xml:space="preserve">2 users manual</w:t>
      </w:r>
      <w:r>
        <w:t xml:space="preserve">. Cincinnati, OH: U.S. Environmental Protection Agency.</w:t>
      </w:r>
    </w:p>
    <w:bookmarkEnd w:id="114"/>
    <w:bookmarkStart w:id="115" w:name="ref-Rossman2020"/>
    <w:p>
      <w:pPr>
        <w:pStyle w:val="Bibliography"/>
      </w:pPr>
      <w:r>
        <w:t xml:space="preserve">Rossman, L.A.</w:t>
      </w:r>
      <w:r>
        <w:t xml:space="preserve"> </w:t>
      </w:r>
      <w:r>
        <w:rPr>
          <w:i/>
          <w:iCs/>
        </w:rPr>
        <w:t xml:space="preserve">et al.</w:t>
      </w:r>
      <w:r>
        <w:t xml:space="preserve"> </w:t>
      </w:r>
      <w:r>
        <w:t xml:space="preserve">(2020)</w:t>
      </w:r>
      <w:r>
        <w:t xml:space="preserve"> </w:t>
      </w:r>
      <w:r>
        <w:rPr>
          <w:i/>
          <w:iCs/>
        </w:rPr>
        <w:t xml:space="preserve">EPANET</w:t>
      </w:r>
      <w:r>
        <w:rPr>
          <w:i/>
          <w:iCs/>
        </w:rPr>
        <w:t xml:space="preserve"> </w:t>
      </w:r>
      <w:r>
        <w:rPr>
          <w:i/>
          <w:iCs/>
        </w:rPr>
        <w:t xml:space="preserve">2.2 user manual</w:t>
      </w:r>
      <w:r>
        <w:t xml:space="preserve">. Cincinnati, OH: U.S. Environmental Protection Agency.</w:t>
      </w:r>
    </w:p>
    <w:bookmarkEnd w:id="115"/>
    <w:bookmarkStart w:id="116" w:name="ref-Rossman1994"/>
    <w:p>
      <w:pPr>
        <w:pStyle w:val="Bibliography"/>
      </w:pPr>
      <w:r>
        <w:t xml:space="preserve">Rossman, L.A., Clark, R.M. and Grayman, W.M. (1994)</w:t>
      </w:r>
      <w:r>
        <w:t xml:space="preserve"> </w:t>
      </w:r>
      <w:r>
        <w:t xml:space="preserve">“Modeling chlorine residuals in drinking-water distribution systems,”</w:t>
      </w:r>
      <w:r>
        <w:t xml:space="preserve"> </w:t>
      </w:r>
      <w:r>
        <w:rPr>
          <w:i/>
          <w:iCs/>
        </w:rPr>
        <w:t xml:space="preserve">Journal of Environmental Engineering</w:t>
      </w:r>
      <w:r>
        <w:t xml:space="preserve">, 120(4), pp. 803–820.</w:t>
      </w:r>
    </w:p>
    <w:bookmarkEnd w:id="116"/>
    <w:bookmarkStart w:id="117" w:name="ref-Vasconcelos1997"/>
    <w:p>
      <w:pPr>
        <w:pStyle w:val="Bibliography"/>
      </w:pPr>
      <w:r>
        <w:t xml:space="preserve">Vasconcelos, J.J.</w:t>
      </w:r>
      <w:r>
        <w:t xml:space="preserve"> </w:t>
      </w:r>
      <w:r>
        <w:rPr>
          <w:i/>
          <w:iCs/>
        </w:rPr>
        <w:t xml:space="preserve">et al.</w:t>
      </w:r>
      <w:r>
        <w:t xml:space="preserve"> </w:t>
      </w:r>
      <w:r>
        <w:t xml:space="preserve">(1997)</w:t>
      </w:r>
      <w:r>
        <w:t xml:space="preserve"> </w:t>
      </w:r>
      <w:r>
        <w:t xml:space="preserve">“Kinetics of chlorine decay,”</w:t>
      </w:r>
      <w:r>
        <w:t xml:space="preserve"> </w:t>
      </w:r>
      <w:r>
        <w:rPr>
          <w:i/>
          <w:iCs/>
        </w:rPr>
        <w:t xml:space="preserve">Journal AWWA</w:t>
      </w:r>
      <w:r>
        <w:t xml:space="preserve">, 89(7), pp. 54–65.</w:t>
      </w:r>
    </w:p>
    <w:bookmarkEnd w:id="117"/>
    <w:bookmarkEnd w:id="118"/>
    <w:bookmarkEnd w:id="119"/>
    <w:sectPr>
      <w:pgSz w:h="16838" w:w="11906"/>
      <w:pgMar w:bottom="1417" w:footer="708" w:gutter="0" w:header="708" w:left="1417" w:right="1417" w:top="1417"/>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line="360" w:lineRule="auto"/>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24"/>
      <w:szCs w:val="2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24"/>
      <w:szCs w:val="24"/>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4"/>
      <w:szCs w:val="24"/>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4"/>
      <w:szCs w:val="24"/>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24"/>
      <w:szCs w:val="24"/>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4"/>
      <w:szCs w:val="24"/>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24"/>
      <w:szCs w:val="24"/>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24"/>
      <w:szCs w:val="24"/>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59" Target="media/rId59.png" /><Relationship Type="http://schemas.openxmlformats.org/officeDocument/2006/relationships/image" Id="rId64" Target="media/rId64.png" /><Relationship Type="http://schemas.openxmlformats.org/officeDocument/2006/relationships/image" Id="rId71" Target="media/rId71.png" /><Relationship Type="http://schemas.openxmlformats.org/officeDocument/2006/relationships/image" Id="rId78" Target="media/rId78.png" /><Relationship Type="http://schemas.openxmlformats.org/officeDocument/2006/relationships/image" Id="rId85" Target="media/rId85.png" /><Relationship Type="http://schemas.openxmlformats.org/officeDocument/2006/relationships/image" Id="rId92" Target="media/rId92.png" /><Relationship Type="http://schemas.openxmlformats.org/officeDocument/2006/relationships/hyperlink" Id="rId105" Target="https://doi.org/10.1002/hyp.3360060305" TargetMode="External" /><Relationship Type="http://schemas.openxmlformats.org/officeDocument/2006/relationships/hyperlink" Id="rId108" Target="https://doi.org/10.1016/j.envsoft.2017.06.022" TargetMode="External" /><Relationship Type="http://schemas.openxmlformats.org/officeDocument/2006/relationships/hyperlink" Id="rId112" Target="https://doi.org/10.1016/j.proeng.2014.02.135" TargetMode="External" /><Relationship Type="http://schemas.openxmlformats.org/officeDocument/2006/relationships/hyperlink" Id="rId110" Target="https://doi.org/10.1061/(ASCE)0733-9496(2003)129:2(124)" TargetMode="External" /></Relationships>
</file>

<file path=word/_rels/footnotes.xml.rels><?xml version="1.0" encoding="UTF-8"?><Relationships xmlns="http://schemas.openxmlformats.org/package/2006/relationships"><Relationship Type="http://schemas.openxmlformats.org/officeDocument/2006/relationships/hyperlink" Id="rId105" Target="https://doi.org/10.1002/hyp.3360060305" TargetMode="External" /><Relationship Type="http://schemas.openxmlformats.org/officeDocument/2006/relationships/hyperlink" Id="rId108" Target="https://doi.org/10.1016/j.envsoft.2017.06.022" TargetMode="External" /><Relationship Type="http://schemas.openxmlformats.org/officeDocument/2006/relationships/hyperlink" Id="rId112" Target="https://doi.org/10.1016/j.proeng.2014.02.135" TargetMode="External" /><Relationship Type="http://schemas.openxmlformats.org/officeDocument/2006/relationships/hyperlink" Id="rId110" Target="https://doi.org/10.1061/(ASCE)0733-9496(2003)129:2(1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2026-08-07T00:49:36Z</dcterms:created>
  <dcterms:modified xsi:type="dcterms:W3CDTF">2026-08-07T00:49:36Z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csl">
    <vt:lpwstr>/Users/prx/Zotero/styles/harvard-cite-them-right.csl</vt:lpwstr>
  </property>
</Properties>
</file>