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7.png" ContentType="image/png"/>
  <Override PartName="/word/media/rId84.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 informal weighting previously applied to the</w:t>
      </w:r>
      <w:r>
        <w:t xml:space="preserve"> </w:t>
      </w:r>
      <w:r>
        <w:t xml:space="preserve">same system, on identical observations and candidate draws. Identifiability is triangulated</w:t>
      </w:r>
      <w:r>
        <w:t xml:space="preserve"> </w:t>
      </w:r>
      <w:r>
        <w:t xml:space="preserve">across prior contraction, displaced priors, Fisher information, profile likelihood and</w:t>
      </w:r>
      <w:r>
        <w:t xml:space="preserve"> </w:t>
      </w:r>
      <w:r>
        <w:t xml:space="preserve">repeated-noise calibration. Measurement, nuisance and structural errors are then placed on common</w:t>
      </w:r>
      <w:r>
        <w:t xml:space="preserve"> </w:t>
      </w:r>
      <w:r>
        <w:t xml:space="preserve">scales before propagation to prediction and low-chlorine risk.</w:t>
      </w:r>
    </w:p>
    <w:p>
      <w:pPr>
        <w:pStyle w:val="BodyText"/>
      </w:pPr>
      <w:r>
        <w:t xml:space="preserve">Under known bulk decay and unbiased sensors, the formal rule contracted all three coefficients to</w:t>
      </w:r>
      <w:r>
        <w:t xml:space="preserve"> </w:t>
      </w:r>
      <w:r>
        <w:t xml:space="preserve">25–31% of their prior standard deviation, whereas the informal score at its original</w:t>
      </w:r>
      <w:r>
        <w:t xml:space="preserve"> </w:t>
      </w:r>
      <w:r>
        <w:t xml:space="preserve">0.120 mg L</w:t>
      </w:r>
      <w:r>
        <w:rPr>
          <w:vertAlign w:val="superscript"/>
        </w:rPr>
        <w:t xml:space="preserve">-1</w:t>
      </w:r>
      <w:r>
        <w:t xml:space="preserve"> </w:t>
      </w:r>
      <w:r>
        <w:t xml:space="preserve">behavioural threshold retained 86–98%. Both rules used the same 294 observations,</w:t>
      </w:r>
      <w:r>
        <w:t xml:space="preserve"> </w:t>
      </w:r>
      <w:r>
        <w:t xml:space="preserve">so the difference is produced by the weighting alone. The average and new coefficients no longer met the study identifiability criterion once bulk</w:t>
      </w:r>
      <w:r>
        <w:t xml:space="preserve"> </w:t>
      </w:r>
      <w:r>
        <w:t xml:space="preserve">decay and monitor offsets were treated as jointly unknown.</w:t>
      </w:r>
      <w:r>
        <w:t xml:space="preserve"> </w:t>
      </w:r>
      <w:r>
        <w:t xml:space="preserve">Recalibration over 100 noise realisations gave spreads closely matching the Cramér–Rao bound, at</w:t>
      </w:r>
      <w:r>
        <w:t xml:space="preserve"> </w:t>
      </w:r>
      <w:r>
        <w:t xml:space="preserve">near-nominal 90% coverage. Systematic sensor error, bulk-decay misspecification and</w:t>
      </w:r>
      <w:r>
        <w:t xml:space="preserve"> </w:t>
      </w:r>
      <w:r>
        <w:t xml:space="preserve">length-structured heterogeneity displaced coefficients by as much as 5.94 baseline posterior</w:t>
      </w:r>
      <w:r>
        <w:t xml:space="preserve"> </w:t>
      </w:r>
      <w:r>
        <w:t xml:space="preserve">standard deviations, while the minimum candidate-library RMSE never exceeded the realised observation-noise RMSE by</w:t>
      </w:r>
      <w:r>
        <w:t xml:space="preserve"> </w:t>
      </w:r>
      <w:r>
        <w:t xml:space="preserve">more than 6.2%. Yet when the old or average zone was withheld its</w:t>
      </w:r>
      <w:r>
        <w:t xml:space="preserve"> </w:t>
      </w:r>
      <w:r>
        <w:t xml:space="preserve">coefficient returned to the prior midpoint and retained essentially the whole prior width, while</w:t>
      </w:r>
      <w:r>
        <w:t xml:space="preserve"> </w:t>
      </w:r>
      <w:r>
        <w:t xml:space="preserve">held-out prediction at the omitted monitors stayed close to the 0.1 mg L</w:t>
      </w:r>
      <w:r>
        <w:rPr>
          <w:vertAlign w:val="superscript"/>
        </w:rPr>
        <w:t xml:space="preserve">-1</w:t>
      </w:r>
      <w:r>
        <w:t xml:space="preserve"> </w:t>
      </w:r>
      <w:r>
        <w:t xml:space="preserve">observation-noise</w:t>
      </w:r>
      <w:r>
        <w:t xml:space="preserve"> </w:t>
      </w:r>
      <w:r>
        <w:t xml:space="preserve">scale. Displacements of several standard deviations largely preserved whole-network rank order,</w:t>
      </w:r>
      <w:r>
        <w:t xml:space="preserve"> </w:t>
      </w:r>
      <w:r>
        <w:t xml:space="preserve">but they altered the six-node operational shortlist under one risk metric and not another.</w:t>
      </w:r>
    </w:p>
    <w:p>
      <w:pPr>
        <w:pStyle w:val="BodyText"/>
      </w:pPr>
      <w:r>
        <w:t xml:space="preserve">Parameter identification, predictive adequacy and decision stability should be assessed</w:t>
      </w:r>
      <w:r>
        <w:t xml:space="preserve"> </w:t>
      </w:r>
      <w:r>
        <w:t xml:space="preserve">separately.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&amp; Grayman, 1994; Vasconcelos</w:t>
      </w:r>
      <w:r>
        <w:t xml:space="preserve"> </w:t>
      </w:r>
      <w:r>
        <w:rPr>
          <w:i/>
          <w:iCs/>
        </w:rPr>
        <w:t xml:space="preserve">et al.</w:t>
      </w:r>
      <w:r>
        <w:t xml:space="preserve">, 1997)</w:t>
      </w:r>
      <w:r>
        <w:t xml:space="preserve">. In the first-order representation implemented 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 m day</w:t>
      </w:r>
      <w:r>
        <w:rPr>
          <w:vertAlign w:val="superscript"/>
        </w:rPr>
        <w:t xml:space="preserve">-1</w:t>
      </w:r>
      <w:r>
        <w:t xml:space="preserve">. The wall reaction is coupled to mass</w:t>
      </w:r>
      <w:r>
        <w:t xml:space="preserve"> </w:t>
      </w:r>
      <w:r>
        <w:t xml:space="preserve">transfer from the bulk, so diameter and flow 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&amp; Mohan Kumar, 2003; Nejjari</w:t>
      </w:r>
      <w:r>
        <w:t xml:space="preserve"> </w:t>
      </w:r>
      <w:r>
        <w:rPr>
          <w:i/>
          <w:iCs/>
        </w:rPr>
        <w:t xml:space="preserve">et al.</w:t>
      </w:r>
      <w:r>
        <w:t xml:space="preserve">, 2014)</w:t>
      </w:r>
      <w:r>
        <w:t xml:space="preserve">. Grouped coefficients have been calibrated by global optimisation heuristics, genetic and</w:t>
      </w:r>
      <w:r>
        <w:t xml:space="preserve"> </w:t>
      </w:r>
      <w:r>
        <w:t xml:space="preserve">particle-swarm among them</w:t>
      </w:r>
      <w:r>
        <w:t xml:space="preserve"> </w:t>
      </w:r>
      <w:r>
        <w:t xml:space="preserve">(Peirovi Minaee</w:t>
      </w:r>
      <w:r>
        <w:t xml:space="preserve"> </w:t>
      </w:r>
      <w:r>
        <w:rPr>
          <w:i/>
          <w:iCs/>
        </w:rPr>
        <w:t xml:space="preserve">et al.</w:t>
      </w:r>
      <w:r>
        <w:t xml:space="preserve">, 2019; Gómez-Coronel</w:t>
      </w:r>
      <w:r>
        <w:t xml:space="preserve"> </w:t>
      </w:r>
      <w:r>
        <w:rPr>
          <w:i/>
          <w:iCs/>
        </w:rPr>
        <w:t xml:space="preserve">et al.</w:t>
      </w:r>
      <w:r>
        <w:t xml:space="preserve">, 2023)</w:t>
      </w:r>
      <w:r>
        <w:t xml:space="preserve">, Such calibrations target best-fitting values but do not themselves quantify how strongly the data</w:t>
      </w:r>
      <w:r>
        <w:t xml:space="preserve"> </w:t>
      </w:r>
      <w:r>
        <w:t xml:space="preserve">identify them.</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and to support</w:t>
      </w:r>
      <w:r>
        <w:t xml:space="preserve"> </w:t>
      </w:r>
      <w:r>
        <w:t xml:space="preserve">monitoring or control decisions, so a calibration may fail at several distinct levels, and those</w:t>
      </w:r>
      <w:r>
        <w:t xml:space="preserve"> </w:t>
      </w:r>
      <w:r>
        <w:t xml:space="preserve">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Measurement noise and temporal dependence reduce the effective information in monitored series,</w:t>
      </w:r>
      <w:r>
        <w:t xml:space="preserve"> </w:t>
      </w:r>
      <w:r>
        <w:t xml:space="preserve">and readings at a reporting boundary are censored, not exact. Systematic offsets or drift bias the inferred parameters while remaining hard to diagnose from</w:t>
      </w:r>
      <w:r>
        <w:t xml:space="preserve"> </w:t>
      </w:r>
      <w:r>
        <w:t xml:space="preserve">fit quality, and online free-chlorine sensors degrade that way</w:t>
      </w:r>
      <w:r>
        <w:t xml:space="preserve"> </w:t>
      </w:r>
      <w:r>
        <w:t xml:space="preserve">(Aisopou &amp; Stoianov, 2024)</w:t>
      </w:r>
      <w:r>
        <w:t xml:space="preserve">. Bulk decay is often characterised separately and held fixed during wall-decay calibration, so an</w:t>
      </w:r>
      <w:r>
        <w:t xml:space="preserve"> </w:t>
      </w:r>
      <w:r>
        <w:t xml:space="preserve">error in it is absorbed by the wall coefficients, and grouping is an approximation where wall</w:t>
      </w:r>
      <w:r>
        <w:t xml:space="preserve"> </w:t>
      </w:r>
      <w:r>
        <w:t xml:space="preserve">reactivity varies</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 Nejjari</w:t>
      </w:r>
      <w:r>
        <w:t xml:space="preserve"> </w:t>
      </w:r>
      <w:r>
        <w:rPr>
          <w:i/>
          <w:iCs/>
        </w:rPr>
        <w:t xml:space="preserve">et al.</w:t>
      </w:r>
      <w:r>
        <w:t xml:space="preserve">, 2014)</w:t>
      </w:r>
      <w:r>
        <w:t xml:space="preserve">. A close fit therefore does not establish that the coefficients represent the underlying reaction</w:t>
      </w:r>
      <w:r>
        <w:t xml:space="preserve"> </w:t>
      </w:r>
      <w:r>
        <w:t xml:space="preserve">process.</w:t>
      </w:r>
    </w:p>
    <w:p>
      <w:pPr>
        <w:pStyle w:val="BodyText"/>
      </w:pPr>
      <w:r>
        <w:t xml:space="preserve">Uncertainty here has been addressed through real-time data assimilation</w:t>
      </w:r>
      <w:r>
        <w:t xml:space="preserve"> </w:t>
      </w:r>
      <w:r>
        <w:t xml:space="preserve">(Hutton</w:t>
      </w:r>
      <w:r>
        <w:t xml:space="preserve"> </w:t>
      </w:r>
      <w:r>
        <w:rPr>
          <w:i/>
          <w:iCs/>
        </w:rPr>
        <w:t xml:space="preserve">et al.</w:t>
      </w:r>
      <w:r>
        <w:t xml:space="preserve">, 2014)</w:t>
      </w:r>
      <w:r>
        <w:t xml:space="preserve">, including joint state and parameter estimation by ensemble Kalman</w:t>
      </w:r>
      <w:r>
        <w:t xml:space="preserve"> </w:t>
      </w:r>
      <w:r>
        <w:t xml:space="preserve">filtering</w:t>
      </w:r>
      <w:r>
        <w:t xml:space="preserve"> </w:t>
      </w:r>
      <w:r>
        <w:t xml:space="preserve">(Rajakumar</w:t>
      </w:r>
      <w:r>
        <w:t xml:space="preserve"> </w:t>
      </w:r>
      <w:r>
        <w:rPr>
          <w:i/>
          <w:iCs/>
        </w:rPr>
        <w:t xml:space="preserve">et al.</w:t>
      </w:r>
      <w:r>
        <w:t xml:space="preserve">, 2019)</w:t>
      </w:r>
      <w:r>
        <w:t xml:space="preserve">, through explicit input error</w:t>
      </w:r>
      <w:r>
        <w:t xml:space="preserve"> </w:t>
      </w:r>
      <w:r>
        <w:t xml:space="preserve">(Wu, Marshall &amp; Sharma, 2022)</w:t>
      </w:r>
      <w:r>
        <w:t xml:space="preserve">, and through formal</w:t>
      </w:r>
      <w:r>
        <w:t xml:space="preserve"> </w:t>
      </w:r>
      <w:r>
        <w:t xml:space="preserve">Bayesian inference on disinfectant decay</w:t>
      </w:r>
      <w:r>
        <w:t xml:space="preserve"> </w:t>
      </w:r>
      <w:r>
        <w:t xml:space="preserve">(Jenks, Ulusoy &amp; Stoianov, 2025)</w:t>
      </w:r>
      <w:r>
        <w:t xml:space="preserve">.</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&amp; Künsch, 2001)</w:t>
      </w:r>
      <w:r>
        <w:t xml:space="preserve">. Practical</w:t>
      </w:r>
      <w:r>
        <w:t xml:space="preserve"> </w:t>
      </w:r>
      <w:r>
        <w:t xml:space="preserve">identifiability concerns whether the finite, noisy observations available constrain the</w:t>
      </w:r>
      <w:r>
        <w:t xml:space="preserve"> </w:t>
      </w:r>
      <w:r>
        <w:t xml:space="preserve">parameters sufficiently, for which profile likelihood is a direct diagnostic</w:t>
      </w:r>
      <w:r>
        <w:t xml:space="preserve"> </w:t>
      </w:r>
      <w:r>
        <w:t xml:space="preserve">(Raue</w:t>
      </w:r>
      <w:r>
        <w:t xml:space="preserve"> </w:t>
      </w:r>
      <w:r>
        <w:rPr>
          <w:i/>
          <w:iCs/>
        </w:rPr>
        <w:t xml:space="preserve">et al.</w:t>
      </w:r>
      <w:r>
        <w:t xml:space="preserve">, 2009)</w:t>
      </w:r>
      <w:r>
        <w:t xml:space="preserve">, and</w:t>
      </w:r>
      <w:r>
        <w:t xml:space="preserve"> </w:t>
      </w:r>
      <w:r>
        <w:t xml:space="preserve">repeated sampling then tests whether the resulting intervals show the bias and coverage the</w:t>
      </w:r>
      <w:r>
        <w:t xml:space="preserve"> </w:t>
      </w:r>
      <w:r>
        <w:t xml:space="preserve">assumed model implies. No single diagnostic</w:t>
      </w:r>
      <w:r>
        <w:t xml:space="preserve"> </w:t>
      </w:r>
      <w:r>
        <w:t xml:space="preserve">suffices. A posterior mean close to the truth may simply reflect favourable prior placement, and</w:t>
      </w:r>
      <w:r>
        <w:t xml:space="preserve"> </w:t>
      </w:r>
      <w:r>
        <w:t xml:space="preserve">a narrow posterior may reflect a restrictive prior or a misspecified likelihood rather than</w:t>
      </w:r>
      <w:r>
        <w:t xml:space="preserve"> </w:t>
      </w:r>
      <w:r>
        <w:t xml:space="preserve">physical correctness.</w:t>
      </w:r>
    </w:p>
    <w:p>
      <w:pPr>
        <w:pStyle w:val="BodyText"/>
      </w:pPr>
      <w:r>
        <w:t xml:space="preserve">Uncertainty surviving calibration must finally be propagated to whatever decision the model</w:t>
      </w:r>
      <w:r>
        <w:t xml:space="preserve"> </w:t>
      </w:r>
      <w:r>
        <w:t xml:space="preserve">supports, where stability is again not a single property and holding at one scale does not imply</w:t>
      </w:r>
      <w:r>
        <w:t xml:space="preserve"> </w:t>
      </w:r>
      <w:r>
        <w:t xml:space="preserve">holding at 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 combine behavioural thresholds with informal likelihood</w:t>
      </w:r>
      <w:r>
        <w:t xml:space="preserve"> </w:t>
      </w:r>
      <w:r>
        <w:t xml:space="preserve">measures whose statistical interpretation depends on their relationship to the assumed error</w:t>
      </w:r>
      <w:r>
        <w:t xml:space="preserve"> </w:t>
      </w:r>
      <w:r>
        <w:t xml:space="preserve">process</w:t>
      </w:r>
      <w:r>
        <w:t xml:space="preserve"> </w:t>
      </w:r>
      <w:r>
        <w:t xml:space="preserve">(Beven &amp; Binley, 1992)</w:t>
      </w:r>
      <w:r>
        <w:t xml:space="preserve">. Critiques have shown that a measure not representing the sampling</w:t>
      </w:r>
      <w:r>
        <w:t xml:space="preserve"> </w:t>
      </w:r>
      <w:r>
        <w:t xml:space="preserve">distribution of model errors need not deliver formally calibrated parameter or prediction</w:t>
      </w:r>
      <w:r>
        <w:t xml:space="preserve"> </w:t>
      </w:r>
      <w:r>
        <w:t xml:space="preserve">uncertainty</w:t>
      </w:r>
      <w:r>
        <w:t xml:space="preserve"> </w:t>
      </w:r>
      <w:r>
        <w:t xml:space="preserve">(Mantovan &amp; Todini, 2006; Stedinger</w:t>
      </w:r>
      <w:r>
        <w:t xml:space="preserve"> </w:t>
      </w:r>
      <w:r>
        <w:rPr>
          <w:i/>
          <w:iCs/>
        </w:rPr>
        <w:t xml:space="preserve">et al.</w:t>
      </w:r>
      <w:r>
        <w:t xml:space="preserve">, 2008)</w:t>
      </w:r>
      <w:r>
        <w:t xml:space="preserve">. The controlled setting here sidesteps that broader debate rather than resolving it. Because the</w:t>
      </w:r>
      <w:r>
        <w:t xml:space="preserve"> </w:t>
      </w:r>
      <w:r>
        <w:t xml:space="preserve">synthetic observation model is known, the informal weighting previously applied to this system</w:t>
      </w:r>
      <w:r>
        <w:t xml:space="preserve"> </w:t>
      </w:r>
      <w:r>
        <w:t xml:space="preserve">can be compared directly with the corresponding formal likelihood on identical observations and</w:t>
      </w:r>
      <w:r>
        <w:t xml:space="preserve"> </w:t>
      </w:r>
      <w:r>
        <w:t xml:space="preserve">candidate draws.</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 These act</w:t>
      </w:r>
      <w:r>
        <w:t xml:space="preserve"> </w:t>
      </w:r>
      <w:r>
        <w:t xml:space="preserve">in different ways, so loss of precision has to be separated from displacement of the estimate and</w:t>
      </w:r>
      <w:r>
        <w:t xml:space="preserve"> </w:t>
      </w:r>
      <w:r>
        <w:t xml:space="preserve">both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establish that the parameter governing a physical</w:t>
      </w:r>
      <w:r>
        <w:t xml:space="preserve"> </w:t>
      </w:r>
      <w:r>
        <w:t xml:space="preserve">process has been identified, and a high whole-network rank correlation cannot establish that a</w:t>
      </w:r>
      <w:r>
        <w:t xml:space="preserve"> </w:t>
      </w:r>
      <w:r>
        <w:t xml:space="preserve">small hot-spot set is unchanged.</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It compares a formal censored Gaussian likelihood with the</w:t>
      </w:r>
      <w:r>
        <w:t xml:space="preserve"> </w:t>
      </w:r>
      <w:r>
        <w:t xml:space="preserve">specific informal weighting previously applied to this system, on identical observations and</w:t>
      </w:r>
      <w:r>
        <w:t xml:space="preserve"> </w:t>
      </w:r>
      <w:r>
        <w:t xml:space="preserve">candidate draws. It triangulates identifiability across posterior contraction, displaced priors,</w:t>
      </w:r>
      <w:r>
        <w:t xml:space="preserve"> </w:t>
      </w:r>
      <w:r>
        <w:t xml:space="preserve">Fisher information, continuous profile likelihood and repeated-noise calibration. It separates</w:t>
      </w:r>
      <w:r>
        <w:t xml:space="preserve"> </w:t>
      </w:r>
      <w:r>
        <w:t xml:space="preserve">precision loss from parameter displacement across measurement, nuisance and structural</w:t>
      </w:r>
      <w:r>
        <w:t xml:space="preserve"> </w:t>
      </w:r>
      <w:r>
        <w:t xml:space="preserve">perturbations on common scales. And it distinguishes parameter identification, predictive</w:t>
      </w:r>
      <w:r>
        <w:t xml:space="preserve"> </w:t>
      </w:r>
      <w:r>
        <w:t xml:space="preserve">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and no field observations enter the analysis.</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are held fixed across all experiments except where a later section states otherwise. Prior standard deviations are those of the uniform priors.</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makes the chlorine field settle slowly, warm-up was assessed by an explicit</w:t>
      </w:r>
      <w:r>
        <w:t xml:space="preserve"> </w:t>
      </w:r>
      <w:r>
        <w:t xml:space="preserve">cyclostationarity test rather than chosen by convention. Demands and pump operation are 24 h</w:t>
      </w:r>
      <w:r>
        <w:t xml:space="preserve"> </w:t>
      </w:r>
      <w:r>
        <w:t xml:space="preserve">periodic, so each cycle was compared with its successor against six diagnostics whose tolerances</w:t>
      </w:r>
      <w:r>
        <w:t xml:space="preserve"> </w:t>
      </w:r>
      <w:r>
        <w:t xml:space="preserve">were declared in advance, evaluated at the synthetic truth and at both corners of the prior box.</w:t>
      </w:r>
    </w:p>
    <w:p>
      <w:pPr>
        <w:pStyle w:val="BodyText"/>
      </w:pPr>
      <w:r>
        <w:t xml:space="preserve">The rule required every diagnostic to pass, and no cycle pair satisfied it within the 168 h model</w:t>
      </w:r>
      <w:r>
        <w:t xml:space="preserve"> </w:t>
      </w:r>
      <w:r>
        <w:t xml:space="preserve">horizon. Because the inverse analyses depend directly on the chlorine field, 120 h was adopted</w:t>
      </w:r>
      <w:r>
        <w:t xml:space="preserve"> </w:t>
      </w:r>
      <w:r>
        <w:t xml:space="preserve">instead, the earliest warm-up at which all three chlorine-concentration diagnostics passed. The</w:t>
      </w:r>
      <w:r>
        <w:t xml:space="preserve"> </w:t>
      </w:r>
      <w:r>
        <w:t xml:space="preserve">assessment window is therefore 120–168 h, with 49 hourly reporting points per monitor.</w:t>
      </w:r>
      <w:r>
        <w:t xml:space="preserve"> </w:t>
      </w:r>
      <w:r>
        <w:t xml:space="preserve">Definitions, tolerances and per-cycle values are in Appendix A, and Section 3.1.2 reports what</w:t>
      </w:r>
      <w:r>
        <w:t xml:space="preserve"> </w:t>
      </w:r>
      <w:r>
        <w:t xml:space="preserve">the unmet diagnostics bound.</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are reported in mg L</w:t>
      </w:r>
      <w:r>
        <w:rPr>
          <w:vertAlign w:val="superscript"/>
        </w:rPr>
        <w:t xml:space="preserve">-1</w:t>
      </w:r>
      <w:r>
        <w:t xml:space="preserve">, converted to WNTR’s internal kg m</w:t>
      </w:r>
      <w:r>
        <w:rPr>
          <w:vertAlign w:val="superscript"/>
        </w:rPr>
        <w:t xml:space="preserve">-3</w:t>
      </w:r>
      <w:r>
        <w:t xml:space="preserve"> </w:t>
      </w:r>
      <w:r>
        <w:t xml:space="preserve">representation</w:t>
      </w:r>
      <w:r>
        <w:t xml:space="preserve"> </w:t>
      </w:r>
      <w:r>
        <w:t xml:space="preserve">on model input and back on output</w:t>
      </w:r>
      <w:r>
        <w:t xml:space="preserve"> </w:t>
      </w:r>
      <w:r>
        <w:t xml:space="preserve">(Klise</w:t>
      </w:r>
      <w:r>
        <w:t xml:space="preserve"> </w:t>
      </w:r>
      <w:r>
        <w:rPr>
          <w:i/>
          <w:iCs/>
        </w:rPr>
        <w:t xml:space="preserve">et al.</w:t>
      </w:r>
      <w:r>
        <w:t xml:space="preserve">, 2017; WNTR Development Team, 2026)</w:t>
      </w:r>
      <w:r>
        <w:t xml:space="preserve">.</w:t>
      </w:r>
      <w:r>
        <w:t xml:space="preserve"> </w:t>
      </w:r>
      <w:r>
        <w:t xml:space="preserve">The EPANET absolute quality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It is a chosen setting, a thousand times stricter than the EPANET default of 0.01 mg L</w:t>
      </w:r>
      <w:r>
        <w:rPr>
          <w:vertAlign w:val="superscript"/>
        </w:rPr>
        <w:t xml:space="preserve">-1</w:t>
      </w:r>
      <w:r>
        <w:t xml:space="preserve"> </w:t>
      </w:r>
      <w:r>
        <w:t xml:space="preserve">(Rossman</w:t>
      </w:r>
      <w:r>
        <w:t xml:space="preserve"> </w:t>
      </w:r>
      <w:r>
        <w:rPr>
          <w:i/>
          <w:iCs/>
        </w:rPr>
        <w:t xml:space="preserve">et al.</w:t>
      </w:r>
      <w:r>
        <w:t xml:space="preserve">, 2020)</w:t>
      </w:r>
      <w:r>
        <w:t xml:space="preserve">, holding the tolerance-to-source ratio fixed so that the corrected and superseded</w:t>
      </w:r>
      <w:r>
        <w:t xml:space="preserve"> </w:t>
      </w:r>
      <w:r>
        <w:t xml:space="preserve">implementations are one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 was checked for the expected sign, for monotonic response, and against</w:t>
      </w:r>
      <w:r>
        <w:t xml:space="preserve"> </w:t>
      </w:r>
      <w:r>
        <w:t xml:space="preserve">the limiting case without mass transfer.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Agreement at this level is expected rather than fortuitous. First-order</w:t>
      </w:r>
      <w:r>
        <w:t xml:space="preserve"> </w:t>
      </w:r>
      <w:r>
        <w:t xml:space="preserve">kinetics are invariant to the concentration scale, and every absolute quantity was rescaled</w:t>
      </w:r>
      <w:r>
        <w:t xml:space="preserve"> </w:t>
      </w:r>
      <w:r>
        <w:t xml:space="preserve">together, including the source and tank concentrations, the observation standard deviation, the</w:t>
      </w:r>
      <w:r>
        <w:t xml:space="preserve"> </w:t>
      </w:r>
      <w:r>
        <w:t xml:space="preserve">0.2 mg L</w:t>
      </w:r>
      <w:r>
        <w:rPr>
          <w:vertAlign w:val="superscript"/>
        </w:rPr>
        <w:t xml:space="preserve">-1</w:t>
      </w:r>
      <w:r>
        <w:t xml:space="preserve"> </w:t>
      </w:r>
      <w:r>
        <w:t xml:space="preserve">threshold and the tolerance-to-source ratio, so the two implementations are the same</w:t>
      </w:r>
      <w:r>
        <w:t xml:space="preserve"> </w:t>
      </w:r>
      <w:r>
        <w:t xml:space="preserve">numerical experiment. Any residual beyond solver tolerance would therefore have indicated a</w:t>
      </w:r>
      <w:r>
        <w:t xml:space="preserve"> </w:t>
      </w:r>
      <w:r>
        <w:t xml:space="preserve">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(Sobol’, 1967; Owen, 1998)</w:t>
      </w:r>
      <w:r>
        <w:t xml:space="preserve">.</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The censored Gaussian, iid Gaussian and informal GLUE formulations were evaluated</w:t>
      </w:r>
      <w:r>
        <w:t xml:space="preserve"> </w:t>
      </w:r>
      <w:r>
        <w:t xml:space="preserve">on identical prior draws and identical model predictions, so any difference between those</w:t>
      </w:r>
      <w:r>
        <w:t xml:space="preserve"> </w:t>
      </w:r>
      <w:r>
        <w:t xml:space="preserve">baseline results is attributable to the weighting formulation rather than to sampling or to</w:t>
      </w:r>
      <w:r>
        <w:t xml:space="preserve"> </w:t>
      </w:r>
      <w:r>
        <w:t xml:space="preserve">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w:t>
      </w:r>
      <w:r>
        <w:t xml:space="preserve"> </w:t>
      </w:r>
      <w:r>
        <w:t xml:space="preserve">(Beven &amp; Binley, 1992)</w:t>
      </w:r>
      <w:r>
        <w:t xml:space="preserve"> </w:t>
      </w:r>
      <w:r>
        <w:t xml:space="preserve">used in the original analysis of this</w:t>
      </w:r>
      <w:r>
        <w:t xml:space="preserve"> </w:t>
      </w:r>
      <w:r>
        <w:t xml:space="preserve">system was retained 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each box retained its original width but was re-centred at the known synthetic truth minus one original-prior standard deviation, so the displacement is defined relative to the truth rather than to the original midpoint. In the OLDUP design only the old-zone box changed direction, being centred at the truth plus one</w:t>
      </w:r>
      <w:r>
        <w:t xml:space="preserve"> </w:t>
      </w:r>
      <w:r>
        <w:t xml:space="preserve">original-prior standard deviation, while the average and new boxes kept their DOWN positions.</w:t>
      </w:r>
      <w:r>
        <w:t xml:space="preserve"> </w:t>
      </w:r>
      <w:r>
        <w:t xml:space="preserve">OLDUP is therefore a directional check for the old coefficient rather than a second like-for-like</w:t>
      </w:r>
      <w:r>
        <w:t xml:space="preserve"> </w:t>
      </w:r>
      <w:r>
        <w:t xml:space="preserve">three-parameter test. An upper cap of −0.005 m day</w:t>
      </w:r>
      <w:r>
        <w:rPr>
          <w:vertAlign w:val="superscript"/>
        </w:rPr>
        <w:t xml:space="preserve">-1</w:t>
      </w:r>
      <w:r>
        <w:t xml:space="preserve">, imposed to keep the old prior in the non-positive decay domain, then shifted that box down to a realised midpoint of −0.655 m day</w:t>
      </w:r>
      <w:r>
        <w:rPr>
          <w:vertAlign w:val="superscript"/>
        </w:rPr>
        <w:t xml:space="preserve">-1</w:t>
      </w:r>
      <w:r>
        <w:t xml:space="preserve">, about 0.92 original-prior standard deviations from the truth rather than the intended one.</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Local identifiability was assessed from the sensitivity Jacobian of the 294 monitored values</w:t>
      </w:r>
      <w:r>
        <w:t xml:space="preserve"> </w:t>
      </w:r>
      <w:r>
        <w:t xml:space="preserve">(Brun, Reichert &amp; Künsch, 2001)</w:t>
      </w:r>
      <w:r>
        <w:t xml:space="preserve">.</w:t>
      </w:r>
      <w:r>
        <w:t xml:space="preserve"> </w:t>
      </w:r>
      <w:r>
        <w:t xml:space="preserve">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evaluated at the synthetic truth by finite differences. The calculation assumes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 does</w:t>
      </w:r>
      <w:r>
        <w:t xml:space="preserve"> </w:t>
      </w:r>
      <w:r>
        <w:rPr>
          <w:b/>
          <w:bCs/>
        </w:rPr>
        <w:t xml:space="preserve">not</w:t>
      </w:r>
      <w:r>
        <w:t xml:space="preserve"> </w:t>
      </w:r>
      <w:r>
        <w:t xml:space="preserve">include the censoring correction, so it is a local information</w:t>
      </w:r>
      <w:r>
        <w:t xml:space="preserve"> </w:t>
      </w:r>
      <w:r>
        <w:t xml:space="preserve">benchmark rather than a 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B and C the nuisance parameters were</w:t>
      </w:r>
      <w:r>
        <w:t xml:space="preserve"> </w:t>
      </w:r>
      <w:r>
        <w:t xml:space="preserve">marginalised and the marginal Cramér–Rao standard deviations normalised by the corresponding</w:t>
      </w:r>
      <w:r>
        <w:t xml:space="preserve"> </w:t>
      </w:r>
      <w:r>
        <w:t xml:space="preserve">prior standard deviation, a ratio below one being the criterion for local practical</w:t>
      </w:r>
      <w:r>
        <w:t xml:space="preserve"> </w:t>
      </w:r>
      <w:r>
        <w:t xml:space="preserve">identifiability adopted here. This is a benchmark relative to the chosen prior scale, not a</w:t>
      </w:r>
      <w:r>
        <w:t xml:space="preserve"> </w:t>
      </w:r>
      <w:r>
        <w:t xml:space="preserve">universal threshold. Marginalisation and the step-size check are in Appendix 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w:t>
      </w:r>
      <w:r>
        <w:t xml:space="preserve"> </w:t>
      </w:r>
      <w:r>
        <w:t xml:space="preserve">(Raue</w:t>
      </w:r>
      <w:r>
        <w:t xml:space="preserve"> </w:t>
      </w:r>
      <w:r>
        <w:rPr>
          <w:i/>
          <w:iCs/>
        </w:rPr>
        <w:t xml:space="preserve">et al.</w:t>
      </w:r>
      <w:r>
        <w:t xml:space="preserve">, 2009)</w:t>
      </w:r>
      <w:r>
        <w:t xml:space="preserve">: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 row was flagged as sampling-limited when its median ESS fell below 100, or when any realisation</w:t>
      </w:r>
      <w:r>
        <w:t xml:space="preserve"> </w:t>
      </w:r>
      <w:r>
        <w:t xml:space="preserve">produced an empty behavioural set. Contraction from such rows is not read as a quantitative</w:t>
      </w:r>
      <w:r>
        <w:t xml:space="preserve"> </w:t>
      </w:r>
      <w:r>
        <w:t xml:space="preserve">estimate of the benefit of that sensor precision, because a sharper likelihood concentrates on a</w:t>
      </w:r>
      <w:r>
        <w:t xml:space="preserve"> </w:t>
      </w:r>
      <w:r>
        <w:t xml:space="preserve">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 reported in Appendix D.</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were</w:t>
      </w:r>
      <w:r>
        <w:t xml:space="preserve"> </w:t>
      </w:r>
      <w:r>
        <w:t xml:space="preserve">applied at each of the six monitors, giving 24 bias arms of 30 noise realisations each; only the</w:t>
      </w:r>
      <w:r>
        <w:t xml:space="preserve"> </w:t>
      </w:r>
      <w:r>
        <w:t xml:space="preserve">observations are perturbed, so candidate predictions are unchanged.</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window, correct at the start and off by</w:t>
      </w:r>
      <w:r>
        <w:t xml:space="preserve"> </w:t>
      </w:r>
      <m:oMath>
        <m:r>
          <m:t>D</m:t>
        </m:r>
      </m:oMath>
      <w:r>
        <w:t xml:space="preserve"> </w:t>
      </w:r>
      <w:r>
        <w:t xml:space="preserve">at the end, paired under identical noise with</w:t>
      </w:r>
      <w:r>
        <w:t xml:space="preserve"> </w:t>
      </w:r>
      <w:r>
        <w:t xml:space="preserve">constant-offset controls at its mean and endpoint values. This separates the drift’s temporal</w:t>
      </w:r>
      <w:r>
        <w:t xml:space="preserve"> </w:t>
      </w:r>
      <w:r>
        <w:t xml:space="preserve">shape from its mean magnitude. Offsets, arm definitions and per-arm results are in Appendix F.</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Structural effects were summarised by the four quantities Table 2 defines, because they answer</w:t>
      </w:r>
      <w:r>
        <w:t xml:space="preserve"> </w:t>
      </w:r>
      <w:r>
        <w:t xml:space="preserve">different questions. Raw bias measures the fitted coefficient against the realised arithmetic zone</w:t>
      </w:r>
      <w:r>
        <w:t xml:space="preserve"> </w:t>
      </w:r>
      <w:r>
        <w:t xml:space="preserve">mean. The paired structural increment removes the offset the same rule produces on a homogeneous</w:t>
      </w:r>
      <w:r>
        <w:t xml:space="preserve"> </w:t>
      </w:r>
      <w:r>
        <w:t xml:space="preserve">truth under the same noise, and the standardised displacement puts that paired shift on the scale</w:t>
      </w:r>
      <w:r>
        <w:t xml:space="preserve"> </w:t>
      </w:r>
      <w:r>
        <w:t xml:space="preserve">of Section 2.5 using the repeated-baseline denominator. The displacement fraction locates the fit</w:t>
      </w:r>
      <w:r>
        <w:t xml:space="preserve"> </w:t>
      </w:r>
      <w:r>
        <w:t xml:space="preserve">between the arithmetic and length-weighted references, reported</w:t>
      </w:r>
      <w:r>
        <w:t xml:space="preserve"> </w:t>
      </w:r>
      <w:r>
        <w:rPr>
          <w:b/>
          <w:bCs/>
        </w:rPr>
        <w:t xml:space="preserve">raw rather than</w:t>
      </w:r>
      <w:r>
        <w:rPr>
          <w:b/>
          <w:bCs/>
        </w:rPr>
        <w:t xml:space="preserve"> </w:t>
      </w:r>
      <w:r>
        <w:rPr>
          <w:b/>
          <w:bCs/>
        </w:rPr>
        <w:t xml:space="preserve">control-adjusted</w:t>
      </w:r>
      <w:r>
        <w:t xml:space="preserve">. Full definitions and per-design results are in Appendix E.</w:t>
      </w:r>
    </w:p>
    <w:bookmarkEnd w:id="43"/>
    <w:bookmarkEnd w:id="44"/>
    <w:bookmarkStart w:id="45" w:name="internal-prediction-validation"/>
    <w:p>
      <w:pPr>
        <w:pStyle w:val="Heading2"/>
      </w:pPr>
      <w:r>
        <w:t xml:space="preserve">2.7 Internal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coverage and by the normalised mean absolute error,</w:t>
      </w:r>
      <w:r>
        <w:t xml:space="preserve"> </w:t>
      </w:r>
      <m:oMath>
        <m:r>
          <m:rPr>
            <m:sty m:val="p"/>
          </m:rPr>
          <m:t>N</m:t>
        </m:r>
        <m:r>
          <m:rPr>
            <m:sty m:val="p"/>
          </m:rPr>
          <m:t>M</m:t>
        </m:r>
        <m:r>
          <m:rPr>
            <m:sty m:val="p"/>
          </m:rPr>
          <m:t>A</m:t>
        </m:r>
        <m:r>
          <m:rPr>
            <m:sty m:val="p"/>
          </m:rPr>
          <m:t>E</m:t>
        </m:r>
        <m:r>
          <m:rPr>
            <m:sty m:val="p"/>
          </m:rPr>
          <m:t>=</m:t>
        </m:r>
        <m:nary>
          <m:naryPr>
            <m:chr m:val="∑"/>
            <m:limLoc m:val="undOvr"/>
            <m:subHide m:val="off"/>
            <m:supHide m:val="on"/>
          </m:naryPr>
          <m:sub>
            <m:r>
              <m:t>t</m:t>
            </m:r>
          </m:sub>
          <m:sup>
            <m:r>
              <m:t/>
            </m:r>
          </m:sup>
          <m:e>
            <m:r>
              <m:rPr>
                <m:sty m:val="p"/>
              </m:rPr>
              <m:t>|</m:t>
            </m:r>
          </m:e>
        </m:nary>
        <m:sSub>
          <m:e>
            <m:acc>
              <m:accPr>
                <m:chr m:val="̂"/>
              </m:accPr>
              <m:e>
                <m:r>
                  <m:t>C</m:t>
                </m:r>
              </m:e>
            </m:acc>
          </m:e>
          <m:sub>
            <m:r>
              <m:t>t</m:t>
            </m:r>
          </m:sub>
        </m:sSub>
        <m:r>
          <m:rPr>
            <m:sty m:val="p"/>
          </m:rPr>
          <m:t>−</m:t>
        </m:r>
        <m:sSub>
          <m:e>
            <m:r>
              <m:t>C</m:t>
            </m:r>
          </m:e>
          <m:sub>
            <m:r>
              <m:t>t</m:t>
            </m:r>
          </m:sub>
        </m:sSub>
        <m:r>
          <m:rPr>
            <m:sty m:val="p"/>
          </m:rPr>
          <m:t>|</m:t>
        </m:r>
        <m:r>
          <m:rPr>
            <m:sty m:val="p"/>
          </m:rPr>
          <m:t>/</m:t>
        </m:r>
        <m:nary>
          <m:naryPr>
            <m:chr m:val="∑"/>
            <m:limLoc m:val="undOvr"/>
            <m:subHide m:val="off"/>
            <m:supHide m:val="on"/>
          </m:naryPr>
          <m:sub>
            <m:r>
              <m:t>t</m:t>
            </m:r>
          </m:sub>
          <m:sup>
            <m:r>
              <m:t/>
            </m:r>
          </m:sup>
          <m:e>
            <m:r>
              <m:rPr>
                <m:sty m:val="p"/>
              </m:rPr>
              <m:t>|</m:t>
            </m:r>
          </m:e>
        </m:nary>
        <m:sSub>
          <m:e>
            <m:r>
              <m:t>C</m:t>
            </m:r>
          </m:e>
          <m:sub>
            <m:r>
              <m:t>t</m:t>
            </m:r>
          </m:sub>
        </m:sSub>
        <m:r>
          <m:rPr>
            <m:sty m:val="p"/>
          </m:rPr>
          <m:t>|</m:t>
        </m:r>
      </m:oMath>
      <w:r>
        <w:t xml:space="preserve">, evaluated per junction over the assessment window. This normalises by the mean of the truth rather than averaging pointwise ratios, which would be unstable where the true concentration approaches zero.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r>
        <w:t xml:space="preserve"> </w:t>
      </w:r>
      <w:r>
        <w:t xml:space="preserve">The weights propagated here are those of the baseline calibration, which was conditioned on one</w:t>
      </w:r>
      <w:r>
        <w:t xml:space="preserve"> </w:t>
      </w:r>
      <w:r>
        <w:t xml:space="preserve">reference observation realisation. Every risk figure quoted below is therefore conditional on</w:t>
      </w:r>
      <w:r>
        <w:t xml:space="preserve"> </w:t>
      </w:r>
      <w:r>
        <w:t xml:space="preserve">that realisation and is not a median over the 30 noise realisations used for the inference</w:t>
      </w:r>
      <w:r>
        <w:t xml:space="preserve"> </w:t>
      </w:r>
      <w:r>
        <w:t xml:space="preserve">diagnostics; observation-noise variability enters the risk results only through the perturbation</w:t>
      </w:r>
      <w:r>
        <w:t xml:space="preserve"> </w:t>
      </w:r>
      <w:r>
        <w:t xml:space="preserve">comparisons of Section 3.6.2.</w:t>
      </w:r>
    </w:p>
    <w:bookmarkEnd w:id="46"/>
    <w:bookmarkStart w:id="47" w:name="water-age-and-demand-weighting"/>
    <w:p>
      <w:pPr>
        <w:pStyle w:val="Heading3"/>
      </w:pPr>
      <w:r>
        <w:t xml:space="preserve">2.8.2 Water age and demand weighting</w:t>
      </w:r>
    </w:p>
    <w:p>
      <w:pPr>
        <w:pStyle w:val="FirstParagraph"/>
      </w:pPr>
      <w:r>
        <w:t xml:space="preserve">Water age was computed over the same window as a reaction-independent diagnostic, and its spatial</w:t>
      </w:r>
      <w:r>
        <w:t xml:space="preserve"> </w:t>
      </w:r>
      <w:r>
        <w:t xml:space="preserve">association with expected duration and cumulative deficit described by Spearman rank correlation.</w:t>
      </w:r>
      <w:r>
        <w:t xml:space="preserve"> </w:t>
      </w:r>
      <w:r>
        <w:t xml:space="preserve">The 92 junctions are not independent samples, so no junction-level p-value is reported; for the duration association a descriptive</w:t>
      </w:r>
      <w:r>
        <w:t xml:space="preserve"> </w:t>
      </w:r>
      <w:r>
        <w:t xml:space="preserve">width was obtained by resampling whole spatial blocks, with the design in Appendix G. Network</w:t>
      </w:r>
      <w:r>
        <w:t xml:space="preserve"> </w:t>
      </w:r>
      <w:r>
        <w:t xml:space="preserve">summaries were reported over all 92 junctions, over the 59 with non-zero demand, and</w:t>
      </w:r>
      <w:r>
        <w:t xml:space="preserve"> </w:t>
      </w:r>
      <w:r>
        <w:t xml:space="preserve">demand-weighted,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temperature scaling for</w:t>
      </w:r>
      <w:r>
        <w:t xml:space="preserve"> </w:t>
      </w:r>
      <w:r>
        <w:t xml:space="preserve">chlorine decay</w:t>
      </w:r>
      <w:r>
        <w:t xml:space="preserve"> </w:t>
      </w:r>
      <w:r>
        <w:t xml:space="preserve">(Vasconcelos</w:t>
      </w:r>
      <w:r>
        <w:t xml:space="preserve"> </w:t>
      </w:r>
      <w:r>
        <w:rPr>
          <w:i/>
          <w:iCs/>
        </w:rPr>
        <w:t xml:space="preserve">et al.</w:t>
      </w:r>
      <w:r>
        <w:t xml:space="preserve">, 1997; Hua</w:t>
      </w:r>
      <w:r>
        <w:t xml:space="preserve"> </w:t>
      </w:r>
      <w:r>
        <w:rPr>
          <w:i/>
          <w:iCs/>
        </w:rPr>
        <w:t xml:space="preserve">et al.</w:t>
      </w:r>
      <w:r>
        <w:t xml:space="preserve">, 1999; Powell</w:t>
      </w:r>
      <w:r>
        <w:t xml:space="preserve"> </w:t>
      </w:r>
      <w:r>
        <w:rPr>
          <w:i/>
          <w:iCs/>
        </w:rPr>
        <w:t xml:space="preserve">et al.</w:t>
      </w:r>
      <w:r>
        <w:t xml:space="preserve">, 2000)</w:t>
      </w:r>
      <w:r>
        <w:t xml:space="preserve">,</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The activation-energy distributions and the temperature</w:t>
      </w:r>
      <w:r>
        <w:t xml:space="preserve"> </w:t>
      </w:r>
      <w:r>
        <w:t xml:space="preserve">perturbation are illustrative settings prescribed here rather than measured values. Draws were</w:t>
      </w:r>
      <w:r>
        <w:t xml:space="preserve"> </w:t>
      </w:r>
      <w:r>
        <w:t xml:space="preserve">truncated to keep simulated temperatures inside the pre-defined 8–24 °C range, and the</w:t>
      </w:r>
      <w:r>
        <w:t xml:space="preserve"> </w:t>
      </w:r>
      <w:r>
        <w:t xml:space="preserve">distributions are in Appendix G. The scenarios were: (A) 12 °C</w:t>
      </w:r>
      <w:r>
        <w:t xml:space="preserve"> </w:t>
      </w:r>
      <w:r>
        <w:t xml:space="preserve">baseline; (B) 16 °C; (C) 20 °C heatwave; and (D) 20 °C with illustrative ageing multipliers of</w:t>
      </w:r>
      <w:r>
        <w:t xml:space="preserve"> </w:t>
      </w:r>
      <w:r>
        <w:t xml:space="preserve">1.00, 1.35 and 1.85 for the new, average and old zones.</w:t>
      </w:r>
    </w:p>
    <w:p>
      <w:pPr>
        <w:pStyle w:val="BodyText"/>
      </w:pPr>
      <w:r>
        <w:t xml:space="preserve">Draws were reused across scenarios, so pairwise differences are not contaminated by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a numerical truncation rather than an acceptance threshold. Corrective dosing was</w:t>
      </w:r>
      <w:r>
        <w:t xml:space="preserve"> </w:t>
      </w:r>
      <w:r>
        <w:t xml:space="preserve">evaluated under Scenario C, the heatwave</w:t>
      </w:r>
      <w:r>
        <w:t xml:space="preserve"> </w:t>
      </w:r>
      <w:r>
        <w:rPr>
          <w:i/>
          <w:iCs/>
        </w:rPr>
        <w:t xml:space="preserve">without</w:t>
      </w:r>
      <w:r>
        <w:t xml:space="preserve"> </w:t>
      </w:r>
      <w:r>
        <w:t xml:space="preserve">ageing, raising reservoir source chlorine from</w:t>
      </w:r>
      <w:r>
        <w:t xml:space="preserve"> </w:t>
      </w:r>
      <w:r>
        <w:t xml:space="preserve">1.00 to 1.15 and 1.30 mg L</w:t>
      </w:r>
      <w:r>
        <w:rPr>
          <w:vertAlign w:val="superscript"/>
        </w:rPr>
        <w:t xml:space="preserve">-1</w:t>
      </w:r>
      <w:r>
        <w:t xml:space="preserve"> </w:t>
      </w:r>
      <w:r>
        <w:t xml:space="preserve">with tank initial chlorine scaled by the same factor.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1"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zonal pattern follows the imposed reactivity contrast, but it does not set the</w:t>
      </w:r>
      <w:r>
        <w:t xml:space="preserve"> </w:t>
      </w:r>
      <w:r>
        <w:t xml:space="preserve">level on its own. The two average-zone monitors differ by nearly a factor of two, and node 231 clears the highest</w:t>
      </w:r>
      <w:r>
        <w:t xml:space="preserve"> </w:t>
      </w:r>
      <w:r>
        <w:t xml:space="preserve">old-zone monitor by only 0.019 mg L</w:t>
      </w:r>
      <w:r>
        <w:rPr>
          <w:vertAlign w:val="superscript"/>
        </w:rPr>
        <w:t xml:space="preserve">-1</w:t>
      </w:r>
      <w:r>
        <w:t xml:space="preserve">, because residence time and position also modulate the</w:t>
      </w:r>
      <w:r>
        <w:t xml:space="preserve"> </w:t>
      </w:r>
      <w:r>
        <w:t xml:space="preserve">decay. In the noise-free reference trajectory, 21 of the 92 junctions cross below the 0.2 mg L</w:t>
      </w:r>
      <w:r>
        <w:rPr>
          <w:vertAlign w:val="superscript"/>
        </w:rPr>
        <w:t xml:space="preserve">-1</w:t>
      </w:r>
      <w:r>
        <w:t xml:space="preserve"> </w:t>
      </w:r>
      <w:r>
        <w:t xml:space="preserve">threshold at least once in the window, a property of the truth and not the</w:t>
      </w:r>
      <w:r>
        <w:t xml:space="preserve"> </w:t>
      </w:r>
      <w:r>
        <w:t xml:space="preserve">ensemble-weighted breach count of Section 3.6.</w:t>
      </w:r>
    </w:p>
    <w:bookmarkEnd w:id="52"/>
    <w:bookmarkStart w:id="53" w:name="warm-up-and-assessment-window-adequacy"/>
    <w:p>
      <w:pPr>
        <w:pStyle w:val="Heading3"/>
      </w:pPr>
      <w:r>
        <w:t xml:space="preserve">3.1.2 Warm-up and assessment-window adequacy</w:t>
      </w:r>
    </w:p>
    <w:p>
      <w:pPr>
        <w:pStyle w:val="FirstParagraph"/>
      </w:pPr>
      <w:r>
        <w:t xml:space="preserve">The three concentration criteria, at the monitors, in the network 95th percentile and in the</w:t>
      </w:r>
      <w:r>
        <w:t xml:space="preserve"> </w:t>
      </w:r>
      <w:r>
        <w:t xml:space="preserve">tanks, were all first satisfied at 120 h, which 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and the network-mean cumulative</w:t>
      </w:r>
      <w:r>
        <w:t xml:space="preserve"> </w:t>
      </w:r>
      <w:r>
        <w:t xml:space="preserve">deficit by as much as 5.1%. The hotspot pattern moves with it. Over the same comparison the</w:t>
      </w:r>
      <w:r>
        <w:t xml:space="preserve"> </w:t>
      </w:r>
      <w:r>
        <w:t xml:space="preserve">top-10 cumulative-deficit sets at the truth had a Jaccard overlap of 0.818, one node in ten</w:t>
      </w:r>
      <w:r>
        <w:t xml:space="preserve"> </w:t>
      </w:r>
      <w:r>
        <w:t xml:space="preserve">differing. The horizon could not be extended without modifying the model (Appendix A). Parameter</w:t>
      </w:r>
      <w:r>
        <w:t xml:space="preserve"> </w:t>
      </w:r>
      <w:r>
        <w:t xml:space="preserve">inference is therefore supported by a concentration-stable window, whereas absolute water ages,</w:t>
      </w:r>
      <w:r>
        <w:t xml:space="preserve"> </w:t>
      </w:r>
      <w:r>
        <w:t xml:space="preserve">absolute risk severities and some hotspot boundaries in Section 3.6 retain a residual dependence</w:t>
      </w:r>
      <w:r>
        <w:t xml:space="preserve"> </w:t>
      </w:r>
      <w:r>
        <w:t xml:space="preserve">on the horizon and are used for comparison between conditions rather than as calibrated</w:t>
      </w:r>
      <w:r>
        <w:t xml:space="preserve"> </w:t>
      </w:r>
      <w:r>
        <w:t xml:space="preserve">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w:t>
      </w:r>
      <w:r>
        <w:t xml:space="preserve"> </w:t>
      </w:r>
      <w:r>
        <w:t xml:space="preserve">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extract.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part of the network most relevant to the threshold-based</w:t>
      </w:r>
      <w:r>
        <w:t xml:space="preserve"> </w:t>
      </w:r>
      <w:r>
        <w:t xml:space="preserve">risk analysis that follows, and is handled explicitly in the primary likelihood.</w:t>
      </w:r>
    </w:p>
    <w:p>
      <w:pPr>
        <w:pStyle w:val="CaptionedFigure"/>
      </w:pPr>
      <w:r>
        <w:drawing>
          <wp:inline>
            <wp:extent cx="5472649" cy="2245894"/>
            <wp:effectExtent b="0" l="0" r="0" t="0"/>
            <wp:docPr descr="Figure 1. Study system and forward baseline. (A) Net3 with pipes coloured by synthetic reaction zone. (B) True concentration at the monitors over the assessment window, with the noisy calibration observations. (C) Per-junction window minimum over the deterministic truth."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 reaction zone. (B) True concentration at the monitors over the assessment window, with the noisy calibration observations. (C) Per-junction window minimum over the deterministic truth.</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 at the threshold used in the original analysis, RMSE &lt; 0.120 mg</w:t>
      </w:r>
      <w:r>
        <w:t xml:space="preserve"> </w:t>
      </w:r>
      <w:r>
        <w:t xml:space="preserve">L</w:t>
      </w:r>
      <w:r>
        <w:rPr>
          <w:vertAlign w:val="superscript"/>
        </w:rPr>
        <w:t xml:space="preserve">-1</w:t>
      </w:r>
      <w:r>
        <w:t xml:space="preserve">, the same 294 residuals left 85.8%, 98.4% and 98.0% of the prior standard deviation intact.</w:t>
      </w:r>
      <w:r>
        <w:t xml:space="preserve"> </w:t>
      </w:r>
      <w:r>
        <w:t xml:space="preserve">The average and new behavioural distributions retained essentially the full prior dispersion and</w:t>
      </w:r>
      <w:r>
        <w:t xml:space="preserve"> </w:t>
      </w:r>
      <w:r>
        <w:t xml:space="preserve">were effectively 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Three weighting rules on the same 294 residuals and 8192 Sobol candidates, the informal score at both thresholds, for the reference noise realisation. SD retained is the weighted-ensemble standard deviation as a percentage of the prior; it is a posterior standard deviation only under the two formal rules, since the informal score is not a likelihood.</w:t>
      </w:r>
    </w:p>
    <w:p>
      <w:pPr>
        <w:pStyle w:val="CaptionedFigure"/>
      </w:pPr>
      <w:r>
        <w:drawing>
          <wp:inline>
            <wp:extent cx="4661377" cy="3840938"/>
            <wp:effectExtent b="0" l="0" r="0" t="0"/>
            <wp:docPr descr="Figure 2. Inference formulation determines apparent identifiability. 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w:t>
      </w:r>
    </w:p>
    <w:p>
      <w:pPr>
        <w:pStyle w:val="BodyText"/>
      </w:pPr>
      <w:r>
        <w:t xml:space="preserve">The weights show why, and the reason is arithmetic. The formal weights concentrate on an effective sample of about 157 of 8192 draws (1.9%). The</w:t>
      </w:r>
      <w:r>
        <w:t xml:space="preserve"> </w:t>
      </w:r>
      <w:r>
        <w:t xml:space="preserve">informal effective sample size almost equalled the number of retained candidates, at 4783 of 4786</w:t>
      </w:r>
      <w:r>
        <w:t xml:space="preserve"> </w:t>
      </w:r>
      <w:r>
        <w:t xml:space="preserve">for a threshold of 0.107 and 7062 of 7084 at 0.120, so its weights were nearly uniform within the</w:t>
      </w:r>
      <w:r>
        <w:t xml:space="preserve"> </w:t>
      </w:r>
      <w:r>
        <w:t xml:space="preserve">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That is seventeen times the assumed sensor noise,</w:t>
      </w:r>
      <w:r>
        <w:t xml:space="preserve"> </w:t>
      </w:r>
      <w:r>
        <w:t xml:space="preserve">and 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&amp;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&amp; Binley, 1992; Beven &amp;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Tightening the informal cut-off from 0.120 to 0.107 mg L</w:t>
      </w:r>
      <w:r>
        <w:rPr>
          <w:vertAlign w:val="superscript"/>
        </w:rPr>
        <w:t xml:space="preserve">-1</w:t>
      </w:r>
      <w:r>
        <w:t xml:space="preserve"> </w:t>
      </w:r>
      <w:r>
        <w:t xml:space="preserve">reduced the behavioural set from</w:t>
      </w:r>
      <w:r>
        <w:t xml:space="preserve"> </w:t>
      </w:r>
      <w:r>
        <w:t xml:space="preserve">7084 to 4786 candidates, yet the retained prior standard deviations fell only to 71.1%, 91.8%</w:t>
      </w:r>
      <w:r>
        <w:t xml:space="preserve"> </w:t>
      </w:r>
      <w:r>
        <w:t xml:space="preserve">and 88.2%, still two to three times the formal values. Candidate rejection therefore cannot</w:t>
      </w:r>
      <w:r>
        <w:t xml:space="preserve"> </w:t>
      </w:r>
      <w:r>
        <w:t xml:space="preserve">restore the information factor</w:t>
      </w:r>
      <w:r>
        <w:t xml:space="preserve"> </w:t>
      </w:r>
      <m:oMath>
        <m:r>
          <m:t>N</m:t>
        </m:r>
      </m:oMath>
      <w:r>
        <w:t xml:space="preserve"> </w:t>
      </w:r>
      <w:r>
        <w:t xml:space="preserve">the score omits.</w:t>
      </w:r>
    </w:p>
    <w:p>
      <w:pPr>
        <w:pStyle w:val="BodyText"/>
      </w:pPr>
      <w:r>
        <w:t xml:space="preserve">To exclude favourable prior placement as the cause of the formal contraction, all three prior</w:t>
      </w:r>
      <w:r>
        <w:t xml:space="preserve"> </w:t>
      </w:r>
      <w:r>
        <w:t xml:space="preserve">boxes were re-centred at the truth minus one original-prior standard deviation, keeping their</w:t>
      </w:r>
      <w:r>
        <w:t xml:space="preserve"> </w:t>
      </w:r>
      <w:r>
        <w:t xml:space="preserve">original width, and the calibration repeated over 30 noise realisations. The formal likelihood</w:t>
      </w:r>
      <w:r>
        <w:t xml:space="preserve"> </w:t>
      </w:r>
      <w:r>
        <w:t xml:space="preserve">recovered 88%, 95% and 96% of the imposed displacement for old, average and new while retaining</w:t>
      </w:r>
      <w:r>
        <w:t xml:space="preserve"> </w:t>
      </w:r>
      <w:r>
        <w:t xml:space="preserve">27.1%, 28.9% and 28.4% of the displaced prior’s standard deviation, matching the baseline</w:t>
      </w:r>
      <w:r>
        <w:t xml:space="preserve"> </w:t>
      </w:r>
      <w:r>
        <w:t xml:space="preserve">contraction despite the deliberately truth-displaced prior. The informal comparator recovered</w:t>
      </w:r>
      <w:r>
        <w:t xml:space="preserve"> </w:t>
      </w:r>
      <w:r>
        <w:t xml:space="preserve">substantially less at both thresholds.</w:t>
      </w:r>
    </w:p>
    <w:p>
      <w:pPr>
        <w:pStyle w:val="BodyText"/>
      </w:pPr>
      <w:r>
        <w:t xml:space="preserve">The OLDUP check reversed the old-zone displacement alone. Because the non-positivity constraint</w:t>
      </w:r>
      <w:r>
        <w:t xml:space="preserve"> </w:t>
      </w:r>
      <w:r>
        <w:t xml:space="preserve">shifted its realised midpoint to −0.655 m day</w:t>
      </w:r>
      <w:r>
        <w:rPr>
          <w:vertAlign w:val="superscript"/>
        </w:rPr>
        <w:t xml:space="preserve">-1</w:t>
      </w:r>
      <w:r>
        <w:t xml:space="preserve">, the upward displacement is about 0.92</w:t>
      </w:r>
      <w:r>
        <w:t xml:space="preserve"> </w:t>
      </w:r>
      <w:r>
        <w:t xml:space="preserve">original-prior standard deviations rather than a full one. Formal recovery for old was 88%</w:t>
      </w:r>
      <w:r>
        <w:t xml:space="preserve"> </w:t>
      </w:r>
      <w:r>
        <w:t xml:space="preserve">downward and 112% upward, symmetric within the noise, whereas informal recovery moved strongly</w:t>
      </w:r>
      <w:r>
        <w:t xml:space="preserve"> </w:t>
      </w:r>
      <w:r>
        <w:t xml:space="preserve">with the direction of displacement. The pronounced identifiability gradient reported in the</w:t>
      </w:r>
      <w:r>
        <w:t xml:space="preserve"> </w:t>
      </w:r>
      <w:r>
        <w:t xml:space="preserve">original analysis, in which old appears far better constrained than average or new, is therefore</w:t>
      </w:r>
      <w:r>
        <w:t xml:space="preserve"> </w:t>
      </w:r>
      <w:r>
        <w:t xml:space="preserve">a property of the weighting rule rather than a ranking of what the monitoring array can resolve.</w:t>
      </w:r>
      <w:r>
        <w:t xml:space="preserve"> </w:t>
      </w:r>
      <w:r>
        <w:t xml:space="preserve">Full threshold and 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 [-1.172, -0.811], [-0.137, -0.082]</w:t>
      </w:r>
      <w:r>
        <w:t xml:space="preserve"> </w:t>
      </w:r>
      <w:r>
        <w:t xml:space="preserve">and [-0.060, -0.029] m day</w:t>
      </w:r>
      <w:r>
        <w:rPr>
          <w:vertAlign w:val="superscript"/>
        </w:rPr>
        <w:t xml:space="preserve">-1</w:t>
      </w:r>
      <w:r>
        <w:t xml:space="preserve">, each covering its true value. Endpoints obtained by bisection are</w:t>
      </w:r>
      <w:r>
        <w:t xml:space="preserve"> </w:t>
      </w:r>
      <w:r>
        <w:t xml:space="preserve">quoted rather than grid endpoints, which understate the half-width by 39.0%, 14.9% and 28.1% and</w:t>
      </w:r>
      <w:r>
        <w:t xml:space="preserve"> </w:t>
      </w:r>
      <w:r>
        <w:t xml:space="preserve">are used here only for visualisation. Finally, repeating the calibration over 100 independent noise realisations gave a mean bias of at</w:t>
      </w:r>
      <w:r>
        <w:t xml:space="preserve"> </w:t>
      </w:r>
      <w:r>
        <w:t xml:space="preserve">most 0.15 times the empirical sampling standard deviation. The ratio of empirical spread to the</w:t>
      </w:r>
      <w:r>
        <w:t xml:space="preserve"> </w:t>
      </w:r>
      <w:r>
        <w:t xml:space="preserve">Cramér–Rao bound of 1.04, 1.06 and 1.12, and 90% interval coverage of 0.89, 0.88 and 0.85, are</w:t>
      </w:r>
      <w:r>
        <w:t xml:space="preserve"> </w:t>
      </w:r>
      <w:r>
        <w:t xml:space="preserve">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rom the likelihood-weighted ensemble (5–95%), continuous profile likelihood (95%), the Fisher bound (95%) and 100 repeated-noise calibrations (mean ± SD)."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from the likelihood-weighted ensemble (5–95%), continuous profile likelihood (95%), the Fisher bound (95%) and 100 repeated-noise calibrations (mean ± SD).</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&amp;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 effective sample size at about 126 of 294 at a</w:t>
      </w:r>
      <w:r>
        <w:t xml:space="preserve"> </w:t>
      </w:r>
      <w:r>
        <w:t xml:space="preserve">correlation of 0.4. Recomputing the Fisher information from the full block covariance instead</w:t>
      </w:r>
      <w:r>
        <w:t xml:space="preserve"> </w:t>
      </w:r>
      <w:r>
        <w:t xml:space="preserve">widened the three bounds by 1.48, 1.49 and 1.44 times, to 37.5%, 43.5% and 41.7% of the prior</w:t>
      </w:r>
      <w:r>
        <w:t xml:space="preserve"> </w:t>
      </w:r>
      <w:r>
        <w:t xml:space="preserve">standard deviation. At this strength correlation reduces precision without removing identifiability under the study</w:t>
      </w:r>
      <w:r>
        <w:t xml:space="preserve"> </w:t>
      </w:r>
      <w:r>
        <w:t xml:space="preserve">criterion. The field-relevant case is the</w:t>
      </w:r>
      <w:r>
        <w:t xml:space="preserve"> </w:t>
      </w:r>
      <w:r>
        <w:t xml:space="preserve">converse. Modelling correlation that is present widens the intervals, whereas fitting an</w:t>
      </w:r>
      <w:r>
        <w:t xml:space="preserve"> </w:t>
      </w:r>
      <w:r>
        <w:t xml:space="preserve">independent-error likelihood to observations that are genuinely correlated would narrow them,</w:t>
      </w:r>
      <w:r>
        <w:t xml:space="preserve"> </w:t>
      </w:r>
      <w:r>
        <w:t xml:space="preserve">reporting a precision the data do not support.</w:t>
      </w:r>
    </w:p>
    <w:bookmarkEnd w:id="69"/>
    <w:bookmarkStart w:id="70" w:name="X268ec4f082875a350a7fc35dcfd0e750c303f8d"/>
    <w:p>
      <w:pPr>
        <w:pStyle w:val="Heading3"/>
      </w:pPr>
      <w:r>
        <w:t xml:space="preserve">3.3.2 Systematic sensor error produces large coefficient displacement</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sign asymmetry is consistent with a downward bias pushing more readings onto the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 new</w:t>
      </w:r>
      <w:r>
        <w:t xml:space="preserve"> </w:t>
      </w:r>
      <w:r>
        <w:t xml:space="preserve">(node 113, −0.10). Contamination crosses zone boundaries. A −0.10 offset at new-zone node 107 displaced the average coefficient by 1.59. Per-arm results are in Appendix F.</w:t>
      </w:r>
    </w:p>
    <w:p>
      <w:pPr>
        <w:pStyle w:val="BodyText"/>
      </w:pPr>
      <w:r>
        <w:t xml:space="preserve">In the tested ramps drift tracked the mean offset far more closely than the endpoint. A ramp reaching a given offset by the end of the window displaced the estimate by 0.89 to 0.99</w:t>
      </w:r>
      <w:r>
        <w:t xml:space="preserve"> </w:t>
      </w:r>
      <w:r>
        <w:t xml:space="preserve">times a constant offset at half that value, but only 0.45 to 0.64 times one at the endpoint</w:t>
      </w:r>
      <w:r>
        <w:t xml:space="preserve"> </w:t>
      </w:r>
      <w:r>
        <w:t xml:space="preserve">value. A sensor drifting to +0.10 mg L</w:t>
      </w:r>
      <w:r>
        <w:rPr>
          <w:vertAlign w:val="superscript"/>
        </w:rPr>
        <w:t xml:space="preserve">-1</w:t>
      </w:r>
      <w:r>
        <w:t xml:space="preserve"> </w:t>
      </w:r>
      <w:r>
        <w:t xml:space="preserve">therefore behaves much more like a constant +0.05 than</w:t>
      </w:r>
      <w:r>
        <w:t xml:space="preserve"> </w:t>
      </w:r>
      <w:r>
        <w:t xml:space="preserve">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bound widens by a factor of 1.2, whereas the average and new bounds</w:t>
      </w:r>
      <w:r>
        <w:t xml:space="preserve"> </w:t>
      </w:r>
      <w:r>
        <w:t xml:space="preserve">widen by 1.8 and 1.9.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None of these perturbations is visible in the aggregate residual: the best fit reachable anywhere in the candidate library stays within a few percent of the realised observation-noise RMSE in every case, as the Best fit column of Table 4 records. These displacements are large in parameter terms, but Section 3.6 shows that they do not translate into proportionate changes in the network-wide risk pattern, and that whether an 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422231" cy="2009846"/>
            <wp:effectExtent b="0" l="0" r="0" t="0"/>
            <wp:docPr descr="Figure 4. Standardised effect of each error source. (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422231" cy="2009846"/>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w:t>
      </w:r>
    </w:p>
    <w:tbl>
      <w:tblPr>
        <w:tblStyle w:val="Table"/>
        <w:tblW w:type="pct" w:w="5000"/>
        <w:tblLayout w:type="fixed"/>
        <w:tblLook w:firstRow="1" w:lastRow="0" w:firstColumn="0" w:lastColumn="0" w:noHBand="0" w:noVBand="0" w:val="0020"/>
      </w:tblPr>
      <w:tblGrid>
        <w:gridCol w:w="950"/>
        <w:gridCol w:w="1267"/>
        <w:gridCol w:w="1267"/>
        <w:gridCol w:w="1267"/>
        <w:gridCol w:w="1267"/>
        <w:gridCol w:w="950"/>
        <w:gridCol w:w="950"/>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jc w:val="right"/>
            </w:pPr>
            <w:r>
              <w:t xml:space="preserve">Best fit</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jc w:val="right"/>
            </w:pPr>
            <w:r>
              <w:t xml:space="preserve">—</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jc w:val="right"/>
            </w:pPr>
            <w:r>
              <w:t xml:space="preserve">—</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jc w:val="right"/>
            </w:pPr>
            <w:r>
              <w:t xml:space="preserve">0.996</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0.997</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jc w:val="right"/>
            </w:pPr>
            <w:r>
              <w:t xml:space="preserve">0.995-1.062</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jc w:val="right"/>
            </w:pPr>
            <w:r>
              <w:t xml:space="preserve">—</w:t>
            </w: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jc w:val="right"/>
            </w:pPr>
            <w:r>
              <w:t xml:space="preserve">0.995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Best fit: the smallest RMSE reachable anywhere in the candidate library under that perturbation, as a multiple of the realised observation-noise RMSE of the same draw. A value near one means the perturbation is not visible in the aggregate residual.</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w:t>
      </w:r>
    </w:p>
    <w:bookmarkEnd w:id="74"/>
    <w:bookmarkEnd w:id="75"/>
    <w:bookmarkStart w:id="81" w:name="X5c6fbb3654315815bfb725b2f40781d28e6ad47"/>
    <w:p>
      <w:pPr>
        <w:pStyle w:val="Heading2"/>
      </w:pPr>
      <w:r>
        <w:t xml:space="preserve">3.4 Structural heterogeneity and grouped effective parameters</w:t>
      </w:r>
    </w:p>
    <w:bookmarkStart w:id="76" w:name="Xb5a3e0e6d40588ac03e6f586d3394d3f246b935"/>
    <w:p>
      <w:pPr>
        <w:pStyle w:val="Heading3"/>
      </w:pPr>
      <w:r>
        <w:t xml:space="preserve">3.4.1 Symmetric within-zone heterogeneity leaves no resolvable bias</w:t>
      </w:r>
    </w:p>
    <w:p>
      <w:pPr>
        <w:pStyle w:val="FirstParagraph"/>
      </w:pPr>
      <w:r>
        <w:t xml:space="preserve">Sections 3.2 and 3.3 treated each synthetic zone as internally homogeneous, whereas field wall</w:t>
      </w:r>
      <w:r>
        <w:t xml:space="preserve"> </w:t>
      </w:r>
      <w:r>
        <w:t xml:space="preserve">reactivity varies with pipe condition</w:t>
      </w:r>
      <w:r>
        <w:t xml:space="preserve"> </w:t>
      </w:r>
      <w:r>
        <w:t xml:space="preserve">(Hallam</w:t>
      </w:r>
      <w:r>
        <w:t xml:space="preserve"> </w:t>
      </w:r>
      <w:r>
        <w:rPr>
          <w:i/>
          <w:iCs/>
        </w:rPr>
        <w:t xml:space="preserve">et al.</w:t>
      </w:r>
      <w:r>
        <w:t xml:space="preserve">, 2002)</w:t>
      </w:r>
      <w:r>
        <w:t xml:space="preserve"> </w:t>
      </w:r>
      <w:r>
        <w:t xml:space="preserve">and is unlikely to be uniform within any</w:t>
      </w:r>
      <w:r>
        <w:t xml:space="preserve"> </w:t>
      </w:r>
      <w:r>
        <w:t xml:space="preserve">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Aggregate fit quality gave little warning here. The grid-based residual rises from its</w:t>
      </w:r>
      <w:r>
        <w:t xml:space="preserve"> </w:t>
      </w:r>
      <w:r>
        <w:t xml:space="preserve">homogeneous resolution floor of 0.0055 mg L</w:t>
      </w:r>
      <w:r>
        <w:rPr>
          <w:vertAlign w:val="superscript"/>
        </w:rPr>
        <w:t xml:space="preserve">-1</w:t>
      </w:r>
      <w:r>
        <w:t xml:space="preserve"> </w:t>
      </w:r>
      <w:r>
        <w:t xml:space="preserve">to 0.0068, leaving 0.0013 attributable to the</w:t>
      </w:r>
      <w:r>
        <w:t xml:space="preserve"> </w:t>
      </w:r>
      <w:r>
        <w:t xml:space="preserve">imposed heterogeneity, and the best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What these 25 fields</w:t>
      </w:r>
      <w:r>
        <w:t xml:space="preserve"> </w:t>
      </w:r>
      <w:r>
        <w:t xml:space="preserve">establish is therefore a negative result at the resolution of this design. No systematic mean</w:t>
      </w:r>
      <w:r>
        <w:t xml:space="preserve"> </w:t>
      </w:r>
      <w:r>
        <w:t xml:space="preserve">displacement was resolvable against the field-to-field scatter under the fixed observation-noise</w:t>
      </w:r>
      <w:r>
        <w:t xml:space="preserve"> </w:t>
      </w:r>
      <w:r>
        <w:t xml:space="preserve">realisation used throughout, which is weaker than a demonstration that symmetric jitter cancels</w:t>
      </w:r>
      <w:r>
        <w:t xml:space="preserve"> </w:t>
      </w:r>
      <w:r>
        <w:t xml:space="preserve">exactly, and establishing even that required a paired control and replication over fields.</w:t>
      </w:r>
    </w:p>
    <w:bookmarkEnd w:id="76"/>
    <w:bookmarkStart w:id="80"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while holding each zone’s arithmetic mean fixed separates two candidate</w:t>
      </w:r>
      <w:r>
        <w:t xml:space="preserve"> </w:t>
      </w:r>
      <w:r>
        <w:t xml:space="preserve">targets for a homogeneous grouped fit, the arithmetic mean and a length-weighted directional</w:t>
      </w:r>
      <w:r>
        <w:t xml:space="preserve"> </w:t>
      </w:r>
      <w:r>
        <w:t xml:space="preserve">comparator. In the paired reference realisation the control-adjusted displacements were −1.55,</w:t>
      </w:r>
      <w:r>
        <w:t xml:space="preserve"> </w:t>
      </w:r>
      <w:r>
        <w:t xml:space="preserve">−1.89 and −1.65 baseline posterior standard deviations for old, average and new, while the best</w:t>
      </w:r>
      <w:r>
        <w:t xml:space="preserve"> </w:t>
      </w:r>
      <w:r>
        <w:t xml:space="preserve">RMSE remained 0.0968 mg L</w:t>
      </w:r>
      <w:r>
        <w:rPr>
          <w:vertAlign w:val="superscript"/>
        </w:rPr>
        <w:t xml:space="preserve">-1</w:t>
      </w:r>
      <w:r>
        <w:t xml:space="preserve"> </w:t>
      </w:r>
      <w:r>
        <w:t xml:space="preserve">against a realised noise RMSE of 0.0973.</w:t>
      </w:r>
    </w:p>
    <w:p>
      <w:pPr>
        <w:pStyle w:val="BodyText"/>
      </w:pPr>
      <w:r>
        <w:t xml:space="preserve">Across 30 noise realisations at</w:t>
      </w:r>
      <w:r>
        <w:t xml:space="preserve"> </w:t>
      </w:r>
      <m:oMath>
        <m:r>
          <m:t>λ</m:t>
        </m:r>
        <m:r>
          <m:rPr>
            <m:sty m:val="p"/>
          </m:rPr>
          <m:t>=</m:t>
        </m:r>
        <m:r>
          <m:t>0.50</m:t>
        </m:r>
      </m:oMath>
      <w:r>
        <w:t xml:space="preserve"> </w:t>
      </w:r>
      <w:r>
        <w:t xml:space="preserve">the median raw fractions of the</w:t>
      </w:r>
      <w:r>
        <w:t xml:space="preserve"> </w:t>
      </w:r>
      <w:r>
        <w:t xml:space="preserve">arithmetic-to-length-weighted gap travelled were 0.86, 1.12 and 0.92. Their 5th-to-95th ranges</w:t>
      </w:r>
      <w:r>
        <w:t xml:space="preserve"> </w:t>
      </w:r>
      <w:r>
        <w:t xml:space="preserve">overlap and all contain unity, so the zones cannot be ordered by displacement magnitude; the</w:t>
      </w:r>
      <w:r>
        <w:t xml:space="preserve"> </w:t>
      </w:r>
      <w:r>
        <w:t xml:space="preserve">apparent average-zone overshoot in Figure 5C is not stable across draws. At</w:t>
      </w:r>
      <w:r>
        <w:t xml:space="preserve"> </w:t>
      </w:r>
      <m:oMath>
        <m:r>
          <m:t>λ</m:t>
        </m:r>
        <m:r>
          <m:rPr>
            <m:sty m:val="p"/>
          </m:rPr>
          <m:t>=</m:t>
        </m:r>
        <m:r>
          <m:t>0.75</m:t>
        </m:r>
      </m:oMath>
      <w:r>
        <w:t xml:space="preserve"> </w:t>
      </w:r>
      <w:r>
        <w:t xml:space="preserve">all</w:t>
      </w:r>
      <w:r>
        <w:t xml:space="preserve"> </w:t>
      </w:r>
      <w:r>
        <w:t xml:space="preserve">three intervals exclude zero, resolving movement in the length-weighted direction but not its</w:t>
      </w:r>
      <w:r>
        <w:t xml:space="preserve"> </w:t>
      </w:r>
      <w:r>
        <w:t xml:space="preserve">size.</w:t>
      </w:r>
    </w:p>
    <w:p>
      <w:pPr>
        <w:pStyle w:val="BodyText"/>
      </w:pPr>
      <w:r>
        <w:t xml:space="preserve">The informal comparator did not attenuate the effect uniformly. For the old zone it returned only</w:t>
      </w:r>
      <w:r>
        <w:t xml:space="preserve"> </w:t>
      </w:r>
      <w:r>
        <w:t xml:space="preserve">46% to 59% of the formal displacement at every non-zero amplitude, whereas the average-zone</w:t>
      </w:r>
      <w:r>
        <w:t xml:space="preserve"> </w:t>
      </w:r>
      <w:r>
        <w:t xml:space="preserve">informal fraction</w:t>
      </w:r>
      <w:r>
        <w:t xml:space="preserve"> </w:t>
      </w:r>
      <w:r>
        <w:rPr>
          <w:i/>
          <w:iCs/>
        </w:rPr>
        <w:t xml:space="preserve">exceeds</w:t>
      </w:r>
      <w:r>
        <w:t xml:space="preserve"> </w:t>
      </w:r>
      <w:r>
        <w:t xml:space="preserve">the formal one at</w:t>
      </w:r>
      <w:r>
        <w:t xml:space="preserve"> </w:t>
      </w:r>
      <m:oMath>
        <m:r>
          <m:t>λ</m:t>
        </m:r>
        <m:r>
          <m:rPr>
            <m:sty m:val="p"/>
          </m:rPr>
          <m:t>=</m:t>
        </m:r>
        <m:r>
          <m:t>0.25</m:t>
        </m:r>
      </m:oMath>
      <w:r>
        <w:t xml:space="preserve"> </w:t>
      </w:r>
      <w:r>
        <w:t xml:space="preserve">and 0.50 and the new-zone</w:t>
      </w:r>
      <w:r>
        <w:t xml:space="preserve"> </w:t>
      </w:r>
      <w:r>
        <w:t xml:space="preserve">attenuation is mild throughout. The effect of the informal rule is therefore zone-specific: where</w:t>
      </w:r>
      <w:r>
        <w:t xml:space="preserve"> </w:t>
      </w:r>
      <w:r>
        <w:t xml:space="preserve">it does attenuate, a study relying on it would understate how far structural misspecification</w:t>
      </w:r>
      <w:r>
        <w:t xml:space="preserve"> </w:t>
      </w:r>
      <w:r>
        <w:t xml:space="preserve">moves that coefficient, but the halving seen for old cannot be assumed for the weakly decaying</w:t>
      </w:r>
      <w:r>
        <w:t xml:space="preserve"> </w:t>
      </w:r>
      <w:r>
        <w:t xml:space="preserve">zones. The full amplitude sweep is reported in Table E4.</w:t>
      </w:r>
    </w:p>
    <w:p>
      <w:pPr>
        <w:pStyle w:val="CaptionedFigure"/>
      </w:pPr>
      <w:r>
        <w:drawing>
          <wp:inline>
            <wp:extent cx="5681196" cy="2041930"/>
            <wp:effectExtent b="0" l="0" r="0" t="0"/>
            <wp:docPr descr="Figure 5. Symmetric and structured within-zone heterogeneity. Increments in (A) and (B) are in baseline posterior standard deviations. The displacement fraction f_j in (C) is raw, summarised by median and 5–95% range over 30 noise realisations, with the single control-adjusted reference realisation marked faintly." title="" id="78" name="Picture"/>
            <a:graphic>
              <a:graphicData uri="http://schemas.openxmlformats.org/drawingml/2006/picture">
                <pic:pic>
                  <pic:nvPicPr>
                    <pic:cNvPr descr="figures/paper/fig5_symmetric_vs_structured.png" id="79" name="Picture"/>
                    <pic:cNvPicPr>
                      <a:picLocks noChangeArrowheads="1" noChangeAspect="1"/>
                    </pic:cNvPicPr>
                  </pic:nvPicPr>
                  <pic:blipFill>
                    <a:blip r:embed="rId77"/>
                    <a:stretch>
                      <a:fillRect/>
                    </a:stretch>
                  </pic:blipFill>
                  <pic:spPr bwMode="auto">
                    <a:xfrm>
                      <a:off x="0" y="0"/>
                      <a:ext cx="5681196" cy="2041930"/>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Increments in (A) and (B) are in baseline posterior standard deviations. The displacement fraction</w:t>
      </w:r>
      <w:r>
        <w:t xml:space="preserve"> </w:t>
      </w:r>
      <m:oMath>
        <m:sSub>
          <m:e>
            <m:r>
              <m:t>f</m:t>
            </m:r>
          </m:e>
          <m:sub>
            <m:r>
              <m:t>j</m:t>
            </m:r>
          </m:sub>
        </m:sSub>
      </m:oMath>
      <w:r>
        <w:t xml:space="preserve"> </w:t>
      </w:r>
      <w:r>
        <w:t xml:space="preserve">in (C) is raw, summarised by median and 5–95% range over 30 noise realisations, with the single control-adjusted reference realisation marked faintly.</w:t>
      </w:r>
    </w:p>
    <w:bookmarkEnd w:id="80"/>
    <w:bookmarkEnd w:id="81"/>
    <w:bookmarkStart w:id="88" w:name="X44cb885e018a13507da67f983d6df8610da438a"/>
    <w:p>
      <w:pPr>
        <w:pStyle w:val="Heading2"/>
      </w:pPr>
      <w:r>
        <w:t xml:space="preserve">3.5 Predictive accuracy is not parameter identification</w:t>
      </w:r>
    </w:p>
    <w:bookmarkStart w:id="82" w:name="leaving-out-one-monitor"/>
    <w:p>
      <w:pPr>
        <w:pStyle w:val="Heading3"/>
      </w:pPr>
      <w:r>
        <w:t xml:space="preserve">3.5.1 Leaving out one monitor</w:t>
      </w:r>
    </w:p>
    <w:p>
      <w:pPr>
        <w:pStyle w:val="FirstParagraph"/>
      </w:pPr>
      <w:r>
        <w:t xml:space="preserve">Withholding each of the six monitors in turn and refitting gives held-out RMSEs between 0.092 and</w:t>
      </w:r>
      <w:r>
        <w:t xml:space="preserve"> </w:t>
      </w:r>
      <w:r>
        <w:t xml:space="preserve">0.103 mg L</w:t>
      </w:r>
      <w:r>
        <w:rPr>
          <w:vertAlign w:val="superscript"/>
        </w:rPr>
        <w:t xml:space="preserve">-1</w:t>
      </w:r>
      <w:r>
        <w:t xml:space="preserve"> </w:t>
      </w:r>
      <w:r>
        <w:t xml:space="preserve">against an observation noise standard deviation of 0.1, with 90% predictive</w:t>
      </w:r>
      <w:r>
        <w:t xml:space="preserve"> </w:t>
      </w:r>
      <w:r>
        <w:t xml:space="preserve">interval coverage between 0.90 and 0.94 (Table 5). Taken at face value that is good held-out</w:t>
      </w:r>
      <w:r>
        <w:t xml:space="preserve"> </w:t>
      </w:r>
      <w:r>
        <w:t xml:space="preserve">performance at all six monitors.</w:t>
      </w:r>
    </w:p>
    <w:p>
      <w:pPr>
        <w:pStyle w:val="BodyText"/>
      </w:pPr>
      <w:r>
        <w:t xml:space="preserve">Two observations qualify that reading. Each zone retains its second monitor throughout, so the</w:t>
      </w:r>
      <w:r>
        <w:t xml:space="preserve"> </w:t>
      </w:r>
      <w:r>
        <w:t xml:space="preserve">test establishes prediction at an unseen monitor while its zone remains locally observed. And the</w:t>
      </w:r>
      <w:r>
        <w:t xml:space="preserve"> </w:t>
      </w:r>
      <w:r>
        <w:t xml:space="preserve">informal comparator achieved almost the same held-out RMSE, 0.092 to 0.102 mg L</w:t>
      </w:r>
      <w:r>
        <w:rPr>
          <w:vertAlign w:val="superscript"/>
        </w:rPr>
        <w:t xml:space="preserve">-1</w:t>
      </w:r>
      <w:r>
        <w:t xml:space="preserve">, despite the</w:t>
      </w:r>
      <w:r>
        <w:t xml:space="preserve"> </w:t>
      </w:r>
      <w:r>
        <w:t xml:space="preserve">much broader parameter distributions of Section 3.2, so a weighting rule can extract very little</w:t>
      </w:r>
      <w:r>
        <w:t xml:space="preserve"> </w:t>
      </w:r>
      <w:r>
        <w:t xml:space="preserve">parameter information and still predict concentrations about as well.</w:t>
      </w:r>
    </w:p>
    <w:bookmarkEnd w:id="82"/>
    <w:bookmarkStart w:id="83" w:name="leaving-out-a-whole-zone"/>
    <w:p>
      <w:pPr>
        <w:pStyle w:val="Heading3"/>
      </w:pPr>
      <w:r>
        <w:t xml:space="preserve">3.5.2 Leaving out a whole zone</w:t>
      </w:r>
    </w:p>
    <w:p>
      <w:pPr>
        <w:pStyle w:val="FirstParagraph"/>
      </w:pPr>
      <w:r>
        <w:t xml:space="preserve">Withholding both monitors of a zone removed the local update for the old and average</w:t>
      </w:r>
      <w:r>
        <w:t xml:space="preserve"> </w:t>
      </w:r>
      <w:r>
        <w:t xml:space="preserve">coefficients. Both returned to their prior midpoints to three decimal places and retained 100% of</w:t>
      </w:r>
      <w:r>
        <w:t xml:space="preserve"> </w:t>
      </w:r>
      <w:r>
        <w:t xml:space="preserve">the prior standard deviation. The new coefficient retained about 57%, consistent with its</w:t>
      </w:r>
      <w:r>
        <w:t xml:space="preserve"> </w:t>
      </w:r>
      <w:r>
        <w:t xml:space="preserve">upstream position and with the cross-zone sensitivity visible in the Fisher analysis of Section</w:t>
      </w:r>
      <w:r>
        <w:t xml:space="preserve"> </w:t>
      </w:r>
      <w:r>
        <w:t xml:space="preserve">3.3.3.</w:t>
      </w:r>
    </w:p>
    <w:p>
      <w:pPr>
        <w:pStyle w:val="BodyText"/>
      </w:pPr>
      <w:r>
        <w:t xml:space="preserve">Held-out prediction nevertheless stayed near the noise scale, with RMSEs of</w:t>
      </w:r>
      <w:r>
        <w:t xml:space="preserve"> </w:t>
      </w:r>
      <w:r>
        <w:t xml:space="preserve">0.0999, 0.0988 and 0.1006 mg L</w:t>
      </w:r>
      <w:r>
        <w:rPr>
          <w:vertAlign w:val="superscript"/>
        </w:rPr>
        <w:t xml:space="preserve">-1</w:t>
      </w:r>
      <w:r>
        <w:t xml:space="preserve"> </w:t>
      </w:r>
      <w:r>
        <w:t xml:space="preserve">and coverage between 0.90 and 0.96 (Figure 6). Repeating the</w:t>
      </w:r>
      <w:r>
        <w:t xml:space="preserve"> </w:t>
      </w:r>
      <w:r>
        <w:t xml:space="preserve">design under ±20% per-pipe heterogeneity across eight independent fields produced the same</w:t>
      </w:r>
      <w:r>
        <w:t xml:space="preserve"> </w:t>
      </w:r>
      <w:r>
        <w:t xml:space="preserve">qualitative separation, with errors at unmonitored junctions between 0.8% and 1.2%. In a separate</w:t>
      </w:r>
      <w:r>
        <w:t xml:space="preserve"> </w:t>
      </w:r>
      <w:r>
        <w:t xml:space="preserve">spatial validation using all six monitors, predictions at twenty junctions that never entered any</w:t>
      </w:r>
      <w:r>
        <w:t xml:space="preserve"> </w:t>
      </w:r>
      <w:r>
        <w:t xml:space="preserve">calibration had a median normalised mean absolute error of 0.83% under the primary likelihood,</w:t>
      </w:r>
      <w:r>
        <w:t xml:space="preserve"> </w:t>
      </w:r>
      <w:r>
        <w:t xml:space="preserve">with an interquartile range of 0.41% to 1.45%.</w:t>
      </w:r>
    </w:p>
    <w:p>
      <w:pPr>
        <w:pStyle w:val="BodyText"/>
      </w:pPr>
      <w:r>
        <w:t xml:space="preserve">The predictive bands at those junctions are less flattering and are reported for that reason.</w:t>
      </w:r>
      <w:r>
        <w:t xml:space="preserve"> </w:t>
      </w:r>
      <w:r>
        <w:t xml:space="preserve">Against a nominal 90%, median pointwise coverage was 1.00 under both band</w:t>
      </w:r>
      <w:r>
        <w:t xml:space="preserve"> </w:t>
      </w:r>
      <w:r>
        <w:t xml:space="preserve">constructions and both weighting rules, so the bands are conservative rather than calibrated in</w:t>
      </w:r>
      <w:r>
        <w:t xml:space="preserve"> </w:t>
      </w:r>
      <w:r>
        <w:t xml:space="preserve">this model-matched design, and the same caution applies to the apparently near-nominal coverage of the held-out monitor</w:t>
      </w:r>
      <w:r>
        <w:t xml:space="preserve"> </w:t>
      </w:r>
      <w:r>
        <w:t xml:space="preserve">designs. Cross-coefficient compensation was small, the largest shift in a</w:t>
      </w:r>
      <w:r>
        <w:t xml:space="preserve"> </w:t>
      </w:r>
      <w:r>
        <w:t xml:space="preserve">retained coefficient being 0.0086 m day</w:t>
      </w:r>
      <w:r>
        <w:rPr>
          <w:vertAlign w:val="superscript"/>
        </w:rPr>
        <w:t xml:space="preserve">-1</w:t>
      </w:r>
      <w:r>
        <w:t xml:space="preserve">. For old and average the prior midpoints lie close</w:t>
      </w:r>
      <w:r>
        <w:t xml:space="preserve"> </w:t>
      </w:r>
      <w:r>
        <w:t xml:space="preserve">enough to the imposed truths that a prior-dominated coefficient still predicts within the 0.1 mg</w:t>
      </w:r>
      <w:r>
        <w:t xml:space="preserve"> </w:t>
      </w:r>
      <w:r>
        <w:t xml:space="preserve">L</w:t>
      </w:r>
      <w:r>
        <w:rPr>
          <w:vertAlign w:val="superscript"/>
        </w:rPr>
        <w:t xml:space="preserve">-1</w:t>
      </w:r>
      <w:r>
        <w:t xml:space="preserve"> </w:t>
      </w:r>
      <w:r>
        <w:t xml:space="preserve">noise scale, whereas the new coefficient retains genuine information from monitors outside</w:t>
      </w:r>
      <w:r>
        <w:t xml:space="preserve"> </w:t>
      </w:r>
      <w:r>
        <w:t xml:space="preserve">its own zone. Good held-out prediction therefore did not imply local parameter identification.</w:t>
      </w:r>
    </w:p>
    <w:bookmarkEnd w:id="83"/>
    <w:bookmarkStart w:id="87" w:name="X68f19514e01396656c07c61bd9e2aff5b14a223"/>
    <w:p>
      <w:pPr>
        <w:pStyle w:val="Heading3"/>
      </w:pPr>
      <w:r>
        <w:t xml:space="preserve">3.5.3 What predictive validation does and does not license</w:t>
      </w:r>
    </w:p>
    <w:p>
      <w:pPr>
        <w:pStyle w:val="FirstParagraph"/>
      </w:pPr>
      <w:r>
        <w:t xml:space="preserve">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w:t>
      </w:r>
      <w:r>
        <w:t xml:space="preserve"> </w:t>
      </w:r>
      <w:r>
        <w:t xml:space="preserve">passes. Nor is any of this an external validation, for the reasons set out in Section 3.7.3.</w:t>
      </w:r>
    </w:p>
    <w:p>
      <w:pPr>
        <w:pStyle w:val="CaptionedFigure"/>
      </w:pPr>
      <w:r>
        <w:drawing>
          <wp:inline>
            <wp:extent cx="5591819" cy="2470484"/>
            <wp:effectExtent b="0" l="0" r="0" t="0"/>
            <wp:docPr descr="Figure 6. Leave-one-zone-out parameter and prediction results. Left, median coefficient over 30 realisations against prior support, midpoint and truth; the bar is the median within-realisation posterior standard deviation at a Gaussian 90% width. Right, held-out RMSE against the 0.1 mg L-1 noise scale, bars showing the interquartile range." title="" id="85" name="Picture"/>
            <a:graphic>
              <a:graphicData uri="http://schemas.openxmlformats.org/drawingml/2006/picture">
                <pic:pic>
                  <pic:nvPicPr>
                    <pic:cNvPr descr="figures/paper/fig6_prediction_without_identification.png" id="86" name="Picture"/>
                    <pic:cNvPicPr>
                      <a:picLocks noChangeArrowheads="1" noChangeAspect="1"/>
                    </pic:cNvPicPr>
                  </pic:nvPicPr>
                  <pic:blipFill>
                    <a:blip r:embed="rId84"/>
                    <a:stretch>
                      <a:fillRect/>
                    </a:stretch>
                  </pic:blipFill>
                  <pic:spPr bwMode="auto">
                    <a:xfrm>
                      <a:off x="0" y="0"/>
                      <a:ext cx="5591819" cy="2470484"/>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Leave-one-zone-out parameter and prediction results.</w:t>
      </w:r>
      <w:r>
        <w:t xml:space="preserve"> </w:t>
      </w:r>
      <w:r>
        <w:t xml:space="preserve">Left, median coefficient over 30 realisations against prior support, midpoint and truth; the bar is the median within-realisation posterior standard deviation at a Gaussian 90% width. Right, held-out RMSE against the 0.1 mg L</w:t>
      </w:r>
      <w:r>
        <w:rPr>
          <w:vertAlign w:val="superscript"/>
        </w:rPr>
        <w:t xml:space="preserve">-1</w:t>
      </w:r>
      <w:r>
        <w:t xml:space="preserve"> </w:t>
      </w:r>
      <w:r>
        <w:t xml:space="preserve">noise scale, bars showing the interquartile range.</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Own-coefficient error is measured against the true zone value.</w:t>
      </w:r>
    </w:p>
    <w:bookmarkEnd w:id="87"/>
    <w:bookmarkEnd w:id="88"/>
    <w:bookmarkStart w:id="95" w:name="X18a78fb24137a841c027c2d5aa826b00ca777e2"/>
    <w:p>
      <w:pPr>
        <w:pStyle w:val="Heading2"/>
      </w:pPr>
      <w:r>
        <w:t xml:space="preserve">3.6 Propagation to operational low-chlorine risk</w:t>
      </w:r>
    </w:p>
    <w:bookmarkStart w:id="89" w:name="Xc055e23747760d795e741d8a0b84e2d3ce1b6f3"/>
    <w:p>
      <w:pPr>
        <w:pStyle w:val="Heading3"/>
      </w:pPr>
      <w:r>
        <w:t xml:space="preserve">3.6.1 Duration, depth and hydraulic interpretation</w:t>
      </w:r>
    </w:p>
    <w:p>
      <w:pPr>
        <w:pStyle w:val="FirstParagraph"/>
      </w:pPr>
      <w:r>
        <w:t xml:space="preserve">The ensemble was propagated to all 92 junctions and summarised with several metrics rather than</w:t>
      </w:r>
      <w:r>
        <w:t xml:space="preserve"> </w:t>
      </w:r>
      <w:r>
        <w:t xml:space="preserve">one. The values in this section carry the baseline weights and are conditional on its single</w:t>
      </w:r>
      <w:r>
        <w:t xml:space="preserve"> </w:t>
      </w:r>
      <w:r>
        <w:t xml:space="preserve">reference observation realisation. Node 145 spends 12.0 h below 0.2 mg L</w:t>
      </w:r>
      <w:r>
        <w:rPr>
          <w:vertAlign w:val="superscript"/>
        </w:rPr>
        <w:t xml:space="preserve">-1</w:t>
      </w:r>
      <w:r>
        <w:t xml:space="preserve">, accumulates a deficit of 1.68 mg L</w:t>
      </w:r>
      <w:r>
        <w:rPr>
          <w:vertAlign w:val="superscript"/>
        </w:rPr>
        <w:t xml:space="preserve">-1</w:t>
      </w:r>
      <w:r>
        <w:t xml:space="preserve"> </w:t>
      </w:r>
      <w:r>
        <w:t xml:space="preserve">h and has a</w:t>
      </w:r>
      <w:r>
        <w:t xml:space="preserve"> </w:t>
      </w:r>
      <w:r>
        <w:t xml:space="preserve">median window minimum of 0.031 mg L</w:t>
      </w:r>
      <w:r>
        <w:rPr>
          <w:vertAlign w:val="superscript"/>
        </w:rPr>
        <w:t xml:space="preserve">-1</w:t>
      </w:r>
      <w:r>
        <w:t xml:space="preserve">. Node 129 spends twice as long below the threshold yet</w:t>
      </w:r>
      <w:r>
        <w:t xml:space="preserve"> </w:t>
      </w:r>
      <w:r>
        <w:t xml:space="preserve">accumulates only 0.84 mg L</w:t>
      </w:r>
      <w:r>
        <w:rPr>
          <w:vertAlign w:val="superscript"/>
        </w:rPr>
        <w:t xml:space="preserve">-1</w:t>
      </w:r>
      <w:r>
        <w:t xml:space="preserve"> </w:t>
      </w:r>
      <w:r>
        <w:t xml:space="preserve">h, with a median minimum of 0.147. Duration measures persistence and deficit combines it with depth, so the two rank the network</w:t>
      </w:r>
      <w:r>
        <w:t xml:space="preserve"> </w:t>
      </w:r>
      <w:r>
        <w:t xml:space="preserve">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89"/>
    <w:bookmarkStart w:id="90"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whole-network ranking appears stable.</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0"/>
    <w:bookmarkStart w:id="94"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Adding the prescribed temperature uncertainty at the 12</w:t>
      </w:r>
      <w:r>
        <w:t xml:space="preserve"> </w:t>
      </w:r>
      <w:r>
        <w:t xml:space="preserve">degree Celsius baseline moves the network-mean cumulative deficit only from 0.218 to</w:t>
      </w:r>
      <w:r>
        <w:t xml:space="preserve"> </w:t>
      </w:r>
      <w:r>
        <w:t xml:space="preserve">0.222 mg L</w:t>
      </w:r>
      <w:r>
        <w:rPr>
          <w:vertAlign w:val="superscript"/>
        </w:rPr>
        <w:t xml:space="preserve">-1</w:t>
      </w:r>
      <w:r>
        <w:t xml:space="preserve"> </w:t>
      </w:r>
      <w:r>
        <w:t xml:space="preserve">h, leaving the breach count and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rises from 55.4 to 64.7 and 67.8 L s</w:t>
      </w:r>
      <w:r>
        <w:rPr>
          <w:vertAlign w:val="superscript"/>
        </w:rPr>
        <w:t xml:space="preserve">-1</w:t>
      </w:r>
      <w:r>
        <w:t xml:space="preserve">, and the network-mean cumulative deficit from</w:t>
      </w:r>
      <w:r>
        <w:t xml:space="preserve"> </w:t>
      </w:r>
      <w:r>
        <w:t xml:space="preserve">0.222 to 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The dose scales the reservoir boundary concentration and the tank initial concentration together,</w:t>
      </w:r>
      <w:r>
        <w:t xml:space="preserve"> </w:t>
      </w:r>
      <w:r>
        <w:t xml:space="preserve">so the whole source regime moves consistently. Demand at risk falls only to 64.7 L s</w:t>
      </w:r>
      <w:r>
        <w:rPr>
          <w:vertAlign w:val="superscript"/>
        </w:rPr>
        <w:t xml:space="preserve">-1</w:t>
      </w:r>
      <w:r>
        <w:t xml:space="preserve"> </w:t>
      </w:r>
      <w:r>
        <w:t xml:space="preserve">at both</w:t>
      </w:r>
      <w:r>
        <w:t xml:space="preserve"> </w:t>
      </w:r>
      <w:r>
        <w:t xml:space="preserve">doses, however, and never returns to the baseline 55.4. The identical figure at both doses is a plateau of the binary classification, not evidence</w:t>
      </w:r>
      <w:r>
        <w:t xml:space="preserve"> </w:t>
      </w:r>
      <w:r>
        <w:t xml:space="preserve">that the extra 15% achieved nothing. The ageing multipliers are illustrative, no by-product, taste or booster constraint 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6724"/>
            <wp:effectExtent b="0" l="0" r="0" t="0"/>
            <wp:docPr descr="Figure 7. Risk robustness is metric-specific. (A) Rank of the leading nodes under \bar{P} = E[D]/48 against cumulative deficit E[A]. (B) Top-six overlap with the reference ranking under three selected perturbations, each over 30 noise realisations, both metrics. (C) Expected duration against deficit for all 92 junctions." title="" id="92" name="Picture"/>
            <a:graphic>
              <a:graphicData uri="http://schemas.openxmlformats.org/drawingml/2006/picture">
                <pic:pic>
                  <pic:nvPicPr>
                    <pic:cNvPr descr="figures/paper/fig7_metric_specific_risk.png" id="93" name="Picture"/>
                    <pic:cNvPicPr>
                      <a:picLocks noChangeArrowheads="1" noChangeAspect="1"/>
                    </pic:cNvPicPr>
                  </pic:nvPicPr>
                  <pic:blipFill>
                    <a:blip r:embed="rId91"/>
                    <a:stretch>
                      <a:fillRect/>
                    </a:stretch>
                  </pic:blipFill>
                  <pic:spPr bwMode="auto">
                    <a:xfrm>
                      <a:off x="0" y="0"/>
                      <a:ext cx="5720156" cy="2126724"/>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against cumulative deficit</w:t>
      </w:r>
      <w:r>
        <w:t xml:space="preserve"> </w:t>
      </w:r>
      <m:oMath>
        <m:r>
          <m:t>E</m:t>
        </m:r>
        <m:r>
          <m:rPr>
            <m:sty m:val="p"/>
          </m:rPr>
          <m:t>[</m:t>
        </m:r>
        <m:r>
          <m:t>A</m:t>
        </m:r>
        <m:r>
          <m:rPr>
            <m:sty m:val="p"/>
          </m:rPr>
          <m:t>]</m:t>
        </m:r>
      </m:oMath>
      <w:r>
        <w:t xml:space="preserve">. (B) Top-six overlap with the reference ranking under three selected perturbations, each over 30 noise realisations, both metrics. (C) Expected duration against deficit for all 92 junctions.</w:t>
      </w:r>
    </w:p>
    <w:bookmarkEnd w:id="94"/>
    <w:bookmarkEnd w:id="95"/>
    <w:bookmarkStart w:id="100" w:name="X7aae9a29c0c924fb0cf7cb400610c1dd13a5f2e"/>
    <w:p>
      <w:pPr>
        <w:pStyle w:val="Heading2"/>
      </w:pPr>
      <w:r>
        <w:t xml:space="preserve">3.7 Integrated implications, limitations and future work</w:t>
      </w:r>
    </w:p>
    <w:p>
      <w:pPr>
        <w:pStyle w:val="FirstParagraph"/>
      </w:pPr>
      <w:r>
        <w:t xml:space="preserve">Four qualifications recur across the results and are stated once here rather than repeated at</w:t>
      </w:r>
      <w:r>
        <w:t xml:space="preserve"> </w:t>
      </w:r>
      <w:r>
        <w:t xml:space="preserve">each occurrence. Intervals from different diagnostics carry different nominal levels and are not</w:t>
      </w:r>
      <w:r>
        <w:t xml:space="preserve"> </w:t>
      </w:r>
      <w:r>
        <w:t xml:space="preserve">a nested comparison. Interval widening and displacement answer different questions and are not</w:t>
      </w:r>
      <w:r>
        <w:t xml:space="preserve"> </w:t>
      </w:r>
      <w:r>
        <w:t xml:space="preserve">on a common scale. The length-weighted value is a directional comparator, not an estimand, a</w:t>
      </w:r>
      <w:r>
        <w:t xml:space="preserve"> </w:t>
      </w:r>
      <w:r>
        <w:t xml:space="preserve">common endpoint or a bound. The temperature, ageing and dosing results are</w:t>
      </w:r>
      <w:r>
        <w:t xml:space="preserve"> </w:t>
      </w:r>
      <w:r>
        <w:t xml:space="preserve">calibration-conditioned stress tests under the stated assumptions, not forecasts, and the</w:t>
      </w:r>
      <w:r>
        <w:t xml:space="preserve"> </w:t>
      </w:r>
      <w:r>
        <w:t xml:space="preserve">water-age association is descriptive rather than a significance test.</w:t>
      </w:r>
    </w:p>
    <w:bookmarkStart w:id="96"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two separate things intact: the posterior stays narrow, and the aggregate residual</w:t>
      </w:r>
      <w:r>
        <w:t xml:space="preserve"> </w:t>
      </w:r>
      <w:r>
        <w:t xml:space="preserve">stays near the noise level. Neither is evidence about the other, and neither reveals the bias.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 prediction errors stay close</w:t>
      </w:r>
      <w:r>
        <w:t xml:space="preserve"> </w:t>
      </w:r>
      <w:r>
        <w:t xml:space="preserve">to the observation-noise scale. Under bulk-decay misspecification and sensor bias, displacements</w:t>
      </w:r>
      <w:r>
        <w:t xml:space="preserve"> </w:t>
      </w:r>
      <w:r>
        <w:t xml:space="preserve">of several posterior standard deviations often left the leading set ranked by cumulative deficit</w:t>
      </w:r>
      <w:r>
        <w:t xml:space="preserve"> </w:t>
      </w:r>
      <w:r>
        <w:t xml:space="preserve">unchanged, while the ranking by time-averaged breach probability was considerably more</w:t>
      </w:r>
      <w:r>
        <w:t xml:space="preserve"> </w:t>
      </w:r>
      <w:r>
        <w:t xml:space="preserve">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6"/>
    <w:bookmarkStart w:id="97" w:name="methodological-implications"/>
    <w:p>
      <w:pPr>
        <w:pStyle w:val="Heading3"/>
      </w:pPr>
      <w:r>
        <w:t xml:space="preserve">3.7.2 Methodological implications</w:t>
      </w:r>
    </w:p>
    <w:p>
      <w:pPr>
        <w:pStyle w:val="FirstParagraph"/>
      </w:pPr>
      <w:r>
        <w:t xml:space="preserve">Four safeguards were necessary in these experiments, each following from a result above rather</w:t>
      </w:r>
      <w:r>
        <w:t xml:space="preserve"> </w:t>
      </w:r>
      <w:r>
        <w:t xml:space="preserve">than from general 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7"/>
    <w:bookmarkStart w:id="98"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 chlorine-concentration criteria but not the water-age or</w:t>
      </w:r>
      <w:r>
        <w:t xml:space="preserve"> </w:t>
      </w:r>
      <w:r>
        <w:t xml:space="preserve">cumulative-deficit criteria within the 168 h horizon. Absolute water-age and severity magnitudes</w:t>
      </w:r>
      <w:r>
        <w:t xml:space="preserve"> </w:t>
      </w:r>
      <w:r>
        <w:t xml:space="preserve">therefore remain horizon-dependent, even though the concentration field underlying the inference</w:t>
      </w:r>
      <w:r>
        <w:t xml:space="preserve"> </w:t>
      </w:r>
      <w:r>
        <w:t xml:space="preserve">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8"/>
    <w:bookmarkStart w:id="99"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99"/>
    <w:bookmarkEnd w:id="100"/>
    <w:bookmarkEnd w:id="101"/>
    <w:bookmarkStart w:id="102"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 separately computed local Fisher bound, a</w:t>
      </w:r>
      <w:r>
        <w:t xml:space="preserve"> </w:t>
      </w:r>
      <w:r>
        <w:t xml:space="preserve">continuous profile 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w:t>
      </w:r>
      <w:r>
        <w:t xml:space="preserve"> </w:t>
      </w:r>
      <w:r>
        <w:t xml:space="preserve">error, bulk-decay misspecification and structured within-zone heterogeneity instead displace the</w:t>
      </w:r>
      <w:r>
        <w:t xml:space="preserve"> </w:t>
      </w:r>
      <w:r>
        <w:t xml:space="preserve">estimate by several posterior standard deviations while leaving the aggregate residual near the</w:t>
      </w:r>
      <w:r>
        <w:t xml:space="preserve"> </w:t>
      </w:r>
      <w:r>
        <w:t xml:space="preserve">noise level, so in the cases tested here none of the three was revealed by that statistic.</w:t>
      </w:r>
      <w:r>
        <w:t xml:space="preserve"> </w:t>
      </w:r>
      <w:r>
        <w:t xml:space="preserve">Bulk-decay uncertainty costs precision as well, disproportionately for the two weakly decaying</w:t>
      </w:r>
      <w:r>
        <w:t xml:space="preserve"> </w:t>
      </w:r>
      <w:r>
        <w:t xml:space="preserve">zones. Under the local Fisher analysis, and the study-specific criterion that the Cramér–Rao</w:t>
      </w:r>
      <w:r>
        <w:t xml:space="preserve"> </w:t>
      </w:r>
      <w:r>
        <w:t xml:space="preserve">bound stay below the prior standard deviation, those two coefficients cease to be practically</w:t>
      </w:r>
      <w:r>
        <w:t xml:space="preserve"> </w:t>
      </w:r>
      <w:r>
        <w:t xml:space="preserve">identifiable from this six-monitor design once bulk decay and monitor-specific offsets are</w:t>
      </w:r>
      <w:r>
        <w:t xml:space="preserve"> </w:t>
      </w:r>
      <w:r>
        <w:t xml:space="preserve">treated as unknown together.</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yet held-out</w:t>
      </w:r>
      <w:r>
        <w:t xml:space="preserve"> </w:t>
      </w:r>
      <w:r>
        <w:t xml:space="preserve">prediction at those same monitors stayed at the observation-noise scale. Parameter displacements</w:t>
      </w:r>
      <w:r>
        <w:t xml:space="preserve"> </w:t>
      </w:r>
      <w:r>
        <w:t xml:space="preserve">of several standard deviations left whole-network rank correlations high, but the six-node</w:t>
      </w:r>
      <w:r>
        <w:t xml:space="preserve"> </w:t>
      </w:r>
      <w:r>
        <w:t xml:space="preserve">shortlist an operator would act on changed under some perturbations and not others, and which it</w:t>
      </w:r>
      <w:r>
        <w:t xml:space="preserve"> </w:t>
      </w:r>
      <w:r>
        <w:t xml:space="preserve">was depended on whether the ranking used expected 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2"/>
    <w:bookmarkStart w:id="103" w:name="acknowledgements"/>
    <w:p>
      <w:pPr>
        <w:pStyle w:val="Heading1"/>
      </w:pPr>
      <w:r>
        <w:t xml:space="preserve">Acknowledgements</w:t>
      </w:r>
    </w:p>
    <w:p>
      <w:pPr>
        <w:pStyle w:val="FirstParagraph"/>
      </w:pPr>
      <w:r>
        <w:t xml:space="preserve">The author thanks the supervisory team for guidance throughout the project. The EPANET Net3</w:t>
      </w:r>
      <w:r>
        <w:t xml:space="preserve"> </w:t>
      </w:r>
      <w:r>
        <w:t xml:space="preserve">example network is distributed with EPANET; all simulations were run through WNTR.</w:t>
      </w:r>
    </w:p>
    <w:bookmarkEnd w:id="103"/>
    <w:bookmarkStart w:id="157" w:name="references"/>
    <w:p>
      <w:pPr>
        <w:pStyle w:val="Heading1"/>
      </w:pPr>
      <w:r>
        <w:t xml:space="preserve">References</w:t>
      </w:r>
    </w:p>
    <w:bookmarkStart w:id="156" w:name="refs"/>
    <w:bookmarkStart w:id="105" w:name="ref-Aisopou2024"/>
    <w:p>
      <w:pPr>
        <w:pStyle w:val="Bibliography"/>
      </w:pPr>
      <w:r>
        <w:t xml:space="preserve">Aisopou, A. &amp; Stoianov, I. (2024) Evaluation of free-chlorine data from online sensors in a water supply network.</w:t>
      </w:r>
      <w:r>
        <w:t xml:space="preserve"> </w:t>
      </w:r>
      <w:r>
        <w:rPr>
          <w:i/>
          <w:iCs/>
        </w:rPr>
        <w:t xml:space="preserve">Engineering Proceedings</w:t>
      </w:r>
      <w:r>
        <w:t xml:space="preserve">. 69(1), 144.</w:t>
      </w:r>
      <w:r>
        <w:t xml:space="preserve"> </w:t>
      </w:r>
      <w:hyperlink r:id="rId104">
        <w:r>
          <w:rPr>
            <w:rStyle w:val="Hyperlink"/>
          </w:rPr>
          <w:t xml:space="preserve">10.3390/engproc2024069144</w:t>
        </w:r>
      </w:hyperlink>
      <w:r>
        <w:t xml:space="preserve">.</w:t>
      </w:r>
    </w:p>
    <w:bookmarkEnd w:id="105"/>
    <w:bookmarkStart w:id="107" w:name="ref-Anthropic2026Claude"/>
    <w:p>
      <w:pPr>
        <w:pStyle w:val="Bibliography"/>
      </w:pPr>
      <w:r>
        <w:t xml:space="preserve">Anthropic (2026)</w:t>
      </w:r>
      <w:r>
        <w:t xml:space="preserve"> </w:t>
      </w:r>
      <w:r>
        <w:t xml:space="preserve">Claude Opus 5</w:t>
      </w:r>
      <w:r>
        <w:t xml:space="preserve">. Large language model. Available at:</w:t>
      </w:r>
      <w:r>
        <w:t xml:space="preserve"> </w:t>
      </w:r>
      <w:hyperlink r:id="rId106">
        <w:r>
          <w:rPr>
            <w:rStyle w:val="Hyperlink"/>
          </w:rPr>
          <w:t xml:space="preserve">https://claude.ai</w:t>
        </w:r>
      </w:hyperlink>
      <w:r>
        <w:t xml:space="preserve"> </w:t>
      </w:r>
      <w:r>
        <w:t xml:space="preserve">(Accessed: 12 August 2026).</w:t>
      </w:r>
    </w:p>
    <w:bookmarkEnd w:id="107"/>
    <w:bookmarkStart w:id="109" w:name="ref-BevenBinley1992"/>
    <w:p>
      <w:pPr>
        <w:pStyle w:val="Bibliography"/>
      </w:pPr>
      <w:r>
        <w:t xml:space="preserve">Beven, K. &amp; Binley, A. (1992) The future of distributed models: Model calibration and uncertainty prediction.</w:t>
      </w:r>
      <w:r>
        <w:t xml:space="preserve"> </w:t>
      </w:r>
      <w:r>
        <w:rPr>
          <w:i/>
          <w:iCs/>
        </w:rPr>
        <w:t xml:space="preserve">Hydrological Processes</w:t>
      </w:r>
      <w:r>
        <w:t xml:space="preserve">. 6(3), 279–298.</w:t>
      </w:r>
      <w:r>
        <w:t xml:space="preserve"> </w:t>
      </w:r>
      <w:hyperlink r:id="rId108">
        <w:r>
          <w:rPr>
            <w:rStyle w:val="Hyperlink"/>
          </w:rPr>
          <w:t xml:space="preserve">10.1002/hyp.3360060305</w:t>
        </w:r>
      </w:hyperlink>
      <w:r>
        <w:t xml:space="preserve">.</w:t>
      </w:r>
    </w:p>
    <w:bookmarkEnd w:id="109"/>
    <w:bookmarkStart w:id="111" w:name="ref-BevenBinley2014"/>
    <w:p>
      <w:pPr>
        <w:pStyle w:val="Bibliography"/>
      </w:pPr>
      <w:r>
        <w:t xml:space="preserve">Beven, K. &amp; Binley, A. (2014)</w:t>
      </w:r>
      <w:r>
        <w:t xml:space="preserve"> </w:t>
      </w:r>
      <w:r>
        <w:t xml:space="preserve">GLUE</w:t>
      </w:r>
      <w:r>
        <w:t xml:space="preserve">: 20 years on.</w:t>
      </w:r>
      <w:r>
        <w:t xml:space="preserve"> </w:t>
      </w:r>
      <w:r>
        <w:rPr>
          <w:i/>
          <w:iCs/>
        </w:rPr>
        <w:t xml:space="preserve">Hydrological Processes</w:t>
      </w:r>
      <w:r>
        <w:t xml:space="preserve">. 28(24), 5897–5918.</w:t>
      </w:r>
      <w:r>
        <w:t xml:space="preserve"> </w:t>
      </w:r>
      <w:hyperlink r:id="rId110">
        <w:r>
          <w:rPr>
            <w:rStyle w:val="Hyperlink"/>
          </w:rPr>
          <w:t xml:space="preserve">10.1002/hyp.10082</w:t>
        </w:r>
      </w:hyperlink>
      <w:r>
        <w:t xml:space="preserve">.</w:t>
      </w:r>
    </w:p>
    <w:bookmarkEnd w:id="111"/>
    <w:bookmarkStart w:id="113" w:name="ref-Brun2001"/>
    <w:p>
      <w:pPr>
        <w:pStyle w:val="Bibliography"/>
      </w:pPr>
      <w:r>
        <w:t xml:space="preserve">Brun, R., Reichert, P. &amp; Künsch, H.R. (2001) Practical identifiability analysis of large environmental simulation models.</w:t>
      </w:r>
      <w:r>
        <w:t xml:space="preserve"> </w:t>
      </w:r>
      <w:r>
        <w:rPr>
          <w:i/>
          <w:iCs/>
        </w:rPr>
        <w:t xml:space="preserve">Water Resources Research</w:t>
      </w:r>
      <w:r>
        <w:t xml:space="preserve">. 37(4), 1015–1030.</w:t>
      </w:r>
      <w:r>
        <w:t xml:space="preserve"> </w:t>
      </w:r>
      <w:hyperlink r:id="rId112">
        <w:r>
          <w:rPr>
            <w:rStyle w:val="Hyperlink"/>
          </w:rPr>
          <w:t xml:space="preserve">10.1029/2000WR900350</w:t>
        </w:r>
      </w:hyperlink>
      <w:r>
        <w:t xml:space="preserve">.</w:t>
      </w:r>
    </w:p>
    <w:bookmarkEnd w:id="113"/>
    <w:bookmarkStart w:id="115" w:name="ref-GomezCoronel2023GAChlorine"/>
    <w:p>
      <w:pPr>
        <w:pStyle w:val="Bibliography"/>
      </w:pPr>
      <w:r>
        <w:t xml:space="preserve">Gómez-Coronel, L., Delgado-Aguiñaga, J.A., Santos-Ruiz, I. &amp; Navarro-Díaz, A. (2023) Estimation of chlorine concentration in water distribution systems based on a genetic algorithm.</w:t>
      </w:r>
      <w:r>
        <w:t xml:space="preserve"> </w:t>
      </w:r>
      <w:r>
        <w:rPr>
          <w:i/>
          <w:iCs/>
        </w:rPr>
        <w:t xml:space="preserve">Processes</w:t>
      </w:r>
      <w:r>
        <w:t xml:space="preserve">. 11(3), 676.</w:t>
      </w:r>
      <w:r>
        <w:t xml:space="preserve"> </w:t>
      </w:r>
      <w:hyperlink r:id="rId114">
        <w:r>
          <w:rPr>
            <w:rStyle w:val="Hyperlink"/>
          </w:rPr>
          <w:t xml:space="preserve">10.3390/pr11030676</w:t>
        </w:r>
      </w:hyperlink>
      <w:r>
        <w:t xml:space="preserve">.</w:t>
      </w:r>
    </w:p>
    <w:bookmarkEnd w:id="115"/>
    <w:bookmarkStart w:id="117" w:name="ref-Hallam2002"/>
    <w:p>
      <w:pPr>
        <w:pStyle w:val="Bibliography"/>
      </w:pPr>
      <w:r>
        <w:t xml:space="preserve">Hallam, N.B., West, J.R., Forster, C.F., Powell, J.C. &amp; Spencer, I. (2002) The decay of chlorine associated with the pipe wall in water distribution systems.</w:t>
      </w:r>
      <w:r>
        <w:t xml:space="preserve"> </w:t>
      </w:r>
      <w:r>
        <w:rPr>
          <w:i/>
          <w:iCs/>
        </w:rPr>
        <w:t xml:space="preserve">Water Research</w:t>
      </w:r>
      <w:r>
        <w:t xml:space="preserve">. 36(14), 3479–3488.</w:t>
      </w:r>
      <w:r>
        <w:t xml:space="preserve"> </w:t>
      </w:r>
      <w:hyperlink r:id="rId116">
        <w:r>
          <w:rPr>
            <w:rStyle w:val="Hyperlink"/>
          </w:rPr>
          <w:t xml:space="preserve">10.1016/S0043-1354(02)00056-8</w:t>
        </w:r>
      </w:hyperlink>
      <w:r>
        <w:t xml:space="preserve">.</w:t>
      </w:r>
    </w:p>
    <w:bookmarkEnd w:id="117"/>
    <w:bookmarkStart w:id="119" w:name="ref-Hua1999"/>
    <w:p>
      <w:pPr>
        <w:pStyle w:val="Bibliography"/>
      </w:pPr>
      <w:r>
        <w:t xml:space="preserve">Hua, F., West, J.R., Barker, R.A. &amp; Forster, C.F. (1999) Modelling of chlorine decay in municipal water supplies.</w:t>
      </w:r>
      <w:r>
        <w:t xml:space="preserve"> </w:t>
      </w:r>
      <w:r>
        <w:rPr>
          <w:i/>
          <w:iCs/>
        </w:rPr>
        <w:t xml:space="preserve">Water Research</w:t>
      </w:r>
      <w:r>
        <w:t xml:space="preserve">. 33(12), 2735–2746.</w:t>
      </w:r>
      <w:r>
        <w:t xml:space="preserve"> </w:t>
      </w:r>
      <w:hyperlink r:id="rId118">
        <w:r>
          <w:rPr>
            <w:rStyle w:val="Hyperlink"/>
          </w:rPr>
          <w:t xml:space="preserve">10.1016/S0043-1354(98)00519-3</w:t>
        </w:r>
      </w:hyperlink>
      <w:r>
        <w:t xml:space="preserve">.</w:t>
      </w:r>
    </w:p>
    <w:bookmarkEnd w:id="119"/>
    <w:bookmarkStart w:id="121" w:name="ref-Hutton2014Uncertainty"/>
    <w:p>
      <w:pPr>
        <w:pStyle w:val="Bibliography"/>
      </w:pPr>
      <w:r>
        <w:t xml:space="preserve">Hutton, C.J., Kapelan, Z., Vamvakeridou-Lyroudia, L. &amp; Savić, D.A. (2014) Dealing with uncertainty in water distribution system models: A framework for real-time modeling and data assimilation.</w:t>
      </w:r>
      <w:r>
        <w:t xml:space="preserve"> </w:t>
      </w:r>
      <w:r>
        <w:rPr>
          <w:i/>
          <w:iCs/>
        </w:rPr>
        <w:t xml:space="preserve">Journal of Water Resources Planning and Management</w:t>
      </w:r>
      <w:r>
        <w:t xml:space="preserve">. 140(2), 169–183.</w:t>
      </w:r>
      <w:r>
        <w:t xml:space="preserve"> </w:t>
      </w:r>
      <w:hyperlink r:id="rId120">
        <w:r>
          <w:rPr>
            <w:rStyle w:val="Hyperlink"/>
          </w:rPr>
          <w:t xml:space="preserve">10.1061/(ASCE)WR.1943-5452.0000325</w:t>
        </w:r>
      </w:hyperlink>
      <w:r>
        <w:t xml:space="preserve">.</w:t>
      </w:r>
    </w:p>
    <w:bookmarkEnd w:id="121"/>
    <w:bookmarkStart w:id="123" w:name="ref-Jenks2025BayesianDisinfectant"/>
    <w:p>
      <w:pPr>
        <w:pStyle w:val="Bibliography"/>
      </w:pPr>
      <w:r>
        <w:t xml:space="preserve">Jenks, B., Ulusoy, A.-J. &amp; Stoianov, I. (2025) Bayesian inference for quantifying parameter uncertainty in disinfectant decay models.</w:t>
      </w:r>
      <w:r>
        <w:t xml:space="preserve"> </w:t>
      </w:r>
      <w:r>
        <w:rPr>
          <w:i/>
          <w:iCs/>
        </w:rPr>
        <w:t xml:space="preserve">Proceedings of the 21st</w:t>
      </w:r>
      <w:r>
        <w:rPr>
          <w:i/>
          <w:iCs/>
        </w:rPr>
        <w:t xml:space="preserve"> </w:t>
      </w:r>
      <w:r>
        <w:rPr>
          <w:i/>
          <w:iCs/>
        </w:rPr>
        <w:t xml:space="preserve">Computing and Control for the Water Industry Conference</w:t>
      </w:r>
      <w:r>
        <w:rPr>
          <w:i/>
          <w:iCs/>
        </w:rPr>
        <w:t xml:space="preserve"> </w:t>
      </w:r>
      <w:r>
        <w:rPr>
          <w:i/>
          <w:iCs/>
        </w:rPr>
        <w:t xml:space="preserve">(CCWI 2025)</w:t>
      </w:r>
      <w:r>
        <w:t xml:space="preserve">. Sheffield, UK: The University of Sheffield.</w:t>
      </w:r>
      <w:r>
        <w:t xml:space="preserve"> </w:t>
      </w:r>
      <w:hyperlink r:id="rId122">
        <w:r>
          <w:rPr>
            <w:rStyle w:val="Hyperlink"/>
          </w:rPr>
          <w:t xml:space="preserve">10.15131/shef.data.29921225</w:t>
        </w:r>
      </w:hyperlink>
      <w:r>
        <w:t xml:space="preserve">.</w:t>
      </w:r>
    </w:p>
    <w:bookmarkEnd w:id="123"/>
    <w:bookmarkStart w:id="125" w:name="ref-Klise2017WNTR"/>
    <w:p>
      <w:pPr>
        <w:pStyle w:val="Bibliography"/>
      </w:pPr>
      <w:r>
        <w:t xml:space="preserve">Klise, K.A., Bynum, M., Moriarty, D. &amp; Murray, R. (2017) A software framework for assessing the resilience of drinking water systems to disasters with an example earthquake case study.</w:t>
      </w:r>
      <w:r>
        <w:t xml:space="preserve"> </w:t>
      </w:r>
      <w:r>
        <w:rPr>
          <w:i/>
          <w:iCs/>
        </w:rPr>
        <w:t xml:space="preserve">Environmental Modelling &amp; Software</w:t>
      </w:r>
      <w:r>
        <w:t xml:space="preserve">. 95, 420–431.</w:t>
      </w:r>
      <w:r>
        <w:t xml:space="preserve"> </w:t>
      </w:r>
      <w:hyperlink r:id="rId124">
        <w:r>
          <w:rPr>
            <w:rStyle w:val="Hyperlink"/>
          </w:rPr>
          <w:t xml:space="preserve">10.1016/j.envsoft.2017.06.022</w:t>
        </w:r>
      </w:hyperlink>
      <w:r>
        <w:t xml:space="preserve">.</w:t>
      </w:r>
    </w:p>
    <w:bookmarkEnd w:id="125"/>
    <w:bookmarkStart w:id="127" w:name="ref-MantovanTodini2006"/>
    <w:p>
      <w:pPr>
        <w:pStyle w:val="Bibliography"/>
      </w:pPr>
      <w:r>
        <w:t xml:space="preserve">Mantovan, P. &amp; Todini, E. (2006) 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368–381.</w:t>
      </w:r>
      <w:r>
        <w:t xml:space="preserve"> </w:t>
      </w:r>
      <w:hyperlink r:id="rId126">
        <w:r>
          <w:rPr>
            <w:rStyle w:val="Hyperlink"/>
          </w:rPr>
          <w:t xml:space="preserve">10.1016/j.jhydrol.2006.04.046</w:t>
        </w:r>
      </w:hyperlink>
      <w:r>
        <w:t xml:space="preserve">.</w:t>
      </w:r>
    </w:p>
    <w:bookmarkEnd w:id="127"/>
    <w:bookmarkStart w:id="129" w:name="ref-Munavalli2003SteadyState"/>
    <w:p>
      <w:pPr>
        <w:pStyle w:val="Bibliography"/>
      </w:pPr>
      <w:r>
        <w:t xml:space="preserve">Munavalli, G.R. &amp; Mohan Kumar, M.S. (2003) Water quality parameter estimation in steady-state distribution system.</w:t>
      </w:r>
      <w:r>
        <w:t xml:space="preserve"> </w:t>
      </w:r>
      <w:r>
        <w:rPr>
          <w:i/>
          <w:iCs/>
        </w:rPr>
        <w:t xml:space="preserve">Journal of Water Resources Planning and Management</w:t>
      </w:r>
      <w:r>
        <w:t xml:space="preserve">. 129(2), 124–134.</w:t>
      </w:r>
      <w:r>
        <w:t xml:space="preserve"> </w:t>
      </w:r>
      <w:hyperlink r:id="rId128">
        <w:r>
          <w:rPr>
            <w:rStyle w:val="Hyperlink"/>
          </w:rPr>
          <w:t xml:space="preserve">10.1061/(ASCE)0733-9496(2003)129:2(124)</w:t>
        </w:r>
      </w:hyperlink>
      <w:r>
        <w:t xml:space="preserve">.</w:t>
      </w:r>
    </w:p>
    <w:bookmarkEnd w:id="129"/>
    <w:bookmarkStart w:id="131" w:name="ref-Nejjari2014ChlorineCalibration"/>
    <w:p>
      <w:pPr>
        <w:pStyle w:val="Bibliography"/>
      </w:pPr>
      <w:r>
        <w:t xml:space="preserve">Nejjari, F., Puig, V., Pérez, R., Quevedo, J., Cugueró, M.A., Sanz, G. &amp; Mirats, J.M. (2014) Chlorine decay model calibration and comparison: Application to a real water network.</w:t>
      </w:r>
      <w:r>
        <w:t xml:space="preserve"> </w:t>
      </w:r>
      <w:r>
        <w:rPr>
          <w:i/>
          <w:iCs/>
        </w:rPr>
        <w:t xml:space="preserve">Procedia Engineering</w:t>
      </w:r>
      <w:r>
        <w:t xml:space="preserve">. 70, 1221–1230.</w:t>
      </w:r>
      <w:r>
        <w:t xml:space="preserve"> </w:t>
      </w:r>
      <w:hyperlink r:id="rId130">
        <w:r>
          <w:rPr>
            <w:rStyle w:val="Hyperlink"/>
          </w:rPr>
          <w:t xml:space="preserve">10.1016/j.proeng.2014.02.135</w:t>
        </w:r>
      </w:hyperlink>
      <w:r>
        <w:t xml:space="preserve">.</w:t>
      </w:r>
    </w:p>
    <w:bookmarkEnd w:id="131"/>
    <w:bookmarkStart w:id="133" w:name="ref-Owen1998"/>
    <w:p>
      <w:pPr>
        <w:pStyle w:val="Bibliography"/>
      </w:pPr>
      <w:r>
        <w:t xml:space="preserve">Owen, A.B. (1998) Scrambling</w:t>
      </w:r>
      <w:r>
        <w:t xml:space="preserve"> </w:t>
      </w:r>
      <w:r>
        <w:t xml:space="preserve">Sobol’</w:t>
      </w:r>
      <w:r>
        <w:t xml:space="preserve"> </w:t>
      </w:r>
      <w:r>
        <w:t xml:space="preserve">and</w:t>
      </w:r>
      <w:r>
        <w:t xml:space="preserve"> </w:t>
      </w:r>
      <w:r>
        <w:t xml:space="preserve">Niederreiter–Xing</w:t>
      </w:r>
      <w:r>
        <w:t xml:space="preserve"> </w:t>
      </w:r>
      <w:r>
        <w:t xml:space="preserve">points.</w:t>
      </w:r>
      <w:r>
        <w:t xml:space="preserve"> </w:t>
      </w:r>
      <w:r>
        <w:rPr>
          <w:i/>
          <w:iCs/>
        </w:rPr>
        <w:t xml:space="preserve">Journal of Complexity</w:t>
      </w:r>
      <w:r>
        <w:t xml:space="preserve">. 14(4), 466–489.</w:t>
      </w:r>
      <w:r>
        <w:t xml:space="preserve"> </w:t>
      </w:r>
      <w:hyperlink r:id="rId132">
        <w:r>
          <w:rPr>
            <w:rStyle w:val="Hyperlink"/>
          </w:rPr>
          <w:t xml:space="preserve">10.1006/jcom.1998.0487</w:t>
        </w:r>
      </w:hyperlink>
      <w:r>
        <w:t xml:space="preserve">.</w:t>
      </w:r>
    </w:p>
    <w:bookmarkEnd w:id="133"/>
    <w:bookmarkStart w:id="135" w:name="ref-PeiroviMinaee2019GAPSO"/>
    <w:p>
      <w:pPr>
        <w:pStyle w:val="Bibliography"/>
      </w:pPr>
      <w:r>
        <w:t xml:space="preserve">Peirovi Minaee, R., Afsharnia, M., Moghaddam, A., Ebrahimi, A.A., Askarishahi, M. &amp; Mokhtari, M. (2019) Calibration of water quality model for distribution networks using genetic algorithm, particle swarm optimization, and hybrid methods.</w:t>
      </w:r>
      <w:r>
        <w:t xml:space="preserve"> </w:t>
      </w:r>
      <w:r>
        <w:rPr>
          <w:i/>
          <w:iCs/>
        </w:rPr>
        <w:t xml:space="preserve">MethodsX</w:t>
      </w:r>
      <w:r>
        <w:t xml:space="preserve">. 6, 540–548.</w:t>
      </w:r>
      <w:r>
        <w:t xml:space="preserve"> </w:t>
      </w:r>
      <w:hyperlink r:id="rId134">
        <w:r>
          <w:rPr>
            <w:rStyle w:val="Hyperlink"/>
          </w:rPr>
          <w:t xml:space="preserve">10.1016/j.mex.2019.03.008</w:t>
        </w:r>
      </w:hyperlink>
      <w:r>
        <w:t xml:space="preserve">.</w:t>
      </w:r>
    </w:p>
    <w:bookmarkEnd w:id="135"/>
    <w:bookmarkStart w:id="137" w:name="ref-Powell2000"/>
    <w:p>
      <w:pPr>
        <w:pStyle w:val="Bibliography"/>
      </w:pPr>
      <w:r>
        <w:t xml:space="preserve">Powell, J.C., Hallam, N.B., West, J.R., Forster, C.F. &amp; Simms, J. (2000) Factors which control bulk chlorine decay rates.</w:t>
      </w:r>
      <w:r>
        <w:t xml:space="preserve"> </w:t>
      </w:r>
      <w:r>
        <w:rPr>
          <w:i/>
          <w:iCs/>
        </w:rPr>
        <w:t xml:space="preserve">Water Research</w:t>
      </w:r>
      <w:r>
        <w:t xml:space="preserve">. 34(1), 117–126.</w:t>
      </w:r>
      <w:r>
        <w:t xml:space="preserve"> </w:t>
      </w:r>
      <w:hyperlink r:id="rId136">
        <w:r>
          <w:rPr>
            <w:rStyle w:val="Hyperlink"/>
          </w:rPr>
          <w:t xml:space="preserve">10.1016/S0043-1354(99)00097-4</w:t>
        </w:r>
      </w:hyperlink>
      <w:r>
        <w:t xml:space="preserve">.</w:t>
      </w:r>
    </w:p>
    <w:bookmarkEnd w:id="137"/>
    <w:bookmarkStart w:id="139" w:name="ref-Rajakumar2019EnKF"/>
    <w:p>
      <w:pPr>
        <w:pStyle w:val="Bibliography"/>
      </w:pPr>
      <w:r>
        <w:t xml:space="preserve">Rajakumar, A.G., Mohan Kumar, M.S., Amrutur, B. &amp; Kapelan, Z. (2019) Real-time water quality modeling with ensemble</w:t>
      </w:r>
      <w:r>
        <w:t xml:space="preserve"> </w:t>
      </w:r>
      <w:r>
        <w:t xml:space="preserve">Kalman</w:t>
      </w:r>
      <w:r>
        <w:t xml:space="preserve"> </w:t>
      </w:r>
      <w:r>
        <w:t xml:space="preserve">filter for state and parameter estimation in water distribution networks.</w:t>
      </w:r>
      <w:r>
        <w:t xml:space="preserve"> </w:t>
      </w:r>
      <w:r>
        <w:rPr>
          <w:i/>
          <w:iCs/>
        </w:rPr>
        <w:t xml:space="preserve">Journal of Water Resources Planning and Management</w:t>
      </w:r>
      <w:r>
        <w:t xml:space="preserve">. 145(11), 04019049.</w:t>
      </w:r>
      <w:r>
        <w:t xml:space="preserve"> </w:t>
      </w:r>
      <w:hyperlink r:id="rId138">
        <w:r>
          <w:rPr>
            <w:rStyle w:val="Hyperlink"/>
          </w:rPr>
          <w:t xml:space="preserve">10.1061/(ASCE)WR.1943-5452.0001118</w:t>
        </w:r>
      </w:hyperlink>
      <w:r>
        <w:t xml:space="preserve">.</w:t>
      </w:r>
    </w:p>
    <w:bookmarkEnd w:id="139"/>
    <w:bookmarkStart w:id="141" w:name="ref-Raue2009"/>
    <w:p>
      <w:pPr>
        <w:pStyle w:val="Bibliography"/>
      </w:pPr>
      <w:r>
        <w:t xml:space="preserve">Raue, A., Kreutz, C., Maiwald, T., Bachmann, J., Schilling, M., Klingmüller, U. &amp; Timmer, J. (2009) Structural and practical identifiability analysis of partially observed dynamical models by exploiting the profile likelihood.</w:t>
      </w:r>
      <w:r>
        <w:t xml:space="preserve"> </w:t>
      </w:r>
      <w:r>
        <w:rPr>
          <w:i/>
          <w:iCs/>
        </w:rPr>
        <w:t xml:space="preserve">Bioinformatics</w:t>
      </w:r>
      <w:r>
        <w:t xml:space="preserve">. 25(15), 1923–1929.</w:t>
      </w:r>
      <w:r>
        <w:t xml:space="preserve"> </w:t>
      </w:r>
      <w:hyperlink r:id="rId140">
        <w:r>
          <w:rPr>
            <w:rStyle w:val="Hyperlink"/>
          </w:rPr>
          <w:t xml:space="preserve">10.1093/bioinformatics/btp358</w:t>
        </w:r>
      </w:hyperlink>
      <w:r>
        <w:t xml:space="preserve">.</w:t>
      </w:r>
    </w:p>
    <w:bookmarkEnd w:id="141"/>
    <w:bookmarkStart w:id="142"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42"/>
    <w:bookmarkStart w:id="144" w:name="ref-Rossman1994"/>
    <w:p>
      <w:pPr>
        <w:pStyle w:val="Bibliography"/>
      </w:pPr>
      <w:r>
        <w:t xml:space="preserve">Rossman, L.A., Clark, R.M. &amp; Grayman, W.M. (1994) Modeling chlorine residuals in drinking-water distribution systems.</w:t>
      </w:r>
      <w:r>
        <w:t xml:space="preserve"> </w:t>
      </w:r>
      <w:r>
        <w:rPr>
          <w:i/>
          <w:iCs/>
        </w:rPr>
        <w:t xml:space="preserve">Journal of Environmental Engineering</w:t>
      </w:r>
      <w:r>
        <w:t xml:space="preserve">. 120(4), 803–820.</w:t>
      </w:r>
      <w:r>
        <w:t xml:space="preserve"> </w:t>
      </w:r>
      <w:hyperlink r:id="rId143">
        <w:r>
          <w:rPr>
            <w:rStyle w:val="Hyperlink"/>
          </w:rPr>
          <w:t xml:space="preserve">10.1061/(ASCE)0733-9372(1994)120:4(803)</w:t>
        </w:r>
      </w:hyperlink>
      <w:r>
        <w:t xml:space="preserve">.</w:t>
      </w:r>
    </w:p>
    <w:bookmarkEnd w:id="144"/>
    <w:bookmarkStart w:id="145" w:name="ref-Rossman2020"/>
    <w:p>
      <w:pPr>
        <w:pStyle w:val="Bibliography"/>
      </w:pPr>
      <w:r>
        <w:t xml:space="preserve">Rossman, L.A., Woo, H., Tryby, M., Shang, F., Janke, R. &amp; Haxton, T. (2020)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45"/>
    <w:bookmarkStart w:id="147" w:name="ref-Sobol1967"/>
    <w:p>
      <w:pPr>
        <w:pStyle w:val="Bibliography"/>
      </w:pPr>
      <w:r>
        <w:t xml:space="preserve">Sobol’, I.M. (1967) On the distribution of points in a cube and the approximate evaluation of integrals.</w:t>
      </w:r>
      <w:r>
        <w:t xml:space="preserve"> </w:t>
      </w:r>
      <w:r>
        <w:rPr>
          <w:i/>
          <w:iCs/>
        </w:rPr>
        <w:t xml:space="preserve">USSR Computational Mathematics and Mathematical Physics</w:t>
      </w:r>
      <w:r>
        <w:t xml:space="preserve">. 7(4), 86–112.</w:t>
      </w:r>
      <w:r>
        <w:t xml:space="preserve"> </w:t>
      </w:r>
      <w:hyperlink r:id="rId146">
        <w:r>
          <w:rPr>
            <w:rStyle w:val="Hyperlink"/>
          </w:rPr>
          <w:t xml:space="preserve">10.1016/0041-5553(67)90144-9</w:t>
        </w:r>
      </w:hyperlink>
      <w:r>
        <w:t xml:space="preserve">.</w:t>
      </w:r>
    </w:p>
    <w:bookmarkEnd w:id="147"/>
    <w:bookmarkStart w:id="149" w:name="ref-Stedinger2008"/>
    <w:p>
      <w:pPr>
        <w:pStyle w:val="Bibliography"/>
      </w:pPr>
      <w:r>
        <w:t xml:space="preserve">Stedinger, J.R., Vogel, R.M., Lee, S.U. &amp; Batchelder, R. (2008) Appraisal of the generalized likelihood uncertainty estimation (</w:t>
      </w:r>
      <w:r>
        <w:t xml:space="preserve">GLUE</w:t>
      </w:r>
      <w:r>
        <w:t xml:space="preserve">) method.</w:t>
      </w:r>
      <w:r>
        <w:t xml:space="preserve"> </w:t>
      </w:r>
      <w:r>
        <w:rPr>
          <w:i/>
          <w:iCs/>
        </w:rPr>
        <w:t xml:space="preserve">Water Resources Research</w:t>
      </w:r>
      <w:r>
        <w:t xml:space="preserve">. 44(12), W00B06.</w:t>
      </w:r>
      <w:r>
        <w:t xml:space="preserve"> </w:t>
      </w:r>
      <w:hyperlink r:id="rId148">
        <w:r>
          <w:rPr>
            <w:rStyle w:val="Hyperlink"/>
          </w:rPr>
          <w:t xml:space="preserve">10.1029/2008WR006822</w:t>
        </w:r>
      </w:hyperlink>
      <w:r>
        <w:t xml:space="preserve">.</w:t>
      </w:r>
    </w:p>
    <w:bookmarkEnd w:id="149"/>
    <w:bookmarkStart w:id="151" w:name="ref-Vasconcelos1997"/>
    <w:p>
      <w:pPr>
        <w:pStyle w:val="Bibliography"/>
      </w:pPr>
      <w:r>
        <w:t xml:space="preserve">Vasconcelos, J.J., Rossman, L.A., Grayman, W.M., Boulos, P.F. &amp; Clark, R.M. (1997) Kinetics of chlorine decay.</w:t>
      </w:r>
      <w:r>
        <w:t xml:space="preserve"> </w:t>
      </w:r>
      <w:r>
        <w:rPr>
          <w:i/>
          <w:iCs/>
        </w:rPr>
        <w:t xml:space="preserve">Journal AWWA</w:t>
      </w:r>
      <w:r>
        <w:t xml:space="preserve">. 89(7), 54–65.</w:t>
      </w:r>
      <w:r>
        <w:t xml:space="preserve"> </w:t>
      </w:r>
      <w:hyperlink r:id="rId150">
        <w:r>
          <w:rPr>
            <w:rStyle w:val="Hyperlink"/>
          </w:rPr>
          <w:t xml:space="preserve">10.1002/j.1551-8833.1997.tb08259.x</w:t>
        </w:r>
      </w:hyperlink>
      <w:r>
        <w:t xml:space="preserve">.</w:t>
      </w:r>
    </w:p>
    <w:bookmarkEnd w:id="151"/>
    <w:bookmarkStart w:id="153" w:name="ref-WNTRdocs"/>
    <w:p>
      <w:pPr>
        <w:pStyle w:val="Bibliography"/>
      </w:pPr>
      <w:r>
        <w:t xml:space="preserve">WNTR Development Team (2026)</w:t>
      </w:r>
      <w:r>
        <w:t xml:space="preserve"> </w:t>
      </w:r>
      <w:r>
        <w:t xml:space="preserve">WNTR</w:t>
      </w:r>
      <w:r>
        <w:t xml:space="preserve"> </w:t>
      </w:r>
      <w:r>
        <w:t xml:space="preserve">documentation: units. Available at:</w:t>
      </w:r>
      <w:r>
        <w:t xml:space="preserve"> </w:t>
      </w:r>
      <w:hyperlink r:id="rId152">
        <w:r>
          <w:rPr>
            <w:rStyle w:val="Hyperlink"/>
          </w:rPr>
          <w:t xml:space="preserve">https://usepa.github.io/WNTR/units.html</w:t>
        </w:r>
      </w:hyperlink>
      <w:r>
        <w:t xml:space="preserve"> </w:t>
      </w:r>
      <w:r>
        <w:t xml:space="preserve">(Accessed: 11 August 2026).</w:t>
      </w:r>
    </w:p>
    <w:bookmarkEnd w:id="153"/>
    <w:bookmarkStart w:id="155" w:name="ref-Wu2022BEAR"/>
    <w:p>
      <w:pPr>
        <w:pStyle w:val="Bibliography"/>
      </w:pPr>
      <w:r>
        <w:t xml:space="preserve">Wu, X., Marshall, L. &amp; Sharma, A. (2022) Quantifying input uncertainty in the calibration of water quality models: Reordering errors via the secant method.</w:t>
      </w:r>
      <w:r>
        <w:t xml:space="preserve"> </w:t>
      </w:r>
      <w:r>
        <w:rPr>
          <w:i/>
          <w:iCs/>
        </w:rPr>
        <w:t xml:space="preserve">Hydrology and Earth System Sciences</w:t>
      </w:r>
      <w:r>
        <w:t xml:space="preserve">. 26(5), 1203–1221.</w:t>
      </w:r>
      <w:r>
        <w:t xml:space="preserve"> </w:t>
      </w:r>
      <w:hyperlink r:id="rId154">
        <w:r>
          <w:rPr>
            <w:rStyle w:val="Hyperlink"/>
          </w:rPr>
          <w:t xml:space="preserve">10.5194/hess-26-1203-2022</w:t>
        </w:r>
      </w:hyperlink>
      <w:r>
        <w:t xml:space="preserve">.</w:t>
      </w:r>
    </w:p>
    <w:bookmarkEnd w:id="155"/>
    <w:bookmarkEnd w:id="156"/>
    <w:bookmarkEnd w:id="157"/>
    <w:bookmarkStart w:id="158" w:name="statement-on-the-use-of-generative-ai"/>
    <w:p>
      <w:pPr>
        <w:pStyle w:val="Heading1"/>
      </w:pPr>
      <w:r>
        <w:t xml:space="preserve">Statement on the use of generative AI</w:t>
      </w:r>
    </w:p>
    <w:p>
      <w:pPr>
        <w:pStyle w:val="FirstParagraph"/>
      </w:pPr>
      <w:r>
        <w:t xml:space="preserve">I acknowledge the use of Claude Opus 5 (Anthropic, https://claude.ai), accessed through the</w:t>
      </w:r>
      <w:r>
        <w:t xml:space="preserve"> </w:t>
      </w:r>
      <w:r>
        <w:t xml:space="preserve">Claude Code command-line interface (https://claude.com/claude-code), to restructure the</w:t>
      </w:r>
      <w:r>
        <w:t xml:space="preserve"> </w:t>
      </w:r>
      <w:r>
        <w:t xml:space="preserve">manuscript, to write the figure and table generation code, and to cross-check the manuscript</w:t>
      </w:r>
      <w:r>
        <w:t xml:space="preserve"> </w:t>
      </w:r>
      <w:r>
        <w:t xml:space="preserve">against the stored numerical results</w:t>
      </w:r>
      <w:r>
        <w:t xml:space="preserve"> </w:t>
      </w:r>
      <w:r>
        <w:t xml:space="preserve">(Anthropic, 2026)</w:t>
      </w:r>
      <w:r>
        <w:t xml:space="preserve">. I confirm that no content generated</w:t>
      </w:r>
      <w:r>
        <w:t xml:space="preserve"> </w:t>
      </w:r>
      <w:r>
        <w:t xml:space="preserve">by AI has been presented as my own work.</w:t>
      </w:r>
    </w:p>
    <w:p>
      <w:pPr>
        <w:pStyle w:val="BodyText"/>
      </w:pPr>
      <w:r>
        <w:t xml:space="preserve">The departmental policy treats AI-generated text, ideas and computer code as third-party</w:t>
      </w:r>
      <w:r>
        <w:t xml:space="preserve"> </w:t>
      </w:r>
      <w:r>
        <w:t xml:space="preserve">material requiring citation, so the tool is cited above and the code it wrote is identified by</w:t>
      </w:r>
      <w:r>
        <w:t xml:space="preserve"> </w:t>
      </w:r>
      <w:r>
        <w:t xml:space="preserve">file below. The paragraphs that follow give the expanded description.</w:t>
      </w:r>
    </w:p>
    <w:p>
      <w:pPr>
        <w:pStyle w:val="BodyText"/>
      </w:pPr>
      <w:r>
        <w:rPr>
          <w:b/>
          <w:bCs/>
        </w:rPr>
        <w:t xml:space="preserve">Where AI led and the author reviewed.</w:t>
      </w:r>
      <w:r>
        <w:t xml:space="preserve"> </w:t>
      </w:r>
      <w:r>
        <w:t xml:space="preserve">The restructuring of the paper into its present</w:t>
      </w:r>
      <w:r>
        <w:t xml:space="preserve"> </w:t>
      </w:r>
      <w:r>
        <w:t xml:space="preserve">four-section layout, and the whole of</w:t>
      </w:r>
      <w:r>
        <w:t xml:space="preserve"> </w:t>
      </w:r>
      <w:r>
        <w:rPr>
          <w:rStyle w:val="VerbatimChar"/>
        </w:rPr>
        <w:t xml:space="preserve">Net3/paper_figs.py</w:t>
      </w:r>
      <w:r>
        <w:t xml:space="preserve">, which renders the seven figures and</w:t>
      </w:r>
      <w:r>
        <w:t xml:space="preserve"> </w:t>
      </w:r>
      <w:r>
        <w:t xml:space="preserve">the table bodies from values already computed and stored in</w:t>
      </w:r>
      <w:r>
        <w:t xml:space="preserve"> </w:t>
      </w:r>
      <w:r>
        <w:rPr>
          <w:rStyle w:val="VerbatimChar"/>
        </w:rPr>
        <w:t xml:space="preserve">Net3/baseline_cache/</w:t>
      </w:r>
      <w:r>
        <w:t xml:space="preserve">. It reads</w:t>
      </w:r>
      <w:r>
        <w:t xml:space="preserve"> </w:t>
      </w:r>
      <w:r>
        <w:t xml:space="preserve">those artifacts and plots them; it computes no result. Every output was read and accepted or</w:t>
      </w:r>
      <w:r>
        <w:t xml:space="preserve"> </w:t>
      </w:r>
      <w:r>
        <w:t xml:space="preserve">rejected by the author.</w:t>
      </w:r>
    </w:p>
    <w:p>
      <w:pPr>
        <w:pStyle w:val="BodyText"/>
      </w:pPr>
      <w:r>
        <w:rPr>
          <w:b/>
          <w:bCs/>
        </w:rPr>
        <w:t xml:space="preserve">Where AI executed and the author verified independently.</w:t>
      </w:r>
      <w:r>
        <w:t xml:space="preserve"> </w:t>
      </w:r>
      <w:r>
        <w:t xml:space="preserve">Numerical cross-checking of the</w:t>
      </w:r>
      <w:r>
        <w:t xml:space="preserve"> </w:t>
      </w:r>
      <w:r>
        <w:t xml:space="preserve">manuscript and its figures against the stored artifacts, one registered comparison per quoted</w:t>
      </w:r>
      <w:r>
        <w:t xml:space="preserve"> </w:t>
      </w:r>
      <w:r>
        <w:t xml:space="preserve">figure, run by</w:t>
      </w:r>
      <w:r>
        <w:t xml:space="preserve"> </w:t>
      </w:r>
      <w:r>
        <w:rPr>
          <w:rStyle w:val="VerbatimChar"/>
        </w:rPr>
        <w:t xml:space="preserve">Net3/validate_artifacts.py</w:t>
      </w:r>
      <w:r>
        <w:t xml:space="preserve">. That checking found places where a result was</w:t>
      </w:r>
      <w:r>
        <w:t xml:space="preserve"> </w:t>
      </w:r>
      <w:r>
        <w:t xml:space="preserve">described inaccurately, and they were corrected before submission.</w:t>
      </w:r>
    </w:p>
    <w:p>
      <w:pPr>
        <w:pStyle w:val="BodyText"/>
      </w:pPr>
      <w:r>
        <w:rPr>
          <w:b/>
          <w:bCs/>
        </w:rPr>
        <w:t xml:space="preserve">Where the author worked without AI.</w:t>
      </w:r>
      <w:r>
        <w:t xml:space="preserve"> </w:t>
      </w:r>
      <w:r>
        <w:t xml:space="preserve">The whole experimental design; every</w:t>
      </w:r>
      <w:r>
        <w:t xml:space="preserve"> </w:t>
      </w:r>
      <w:r>
        <w:rPr>
          <w:rStyle w:val="VerbatimChar"/>
        </w:rPr>
        <w:t xml:space="preserve">step*.py</w:t>
      </w:r>
      <w:r>
        <w:t xml:space="preserve"> </w:t>
      </w:r>
      <w:r>
        <w:t xml:space="preserve">computation script; and all scientific judgements, including which results to report and how</w:t>
      </w:r>
      <w:r>
        <w:t xml:space="preserve"> </w:t>
      </w:r>
      <w:r>
        <w:t xml:space="preserve">strongly to state them.</w:t>
      </w:r>
    </w:p>
    <w:p>
      <w:pPr>
        <w:pStyle w:val="BodyText"/>
      </w:pPr>
      <w:r>
        <w:rPr>
          <w:b/>
          <w:bCs/>
        </w:rPr>
        <w:t xml:space="preserve">Where AI was not used at all.</w:t>
      </w:r>
      <w:r>
        <w:t xml:space="preserve"> </w:t>
      </w:r>
      <w:r>
        <w:t xml:space="preserve">The EPANET/WNTR simulations themselves and the generation of</w:t>
      </w:r>
      <w:r>
        <w:t xml:space="preserve"> </w:t>
      </w:r>
      <w:r>
        <w:t xml:space="preserve">any numerical result.</w:t>
      </w:r>
    </w:p>
    <w:p>
      <w:pPr>
        <w:pStyle w:val="BodyText"/>
      </w:pPr>
      <w:r>
        <w:t xml:space="preserve">Every number in this paper is the output of a deterministic computation stored under</w:t>
      </w:r>
      <w:r>
        <w:t xml:space="preserve"> </w:t>
      </w:r>
      <w:r>
        <w:rPr>
          <w:rStyle w:val="VerbatimChar"/>
        </w:rPr>
        <w:t xml:space="preserve">Net3/baseline_cache/</w:t>
      </w:r>
      <w:r>
        <w:t xml:space="preserve">. No numerical result was generated by an AI tool.</w:t>
      </w:r>
    </w:p>
    <w:bookmarkEnd w:id="158"/>
    <w:bookmarkStart w:id="168" w:name="appendices"/>
    <w:p>
      <w:pPr>
        <w:pStyle w:val="Heading1"/>
      </w:pPr>
      <w:r>
        <w:t xml:space="preserve">Appendices</w:t>
      </w:r>
    </w:p>
    <w:p>
      <w:pPr>
        <w:pStyle w:val="FirstParagraph"/>
      </w:pPr>
      <w:r>
        <w:t xml:space="preserve">Every table below is generated directly from the cached result artifacts by</w:t>
      </w:r>
      <w:r>
        <w:t xml:space="preserve"> </w:t>
      </w:r>
      <w:r>
        <w:rPr>
          <w:rStyle w:val="VerbatimChar"/>
        </w:rPr>
        <w:t xml:space="preserve">Net3/appendix_tables.py</w:t>
      </w:r>
      <w:r>
        <w:t xml:space="preserve">, so no appendix value can drift from the one the main text quotes.</w:t>
      </w:r>
      <w:r>
        <w:t xml:space="preserve"> </w:t>
      </w:r>
      <w:r>
        <w:t xml:space="preserve">Appendix I maps each section of the paper to the script that produced its numbers.</w:t>
      </w:r>
    </w:p>
    <w:bookmarkStart w:id="159" w:name="Xb23e304d159119e7df644cc02d3033fc484721a"/>
    <w:p>
      <w:pPr>
        <w:pStyle w:val="Heading2"/>
      </w:pPr>
      <w:r>
        <w:t xml:space="preserve">Appendix A. Warm-up length and the model horizon</w:t>
      </w:r>
    </w:p>
    <w:p>
      <w:pPr>
        <w:pStyle w:val="FirstParagraph"/>
      </w:pPr>
      <w:r>
        <w:t xml:space="preserve">Six cyclostationarity criteria were declared before the values were seen, each comparing a 24 h</w:t>
      </w:r>
      <w:r>
        <w:t xml:space="preserve"> </w:t>
      </w:r>
      <w:r>
        <w:t xml:space="preserve">cycle with its successor across the truth and both corners of the prior box. Table A1 gives the</w:t>
      </w:r>
      <w:r>
        <w:t xml:space="preserve"> </w:t>
      </w:r>
      <w:r>
        <w:t xml:space="preserve">worst value for each criterion at each cycle pair.</w:t>
      </w:r>
    </w:p>
    <w:p>
      <w:pPr>
        <w:pStyle w:val="BodyText"/>
      </w:pPr>
      <w:r>
        <w:t xml:space="preserve">Three of the six are met at a 120 h warm-up and two are not. The horizon cannot be extended to</w:t>
      </w:r>
      <w:r>
        <w:t xml:space="preserve"> </w:t>
      </w:r>
      <w:r>
        <w:t xml:space="preserve">settle them: pump 10 is driven by absolute-time controls enumerated only to 159 h against a model</w:t>
      </w:r>
      <w:r>
        <w:t xml:space="preserve"> </w:t>
      </w:r>
      <w:r>
        <w:t xml:space="preserve">duration of 168 h, so a longer run is a different system rather than a longer warm-up. The</w:t>
      </w:r>
      <w:r>
        <w:t xml:space="preserve"> </w:t>
      </w:r>
      <w:r>
        <w:t xml:space="preserve">integrated severity is still drifting at the horizon, and water age is horizon-dependent by</w:t>
      </w:r>
      <w:r>
        <w:t xml:space="preserve"> </w:t>
      </w:r>
      <w:r>
        <w:t xml:space="preserve">construction in this network. Table A2 shows why the severity criterion fails, with the</w:t>
      </w:r>
      <w:r>
        <w:t xml:space="preserve"> </w:t>
      </w:r>
      <w:r>
        <w:t xml:space="preserve">network-mean deficit falling after the start-up transient and then rising monotonically.</w:t>
      </w:r>
    </w:p>
    <w:p>
      <w:pPr>
        <w:pStyle w:val="BodyText"/>
      </w:pPr>
      <w:r>
        <w:t xml:space="preserve">Table A1. Cyclostationarity diagnostics. Worst value across the truth and both corners of the prior box, for each pair of successive 24 h cycles. Tolerances were declared before the values were seen.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Tolerance</w:t>
            </w:r>
          </w:p>
        </w:tc>
        <w:tc>
          <w:tcPr/>
          <w:p>
            <w:pPr>
              <w:pStyle w:val="Compact"/>
            </w:pPr>
            <w:r>
              <w:t xml:space="preserve">0-24</w:t>
            </w:r>
          </w:p>
        </w:tc>
        <w:tc>
          <w:tcPr/>
          <w:p>
            <w:pPr>
              <w:pStyle w:val="Compact"/>
            </w:pPr>
            <w:r>
              <w:t xml:space="preserve">24-48</w:t>
            </w:r>
          </w:p>
        </w:tc>
        <w:tc>
          <w:tcPr/>
          <w:p>
            <w:pPr>
              <w:pStyle w:val="Compact"/>
            </w:pPr>
            <w:r>
              <w:t xml:space="preserve">48-72</w:t>
            </w:r>
          </w:p>
        </w:tc>
        <w:tc>
          <w:tcPr/>
          <w:p>
            <w:pPr>
              <w:pStyle w:val="Compact"/>
            </w:pPr>
            <w:r>
              <w:t xml:space="preserve">72-96</w:t>
            </w:r>
          </w:p>
        </w:tc>
        <w:tc>
          <w:tcPr/>
          <w:p>
            <w:pPr>
              <w:pStyle w:val="Compact"/>
            </w:pPr>
            <w:r>
              <w:t xml:space="preserve">96-120</w:t>
            </w:r>
          </w:p>
        </w:tc>
        <w:tc>
          <w:tcPr/>
          <w:p>
            <w:pPr>
              <w:pStyle w:val="Compact"/>
            </w:pPr>
            <w:r>
              <w:t xml:space="preserve">120-144</w:t>
            </w:r>
          </w:p>
        </w:tc>
        <w:tc>
          <w:tcPr/>
          <w:p>
            <w:pPr>
              <w:pStyle w:val="Compact"/>
            </w:pPr>
            <w:r>
              <w:t xml:space="preserve">Earliest warm-up satisfying it</w:t>
            </w:r>
          </w:p>
        </w:tc>
      </w:tr>
      <w:tr>
        <w:tc>
          <w:tcPr/>
          <w:p>
            <w:pPr>
              <w:pStyle w:val="Compact"/>
            </w:pPr>
            <w:r>
              <w:t xml:space="preserve">Tank level (m)</w:t>
            </w:r>
          </w:p>
        </w:tc>
        <w:tc>
          <w:tcPr/>
          <w:p>
            <w:pPr>
              <w:pStyle w:val="Compact"/>
            </w:pPr>
            <w:r>
              <w:t xml:space="preserve">0.05</w:t>
            </w:r>
          </w:p>
        </w:tc>
        <w:tc>
          <w:tcPr/>
          <w:p>
            <w:pPr>
              <w:pStyle w:val="Compact"/>
            </w:pPr>
            <w:r>
              <w:t xml:space="preserve">0.8185</w:t>
            </w:r>
          </w:p>
        </w:tc>
        <w:tc>
          <w:tcPr/>
          <w:p>
            <w:pPr>
              <w:pStyle w:val="Compact"/>
            </w:pPr>
            <w:r>
              <w:t xml:space="preserve">0.0496</w:t>
            </w:r>
          </w:p>
        </w:tc>
        <w:tc>
          <w:tcPr/>
          <w:p>
            <w:pPr>
              <w:pStyle w:val="Compact"/>
            </w:pPr>
            <w:r>
              <w:t xml:space="preserve">0.0070</w:t>
            </w:r>
          </w:p>
        </w:tc>
        <w:tc>
          <w:tcPr/>
          <w:p>
            <w:pPr>
              <w:pStyle w:val="Compact"/>
            </w:pPr>
            <w:r>
              <w:t xml:space="preserve">0.0009</w:t>
            </w:r>
          </w:p>
        </w:tc>
        <w:tc>
          <w:tcPr/>
          <w:p>
            <w:pPr>
              <w:pStyle w:val="Compact"/>
            </w:pPr>
            <w:r>
              <w:t xml:space="preserve">8.8e-05</w:t>
            </w:r>
          </w:p>
        </w:tc>
        <w:tc>
          <w:tcPr/>
          <w:p>
            <w:pPr>
              <w:pStyle w:val="Compact"/>
            </w:pPr>
            <w:r>
              <w:t xml:space="preserve">8.4e-05</w:t>
            </w:r>
          </w:p>
        </w:tc>
        <w:tc>
          <w:tcPr/>
          <w:p>
            <w:pPr>
              <w:pStyle w:val="Compact"/>
            </w:pPr>
            <w:r>
              <w:t xml:space="preserve">24 h (verified)</w:t>
            </w:r>
          </w:p>
        </w:tc>
      </w:tr>
      <w:tr>
        <w:tc>
          <w:tcPr/>
          <w:p>
            <w:pPr>
              <w:pStyle w:val="Compact"/>
            </w:pPr>
            <w:r>
              <w:t xml:space="preserve">Monitor chlorine (mg L-1)</w:t>
            </w:r>
          </w:p>
        </w:tc>
        <w:tc>
          <w:tcPr/>
          <w:p>
            <w:pPr>
              <w:pStyle w:val="Compact"/>
            </w:pPr>
            <w:r>
              <w:t xml:space="preserve">0.005</w:t>
            </w:r>
          </w:p>
        </w:tc>
        <w:tc>
          <w:tcPr/>
          <w:p>
            <w:pPr>
              <w:pStyle w:val="Compact"/>
            </w:pPr>
            <w:r>
              <w:t xml:space="preserve">0.9209</w:t>
            </w:r>
          </w:p>
        </w:tc>
        <w:tc>
          <w:tcPr/>
          <w:p>
            <w:pPr>
              <w:pStyle w:val="Compact"/>
            </w:pPr>
            <w:r>
              <w:t xml:space="preserve">0.0437</w:t>
            </w:r>
          </w:p>
        </w:tc>
        <w:tc>
          <w:tcPr/>
          <w:p>
            <w:pPr>
              <w:pStyle w:val="Compact"/>
            </w:pPr>
            <w:r>
              <w:t xml:space="preserve">0.0234</w:t>
            </w:r>
          </w:p>
        </w:tc>
        <w:tc>
          <w:tcPr/>
          <w:p>
            <w:pPr>
              <w:pStyle w:val="Compact"/>
            </w:pPr>
            <w:r>
              <w:t xml:space="preserve">0.0122</w:t>
            </w:r>
          </w:p>
        </w:tc>
        <w:tc>
          <w:tcPr/>
          <w:p>
            <w:pPr>
              <w:pStyle w:val="Compact"/>
            </w:pPr>
            <w:r>
              <w:t xml:space="preserve">0.0064</w:t>
            </w:r>
          </w:p>
        </w:tc>
        <w:tc>
          <w:tcPr/>
          <w:p>
            <w:pPr>
              <w:pStyle w:val="Compact"/>
            </w:pPr>
            <w:r>
              <w:t xml:space="preserve">0.0034</w:t>
            </w:r>
          </w:p>
        </w:tc>
        <w:tc>
          <w:tcPr/>
          <w:p>
            <w:pPr>
              <w:pStyle w:val="Compact"/>
            </w:pPr>
            <w:r>
              <w:t xml:space="preserve">120 h (verified)</w:t>
            </w:r>
          </w:p>
        </w:tc>
      </w:tr>
      <w:tr>
        <w:tc>
          <w:tcPr/>
          <w:p>
            <w:pPr>
              <w:pStyle w:val="Compact"/>
            </w:pPr>
            <w:r>
              <w:t xml:space="preserve">Network 95th-percentile chlorine (mg L-1)</w:t>
            </w:r>
          </w:p>
        </w:tc>
        <w:tc>
          <w:tcPr/>
          <w:p>
            <w:pPr>
              <w:pStyle w:val="Compact"/>
            </w:pPr>
            <w:r>
              <w:t xml:space="preserve">0.01</w:t>
            </w:r>
          </w:p>
        </w:tc>
        <w:tc>
          <w:tcPr/>
          <w:p>
            <w:pPr>
              <w:pStyle w:val="Compact"/>
            </w:pPr>
            <w:r>
              <w:t xml:space="preserve">0.9511</w:t>
            </w:r>
          </w:p>
        </w:tc>
        <w:tc>
          <w:tcPr/>
          <w:p>
            <w:pPr>
              <w:pStyle w:val="Compact"/>
            </w:pPr>
            <w:r>
              <w:t xml:space="preserve">0.1061</w:t>
            </w:r>
          </w:p>
        </w:tc>
        <w:tc>
          <w:tcPr/>
          <w:p>
            <w:pPr>
              <w:pStyle w:val="Compact"/>
            </w:pPr>
            <w:r>
              <w:t xml:space="preserve">0.0396</w:t>
            </w:r>
          </w:p>
        </w:tc>
        <w:tc>
          <w:tcPr/>
          <w:p>
            <w:pPr>
              <w:pStyle w:val="Compact"/>
            </w:pPr>
            <w:r>
              <w:t xml:space="preserve">0.0201</w:t>
            </w:r>
          </w:p>
        </w:tc>
        <w:tc>
          <w:tcPr/>
          <w:p>
            <w:pPr>
              <w:pStyle w:val="Compact"/>
            </w:pPr>
            <w:r>
              <w:t xml:space="preserve">0.0103</w:t>
            </w:r>
          </w:p>
        </w:tc>
        <w:tc>
          <w:tcPr/>
          <w:p>
            <w:pPr>
              <w:pStyle w:val="Compact"/>
            </w:pPr>
            <w:r>
              <w:t xml:space="preserve">0.0054</w:t>
            </w:r>
          </w:p>
        </w:tc>
        <w:tc>
          <w:tcPr/>
          <w:p>
            <w:pPr>
              <w:pStyle w:val="Compact"/>
            </w:pPr>
            <w:r>
              <w:t xml:space="preserve">120 h (verified)</w:t>
            </w:r>
          </w:p>
        </w:tc>
      </w:tr>
      <w:tr>
        <w:tc>
          <w:tcPr/>
          <w:p>
            <w:pPr>
              <w:pStyle w:val="Compact"/>
            </w:pPr>
            <w:r>
              <w:t xml:space="preserve">Tank chlorine (mg L-1)</w:t>
            </w:r>
          </w:p>
        </w:tc>
        <w:tc>
          <w:tcPr/>
          <w:p>
            <w:pPr>
              <w:pStyle w:val="Compact"/>
            </w:pPr>
            <w:r>
              <w:t xml:space="preserve">0.01</w:t>
            </w:r>
          </w:p>
        </w:tc>
        <w:tc>
          <w:tcPr/>
          <w:p>
            <w:pPr>
              <w:pStyle w:val="Compact"/>
            </w:pPr>
            <w:r>
              <w:t xml:space="preserve">0.2457</w:t>
            </w:r>
          </w:p>
        </w:tc>
        <w:tc>
          <w:tcPr/>
          <w:p>
            <w:pPr>
              <w:pStyle w:val="Compact"/>
            </w:pPr>
            <w:r>
              <w:t xml:space="preserve">0.0787</w:t>
            </w:r>
          </w:p>
        </w:tc>
        <w:tc>
          <w:tcPr/>
          <w:p>
            <w:pPr>
              <w:pStyle w:val="Compact"/>
            </w:pPr>
            <w:r>
              <w:t xml:space="preserve">0.0416</w:t>
            </w:r>
          </w:p>
        </w:tc>
        <w:tc>
          <w:tcPr/>
          <w:p>
            <w:pPr>
              <w:pStyle w:val="Compact"/>
            </w:pPr>
            <w:r>
              <w:t xml:space="preserve">0.0219</w:t>
            </w:r>
          </w:p>
        </w:tc>
        <w:tc>
          <w:tcPr/>
          <w:p>
            <w:pPr>
              <w:pStyle w:val="Compact"/>
            </w:pPr>
            <w:r>
              <w:t xml:space="preserve">0.0115</w:t>
            </w:r>
          </w:p>
        </w:tc>
        <w:tc>
          <w:tcPr/>
          <w:p>
            <w:pPr>
              <w:pStyle w:val="Compact"/>
            </w:pPr>
            <w:r>
              <w:t xml:space="preserve">0.0061</w:t>
            </w:r>
          </w:p>
        </w:tc>
        <w:tc>
          <w:tcPr/>
          <w:p>
            <w:pPr>
              <w:pStyle w:val="Compact"/>
            </w:pPr>
            <w:r>
              <w:t xml:space="preserve">120 h (verified)</w:t>
            </w:r>
          </w:p>
        </w:tc>
      </w:tr>
      <w:tr>
        <w:tc>
          <w:tcPr/>
          <w:p>
            <w:pPr>
              <w:pStyle w:val="Compact"/>
            </w:pPr>
            <w:r>
              <w:t xml:space="preserve">Risk severity, relative change in E[A]</w:t>
            </w:r>
          </w:p>
        </w:tc>
        <w:tc>
          <w:tcPr/>
          <w:p>
            <w:pPr>
              <w:pStyle w:val="Compact"/>
            </w:pPr>
            <w:r>
              <w:t xml:space="preserve">0.02</w:t>
            </w:r>
          </w:p>
        </w:tc>
        <w:tc>
          <w:tcPr/>
          <w:p>
            <w:pPr>
              <w:pStyle w:val="Compact"/>
            </w:pPr>
            <w:r>
              <w:t xml:space="preserve">0.8983</w:t>
            </w:r>
          </w:p>
        </w:tc>
        <w:tc>
          <w:tcPr/>
          <w:p>
            <w:pPr>
              <w:pStyle w:val="Compact"/>
            </w:pPr>
            <w:r>
              <w:t xml:space="preserve">0.6104</w:t>
            </w:r>
          </w:p>
        </w:tc>
        <w:tc>
          <w:tcPr/>
          <w:p>
            <w:pPr>
              <w:pStyle w:val="Compact"/>
            </w:pPr>
            <w:r>
              <w:t xml:space="preserve">0.1206</w:t>
            </w:r>
          </w:p>
        </w:tc>
        <w:tc>
          <w:tcPr/>
          <w:p>
            <w:pPr>
              <w:pStyle w:val="Compact"/>
            </w:pPr>
            <w:r>
              <w:t xml:space="preserve">0.1897</w:t>
            </w:r>
          </w:p>
        </w:tc>
        <w:tc>
          <w:tcPr/>
          <w:p>
            <w:pPr>
              <w:pStyle w:val="Compact"/>
            </w:pPr>
            <w:r>
              <w:t xml:space="preserve">0.0978</w:t>
            </w:r>
          </w:p>
        </w:tc>
        <w:tc>
          <w:tcPr/>
          <w:p>
            <w:pPr>
              <w:pStyle w:val="Compact"/>
            </w:pPr>
            <w:r>
              <w:t xml:space="preserve">0.0509</w:t>
            </w:r>
          </w:p>
        </w:tc>
        <w:tc>
          <w:tcPr/>
          <w:p>
            <w:pPr>
              <w:pStyle w:val="Compact"/>
            </w:pPr>
            <w:r>
              <w:t xml:space="preserve">not met within 168 h; extrapolates to ~168 h (unverified)</w:t>
            </w:r>
          </w:p>
        </w:tc>
      </w:tr>
      <w:tr>
        <w:tc>
          <w:tcPr/>
          <w:p>
            <w:pPr>
              <w:pStyle w:val="Compact"/>
            </w:pPr>
            <w:r>
              <w:t xml:space="preserve">Water age, 95th percentile (h)</w:t>
            </w:r>
          </w:p>
        </w:tc>
        <w:tc>
          <w:tcPr/>
          <w:p>
            <w:pPr>
              <w:pStyle w:val="Compact"/>
            </w:pPr>
            <w:r>
              <w:t xml:space="preserve">1.0</w:t>
            </w:r>
          </w:p>
        </w:tc>
        <w:tc>
          <w:tcPr/>
          <w:p>
            <w:pPr>
              <w:pStyle w:val="Compact"/>
            </w:pPr>
            <w:r>
              <w:t xml:space="preserve">23.9990</w:t>
            </w:r>
          </w:p>
        </w:tc>
        <w:tc>
          <w:tcPr/>
          <w:p>
            <w:pPr>
              <w:pStyle w:val="Compact"/>
            </w:pPr>
            <w:r>
              <w:t xml:space="preserve">21.6756</w:t>
            </w:r>
          </w:p>
        </w:tc>
        <w:tc>
          <w:tcPr/>
          <w:p>
            <w:pPr>
              <w:pStyle w:val="Compact"/>
            </w:pPr>
            <w:r>
              <w:t xml:space="preserve">19.0425</w:t>
            </w:r>
          </w:p>
        </w:tc>
        <w:tc>
          <w:tcPr/>
          <w:p>
            <w:pPr>
              <w:pStyle w:val="Compact"/>
            </w:pPr>
            <w:r>
              <w:t xml:space="preserve">16.6924</w:t>
            </w:r>
          </w:p>
        </w:tc>
        <w:tc>
          <w:tcPr/>
          <w:p>
            <w:pPr>
              <w:pStyle w:val="Compact"/>
            </w:pPr>
            <w:r>
              <w:t xml:space="preserve">14.6298</w:t>
            </w:r>
          </w:p>
        </w:tc>
        <w:tc>
          <w:tcPr/>
          <w:p>
            <w:pPr>
              <w:pStyle w:val="Compact"/>
            </w:pPr>
            <w:r>
              <w:t xml:space="preserve">12.8149</w:t>
            </w:r>
          </w:p>
        </w:tc>
        <w:tc>
          <w:tcPr/>
          <w:p>
            <w:pPr>
              <w:pStyle w:val="Compact"/>
            </w:pPr>
            <w:r>
              <w:t xml:space="preserve">not met within 168 h; extrapolates to ~600 h (unverified)</w:t>
            </w:r>
          </w:p>
        </w:tc>
      </w:tr>
    </w:tbl>
    <w:p>
      <w:pPr>
        <w:pStyle w:val="BodyText"/>
      </w:pPr>
      <w:r>
        <w:t xml:space="preserve">Table A2. Network-mean cumulative deficit for the truth, by cycle. The integrated severity falls after the start-up transient and then rises monotonically, which is why the 2% criterion is not met inside the model horizon.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Cycle</w:t>
            </w:r>
          </w:p>
        </w:tc>
        <w:tc>
          <w:tcPr/>
          <w:p>
            <w:pPr>
              <w:pStyle w:val="Compact"/>
            </w:pPr>
            <w:r>
              <w:t xml:space="preserve">Net-mean deficit (mg L-1 h)</w:t>
            </w:r>
          </w:p>
        </w:tc>
        <w:tc>
          <w:tcPr/>
          <w:p>
            <w:pPr>
              <w:pStyle w:val="Compact"/>
            </w:pPr>
            <w:r>
              <w:t xml:space="preserve">Relative change</w:t>
            </w:r>
          </w:p>
        </w:tc>
      </w:tr>
      <w:tr>
        <w:tc>
          <w:tcPr/>
          <w:p>
            <w:pPr>
              <w:pStyle w:val="Compact"/>
            </w:pPr>
            <w:r>
              <w:t xml:space="preserve">0-24 h</w:t>
            </w:r>
          </w:p>
        </w:tc>
        <w:tc>
          <w:tcPr/>
          <w:p>
            <w:pPr>
              <w:pStyle w:val="Compact"/>
            </w:pPr>
            <w:r>
              <w:t xml:space="preserve">1.0050</w:t>
            </w:r>
          </w:p>
        </w:tc>
        <w:tc>
          <w:tcPr/>
          <w:p>
            <w:pPr>
              <w:pStyle w:val="Compact"/>
            </w:pPr>
            <w:r>
              <w:t xml:space="preserve">0.8659</w:t>
            </w:r>
          </w:p>
        </w:tc>
      </w:tr>
      <w:tr>
        <w:tc>
          <w:tcPr/>
          <w:p>
            <w:pPr>
              <w:pStyle w:val="Compact"/>
            </w:pPr>
            <w:r>
              <w:t xml:space="preserve">24-48 h</w:t>
            </w:r>
          </w:p>
        </w:tc>
        <w:tc>
          <w:tcPr/>
          <w:p>
            <w:pPr>
              <w:pStyle w:val="Compact"/>
            </w:pPr>
            <w:r>
              <w:t xml:space="preserve">0.1348</w:t>
            </w:r>
          </w:p>
        </w:tc>
        <w:tc>
          <w:tcPr/>
          <w:p>
            <w:pPr>
              <w:pStyle w:val="Compact"/>
            </w:pPr>
            <w:r>
              <w:t xml:space="preserve">0.3911</w:t>
            </w:r>
          </w:p>
        </w:tc>
      </w:tr>
      <w:tr>
        <w:tc>
          <w:tcPr/>
          <w:p>
            <w:pPr>
              <w:pStyle w:val="Compact"/>
            </w:pPr>
            <w:r>
              <w:t xml:space="preserve">48-72 h</w:t>
            </w:r>
          </w:p>
        </w:tc>
        <w:tc>
          <w:tcPr/>
          <w:p>
            <w:pPr>
              <w:pStyle w:val="Compact"/>
            </w:pPr>
            <w:r>
              <w:t xml:space="preserve">0.0821</w:t>
            </w:r>
          </w:p>
        </w:tc>
        <w:tc>
          <w:tcPr/>
          <w:p>
            <w:pPr>
              <w:pStyle w:val="Compact"/>
            </w:pPr>
            <w:r>
              <w:t xml:space="preserve">0.1206</w:t>
            </w:r>
          </w:p>
        </w:tc>
      </w:tr>
      <w:tr>
        <w:tc>
          <w:tcPr/>
          <w:p>
            <w:pPr>
              <w:pStyle w:val="Compact"/>
            </w:pPr>
            <w:r>
              <w:t xml:space="preserve">72-96 h</w:t>
            </w:r>
          </w:p>
        </w:tc>
        <w:tc>
          <w:tcPr/>
          <w:p>
            <w:pPr>
              <w:pStyle w:val="Compact"/>
            </w:pPr>
            <w:r>
              <w:t xml:space="preserve">0.0920</w:t>
            </w:r>
          </w:p>
        </w:tc>
        <w:tc>
          <w:tcPr/>
          <w:p>
            <w:pPr>
              <w:pStyle w:val="Compact"/>
            </w:pPr>
            <w:r>
              <w:t xml:space="preserve">0.1194</w:t>
            </w:r>
          </w:p>
        </w:tc>
      </w:tr>
      <w:tr>
        <w:tc>
          <w:tcPr/>
          <w:p>
            <w:pPr>
              <w:pStyle w:val="Compact"/>
            </w:pPr>
            <w:r>
              <w:t xml:space="preserve">96-120 h</w:t>
            </w:r>
          </w:p>
        </w:tc>
        <w:tc>
          <w:tcPr/>
          <w:p>
            <w:pPr>
              <w:pStyle w:val="Compact"/>
            </w:pPr>
            <w:r>
              <w:t xml:space="preserve">0.1029</w:t>
            </w:r>
          </w:p>
        </w:tc>
        <w:tc>
          <w:tcPr/>
          <w:p>
            <w:pPr>
              <w:pStyle w:val="Compact"/>
            </w:pPr>
            <w:r>
              <w:t xml:space="preserve">0.0607</w:t>
            </w:r>
          </w:p>
        </w:tc>
      </w:tr>
      <w:tr>
        <w:tc>
          <w:tcPr/>
          <w:p>
            <w:pPr>
              <w:pStyle w:val="Compact"/>
            </w:pPr>
            <w:r>
              <w:t xml:space="preserve">120-144 h</w:t>
            </w:r>
          </w:p>
        </w:tc>
        <w:tc>
          <w:tcPr/>
          <w:p>
            <w:pPr>
              <w:pStyle w:val="Compact"/>
            </w:pPr>
            <w:r>
              <w:t xml:space="preserve">0.1092</w:t>
            </w:r>
          </w:p>
        </w:tc>
        <w:tc>
          <w:tcPr/>
          <w:p>
            <w:pPr>
              <w:pStyle w:val="Compact"/>
            </w:pPr>
            <w:r>
              <w:t xml:space="preserve">0.0308</w:t>
            </w:r>
          </w:p>
        </w:tc>
      </w:tr>
    </w:tbl>
    <w:bookmarkEnd w:id="159"/>
    <w:bookmarkStart w:id="160" w:name="Xe02d61a32b764c6b297a8c29969b13a7581353f"/>
    <w:p>
      <w:pPr>
        <w:pStyle w:val="Heading2"/>
      </w:pPr>
      <w:r>
        <w:t xml:space="preserve">Appendix B. Numerical and unit verification</w:t>
      </w:r>
    </w:p>
    <w:p>
      <w:pPr>
        <w:pStyle w:val="FirstParagraph"/>
      </w:pPr>
      <w:r>
        <w:t xml:space="preserve">Table B1. Bulk-decay arm of the known-answer test against the analytic first-order solution at the far end of a single pipe. The relative error grows with the amount of decay, which is the signature of the quality solver’s time discretisation; a wrong conversion factor would instead give a constant relative offset.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k_b (1/day)</w:t>
            </w:r>
          </w:p>
        </w:tc>
        <w:tc>
          <w:tcPr/>
          <w:p>
            <w:pPr>
              <w:pStyle w:val="Compact"/>
            </w:pPr>
            <w:r>
              <w:t xml:space="preserve">Residence time (h)</w:t>
            </w:r>
          </w:p>
        </w:tc>
        <w:tc>
          <w:tcPr/>
          <w:p>
            <w:pPr>
              <w:pStyle w:val="Compact"/>
            </w:pPr>
            <w:r>
              <w:t xml:space="preserve">EPANET C</w:t>
            </w:r>
          </w:p>
        </w:tc>
        <w:tc>
          <w:tcPr/>
          <w:p>
            <w:pPr>
              <w:pStyle w:val="Compact"/>
            </w:pPr>
            <w:r>
              <w:t xml:space="preserve">Analytic C</w:t>
            </w:r>
          </w:p>
        </w:tc>
        <w:tc>
          <w:tcPr/>
          <w:p>
            <w:pPr>
              <w:pStyle w:val="Compact"/>
            </w:pPr>
            <w:r>
              <w:t xml:space="preserve">Relative error</w:t>
            </w:r>
          </w:p>
        </w:tc>
      </w:tr>
      <w:tr>
        <w:tc>
          <w:tcPr/>
          <w:p>
            <w:pPr>
              <w:pStyle w:val="Compact"/>
            </w:pPr>
            <w:r>
              <w:t xml:space="preserve">-0.50</w:t>
            </w:r>
          </w:p>
        </w:tc>
        <w:tc>
          <w:tcPr/>
          <w:p>
            <w:pPr>
              <w:pStyle w:val="Compact"/>
            </w:pPr>
            <w:r>
              <w:t xml:space="preserve">0.3927</w:t>
            </w:r>
          </w:p>
        </w:tc>
        <w:tc>
          <w:tcPr/>
          <w:p>
            <w:pPr>
              <w:pStyle w:val="Compact"/>
            </w:pPr>
            <w:r>
              <w:t xml:space="preserve">0.991846</w:t>
            </w:r>
          </w:p>
        </w:tc>
        <w:tc>
          <w:tcPr/>
          <w:p>
            <w:pPr>
              <w:pStyle w:val="Compact"/>
            </w:pPr>
            <w:r>
              <w:t xml:space="preserve">0.991852</w:t>
            </w:r>
          </w:p>
        </w:tc>
        <w:tc>
          <w:tcPr/>
          <w:p>
            <w:pPr>
              <w:pStyle w:val="Compact"/>
            </w:pPr>
            <w:r>
              <w:t xml:space="preserve">6.7e-06</w:t>
            </w:r>
          </w:p>
        </w:tc>
      </w:tr>
      <w:tr>
        <w:tc>
          <w:tcPr/>
          <w:p>
            <w:pPr>
              <w:pStyle w:val="Compact"/>
            </w:pPr>
            <w:r>
              <w:t xml:space="preserve">-1.00</w:t>
            </w:r>
          </w:p>
        </w:tc>
        <w:tc>
          <w:tcPr/>
          <w:p>
            <w:pPr>
              <w:pStyle w:val="Compact"/>
            </w:pPr>
            <w:r>
              <w:t xml:space="preserve">0.3927</w:t>
            </w:r>
          </w:p>
        </w:tc>
        <w:tc>
          <w:tcPr/>
          <w:p>
            <w:pPr>
              <w:pStyle w:val="Compact"/>
            </w:pPr>
            <w:r>
              <w:t xml:space="preserve">0.983744</w:t>
            </w:r>
          </w:p>
        </w:tc>
        <w:tc>
          <w:tcPr/>
          <w:p>
            <w:pPr>
              <w:pStyle w:val="Compact"/>
            </w:pPr>
            <w:r>
              <w:t xml:space="preserve">0.983771</w:t>
            </w:r>
          </w:p>
        </w:tc>
        <w:tc>
          <w:tcPr/>
          <w:p>
            <w:pPr>
              <w:pStyle w:val="Compact"/>
            </w:pPr>
            <w:r>
              <w:t xml:space="preserve">2.7e-05</w:t>
            </w:r>
          </w:p>
        </w:tc>
      </w:tr>
      <w:tr>
        <w:tc>
          <w:tcPr/>
          <w:p>
            <w:pPr>
              <w:pStyle w:val="Compact"/>
            </w:pPr>
            <w:r>
              <w:t xml:space="preserve">-2.00</w:t>
            </w:r>
          </w:p>
        </w:tc>
        <w:tc>
          <w:tcPr/>
          <w:p>
            <w:pPr>
              <w:pStyle w:val="Compact"/>
            </w:pPr>
            <w:r>
              <w:t xml:space="preserve">0.3927</w:t>
            </w:r>
          </w:p>
        </w:tc>
        <w:tc>
          <w:tcPr/>
          <w:p>
            <w:pPr>
              <w:pStyle w:val="Compact"/>
            </w:pPr>
            <w:r>
              <w:t xml:space="preserve">0.967699</w:t>
            </w:r>
          </w:p>
        </w:tc>
        <w:tc>
          <w:tcPr/>
          <w:p>
            <w:pPr>
              <w:pStyle w:val="Compact"/>
            </w:pPr>
            <w:r>
              <w:t xml:space="preserve">0.967805</w:t>
            </w:r>
          </w:p>
        </w:tc>
        <w:tc>
          <w:tcPr/>
          <w:p>
            <w:pPr>
              <w:pStyle w:val="Compact"/>
            </w:pPr>
            <w:r>
              <w:t xml:space="preserve">1.1e-04</w:t>
            </w:r>
          </w:p>
        </w:tc>
      </w:tr>
    </w:tbl>
    <w:p>
      <w:pPr>
        <w:pStyle w:val="BodyText"/>
      </w:pPr>
      <w:r>
        <w:t xml:space="preserve">Table B2. Wall-decay arm. The exact concentration cannot be predicted from the wall coefficient alone because EPANET’s first-order wall reaction is also limited by mass transfer, so what is asserted is the sign, monotonicity, and that the result stays above the mass-transfer-free limit.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k_w (m/day)</w:t>
            </w:r>
          </w:p>
        </w:tc>
        <w:tc>
          <w:tcPr/>
          <w:p>
            <w:pPr>
              <w:pStyle w:val="Compact"/>
            </w:pPr>
            <w:r>
              <w:t xml:space="preserve">EPANET C</w:t>
            </w:r>
          </w:p>
        </w:tc>
        <w:tc>
          <w:tcPr/>
          <w:p>
            <w:pPr>
              <w:pStyle w:val="Compact"/>
            </w:pPr>
            <w:r>
              <w:t xml:space="preserve">Extra decay vs k_w=0</w:t>
            </w:r>
          </w:p>
        </w:tc>
        <w:tc>
          <w:tcPr/>
          <w:p>
            <w:pPr>
              <w:pStyle w:val="Compact"/>
            </w:pPr>
            <w:r>
              <w:t xml:space="preserve">Mass-transfer-free bound</w:t>
            </w:r>
          </w:p>
        </w:tc>
        <w:tc>
          <w:tcPr/>
          <w:p>
            <w:pPr>
              <w:pStyle w:val="Compact"/>
            </w:pPr>
            <w:r>
              <w:t xml:space="preserve">Above bound</w:t>
            </w:r>
          </w:p>
        </w:tc>
      </w:tr>
      <w:tr>
        <w:tc>
          <w:tcPr/>
          <w:p>
            <w:pPr>
              <w:pStyle w:val="Compact"/>
            </w:pPr>
            <w:r>
              <w:t xml:space="preserve">0.00</w:t>
            </w:r>
          </w:p>
        </w:tc>
        <w:tc>
          <w:tcPr/>
          <w:p>
            <w:pPr>
              <w:pStyle w:val="Compact"/>
            </w:pPr>
            <w:r>
              <w:t xml:space="preserve">0.991846</w:t>
            </w:r>
          </w:p>
        </w:tc>
        <w:tc>
          <w:tcPr/>
          <w:p>
            <w:pPr>
              <w:pStyle w:val="Compact"/>
            </w:pPr>
            <w:r>
              <w:t xml:space="preserve">0.000000</w:t>
            </w:r>
          </w:p>
        </w:tc>
        <w:tc>
          <w:tcPr/>
          <w:p>
            <w:pPr>
              <w:pStyle w:val="Compact"/>
            </w:pPr>
            <w:r>
              <w:t xml:space="preserve">0.991852</w:t>
            </w:r>
          </w:p>
        </w:tc>
        <w:tc>
          <w:tcPr/>
          <w:p>
            <w:pPr>
              <w:pStyle w:val="Compact"/>
            </w:pPr>
            <w:r>
              <w:t xml:space="preserve">n/a</w:t>
            </w:r>
          </w:p>
        </w:tc>
      </w:tr>
      <w:tr>
        <w:tc>
          <w:tcPr/>
          <w:p>
            <w:pPr>
              <w:pStyle w:val="Compact"/>
            </w:pPr>
            <w:r>
              <w:t xml:space="preserve">-0.10</w:t>
            </w:r>
          </w:p>
        </w:tc>
        <w:tc>
          <w:tcPr/>
          <w:p>
            <w:pPr>
              <w:pStyle w:val="Compact"/>
            </w:pPr>
            <w:r>
              <w:t xml:space="preserve">0.971232</w:t>
            </w:r>
          </w:p>
        </w:tc>
        <w:tc>
          <w:tcPr/>
          <w:p>
            <w:pPr>
              <w:pStyle w:val="Compact"/>
            </w:pPr>
            <w:r>
              <w:t xml:space="preserve">0.020613</w:t>
            </w:r>
          </w:p>
        </w:tc>
        <w:tc>
          <w:tcPr/>
          <w:p>
            <w:pPr>
              <w:pStyle w:val="Compact"/>
            </w:pPr>
            <w:r>
              <w:t xml:space="preserve">0.970448</w:t>
            </w:r>
          </w:p>
        </w:tc>
        <w:tc>
          <w:tcPr/>
          <w:p>
            <w:pPr>
              <w:pStyle w:val="Compact"/>
            </w:pPr>
            <w:r>
              <w:t xml:space="preserve">yes</w:t>
            </w:r>
          </w:p>
        </w:tc>
      </w:tr>
      <w:tr>
        <w:tc>
          <w:tcPr/>
          <w:p>
            <w:pPr>
              <w:pStyle w:val="Compact"/>
            </w:pPr>
            <w:r>
              <w:t xml:space="preserve">-0.50</w:t>
            </w:r>
          </w:p>
        </w:tc>
        <w:tc>
          <w:tcPr/>
          <w:p>
            <w:pPr>
              <w:pStyle w:val="Compact"/>
            </w:pPr>
            <w:r>
              <w:t xml:space="preserve">0.905719</w:t>
            </w:r>
          </w:p>
        </w:tc>
        <w:tc>
          <w:tcPr/>
          <w:p>
            <w:pPr>
              <w:pStyle w:val="Compact"/>
            </w:pPr>
            <w:r>
              <w:t xml:space="preserve">0.086127</w:t>
            </w:r>
          </w:p>
        </w:tc>
        <w:tc>
          <w:tcPr/>
          <w:p>
            <w:pPr>
              <w:pStyle w:val="Compact"/>
            </w:pPr>
            <w:r>
              <w:t xml:space="preserve">0.889350</w:t>
            </w:r>
          </w:p>
        </w:tc>
        <w:tc>
          <w:tcPr/>
          <w:p>
            <w:pPr>
              <w:pStyle w:val="Compact"/>
            </w:pPr>
            <w:r>
              <w:t xml:space="preserve">yes</w:t>
            </w:r>
          </w:p>
        </w:tc>
      </w:tr>
      <w:tr>
        <w:tc>
          <w:tcPr/>
          <w:p>
            <w:pPr>
              <w:pStyle w:val="Compact"/>
            </w:pPr>
            <w:r>
              <w:t xml:space="preserve">-1.00</w:t>
            </w:r>
          </w:p>
        </w:tc>
        <w:tc>
          <w:tcPr/>
          <w:p>
            <w:pPr>
              <w:pStyle w:val="Compact"/>
            </w:pPr>
            <w:r>
              <w:t xml:space="preserve">0.849034</w:t>
            </w:r>
          </w:p>
        </w:tc>
        <w:tc>
          <w:tcPr/>
          <w:p>
            <w:pPr>
              <w:pStyle w:val="Compact"/>
            </w:pPr>
            <w:r>
              <w:t xml:space="preserve">0.142812</w:t>
            </w:r>
          </w:p>
        </w:tc>
        <w:tc>
          <w:tcPr/>
          <w:p>
            <w:pPr>
              <w:pStyle w:val="Compact"/>
            </w:pPr>
            <w:r>
              <w:t xml:space="preserve">0.797441</w:t>
            </w:r>
          </w:p>
        </w:tc>
        <w:tc>
          <w:tcPr/>
          <w:p>
            <w:pPr>
              <w:pStyle w:val="Compact"/>
            </w:pPr>
            <w:r>
              <w:t xml:space="preserve">yes</w:t>
            </w:r>
          </w:p>
        </w:tc>
      </w:tr>
      <w:tr>
        <w:tc>
          <w:tcPr/>
          <w:p>
            <w:pPr>
              <w:pStyle w:val="Compact"/>
            </w:pPr>
            <w:r>
              <w:t xml:space="preserve">-2.00</w:t>
            </w:r>
          </w:p>
        </w:tc>
        <w:tc>
          <w:tcPr/>
          <w:p>
            <w:pPr>
              <w:pStyle w:val="Compact"/>
            </w:pPr>
            <w:r>
              <w:t xml:space="preserve">0.779180</w:t>
            </w:r>
          </w:p>
        </w:tc>
        <w:tc>
          <w:tcPr/>
          <w:p>
            <w:pPr>
              <w:pStyle w:val="Compact"/>
            </w:pPr>
            <w:r>
              <w:t xml:space="preserve">0.212665</w:t>
            </w:r>
          </w:p>
        </w:tc>
        <w:tc>
          <w:tcPr/>
          <w:p>
            <w:pPr>
              <w:pStyle w:val="Compact"/>
            </w:pPr>
            <w:r>
              <w:t xml:space="preserve">0.641136</w:t>
            </w:r>
          </w:p>
        </w:tc>
        <w:tc>
          <w:tcPr/>
          <w:p>
            <w:pPr>
              <w:pStyle w:val="Compact"/>
            </w:pPr>
            <w:r>
              <w:t xml:space="preserve">yes</w:t>
            </w:r>
          </w:p>
        </w:tc>
      </w:tr>
    </w:tbl>
    <w:p>
      <w:pPr>
        <w:pStyle w:val="BodyText"/>
      </w:pPr>
      <w:r>
        <w:t xml:space="preserve">Table B3. Unit-equivalence test over 256 leading Sobol candidates. The corrected implementation reproduces the superseded one to floating-point precision. The units-only arm shows what correcting the concentrations while leaving the solver tolerance at the EPANET default would have cost.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Max absolute difference (mg L-1)</w:t>
            </w:r>
          </w:p>
        </w:tc>
        <w:tc>
          <w:tcPr/>
          <w:p>
            <w:pPr>
              <w:pStyle w:val="Compact"/>
            </w:pPr>
            <w:r>
              <w:t xml:space="preserve">Max relative difference</w:t>
            </w:r>
          </w:p>
        </w:tc>
        <w:tc>
          <w:tcPr/>
          <w:p>
            <w:pPr>
              <w:pStyle w:val="Compact"/>
            </w:pPr>
            <w:r>
              <w:t xml:space="preserve">Points below threshold</w:t>
            </w:r>
          </w:p>
        </w:tc>
        <w:tc>
          <w:tcPr/>
          <w:p>
            <w:pPr>
              <w:pStyle w:val="Compact"/>
            </w:pPr>
            <w:r>
              <w:t xml:space="preserve">Duration cells that differ</w:t>
            </w:r>
          </w:p>
        </w:tc>
      </w:tr>
      <w:tr>
        <w:tc>
          <w:tcPr/>
          <w:p>
            <w:pPr>
              <w:pStyle w:val="Compact"/>
            </w:pPr>
            <w:r>
              <w:t xml:space="preserve">corrected vs legacy</w:t>
            </w:r>
          </w:p>
        </w:tc>
        <w:tc>
          <w:tcPr/>
          <w:p>
            <w:pPr>
              <w:pStyle w:val="Compact"/>
            </w:pPr>
            <w:r>
              <w:t xml:space="preserve">1.19e-07</w:t>
            </w:r>
          </w:p>
        </w:tc>
        <w:tc>
          <w:tcPr/>
          <w:p>
            <w:pPr>
              <w:pStyle w:val="Compact"/>
            </w:pPr>
            <w:r>
              <w:t xml:space="preserve">2.33e-07</w:t>
            </w:r>
          </w:p>
        </w:tc>
        <w:tc>
          <w:tcPr/>
          <w:p>
            <w:pPr>
              <w:pStyle w:val="Compact"/>
            </w:pPr>
            <w:r>
              <w:t xml:space="preserve">79391 -&gt; 79391</w:t>
            </w:r>
          </w:p>
        </w:tc>
        <w:tc>
          <w:tcPr/>
          <w:p>
            <w:pPr>
              <w:pStyle w:val="Compact"/>
            </w:pPr>
            <w:r>
              <w:t xml:space="preserve">0 of 23552</w:t>
            </w:r>
          </w:p>
        </w:tc>
      </w:tr>
      <w:tr>
        <w:tc>
          <w:tcPr/>
          <w:p>
            <w:pPr>
              <w:pStyle w:val="Compact"/>
            </w:pPr>
            <w:r>
              <w:t xml:space="preserve">units only vs legacy</w:t>
            </w:r>
          </w:p>
        </w:tc>
        <w:tc>
          <w:tcPr/>
          <w:p>
            <w:pPr>
              <w:pStyle w:val="Compact"/>
            </w:pPr>
            <w:r>
              <w:t xml:space="preserve">2.09e-02</w:t>
            </w:r>
          </w:p>
        </w:tc>
        <w:tc>
          <w:tcPr/>
          <w:p>
            <w:pPr>
              <w:pStyle w:val="Compact"/>
            </w:pPr>
            <w:r>
              <w:t xml:space="preserve">1.78e-01</w:t>
            </w:r>
          </w:p>
        </w:tc>
        <w:tc>
          <w:tcPr/>
          <w:p>
            <w:pPr>
              <w:pStyle w:val="Compact"/>
            </w:pPr>
            <w:r>
              <w:t xml:space="preserve">79391 -&gt; 79301</w:t>
            </w:r>
          </w:p>
        </w:tc>
        <w:tc>
          <w:tcPr/>
          <w:p>
            <w:pPr>
              <w:pStyle w:val="Compact"/>
            </w:pPr>
            <w:r>
              <w:t xml:space="preserve">440 of 23552</w:t>
            </w:r>
          </w:p>
        </w:tc>
      </w:tr>
    </w:tbl>
    <w:p>
      <w:pPr>
        <w:pStyle w:val="BodyText"/>
      </w:pPr>
      <w:r>
        <w:t xml:space="preserve">The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w:t>
      </w:r>
      <w:r>
        <w:t xml:space="preserve">rather than left at the EPANET default of</w:t>
      </w:r>
      <w:r>
        <w:t xml:space="preserve"> </w:t>
      </w:r>
      <w:r>
        <w:t xml:space="preserve">0.01 mg L</w:t>
      </w:r>
      <w:r>
        <w:rPr>
          <w:vertAlign w:val="superscript"/>
        </w:rPr>
        <w:t xml:space="preserve">-1</w:t>
      </w:r>
      <w:r>
        <w:t xml:space="preserve">. This is a chosen numerical setting, not a unit conversion: WNTR writes the</w:t>
      </w:r>
      <w:r>
        <w:t xml:space="preserve"> </w:t>
      </w:r>
      <w:r>
        <w:t xml:space="preserve">tolerance into the input file verbatim while converting concentrations, so the file receives</w:t>
      </w:r>
      <w:r>
        <w:t xml:space="preserve"> </w:t>
      </w:r>
      <w:r>
        <w:rPr>
          <w:rStyle w:val="VerbatimChar"/>
        </w:rPr>
        <w:t xml:space="preserve">TOLERANCE 1e-05</w:t>
      </w:r>
      <w:r>
        <w:t xml:space="preserve"> </w:t>
      </w:r>
      <w:r>
        <w:t xml:space="preserve">and EPANET reads it in mg L</w:t>
      </w:r>
      <w:r>
        <w:rPr>
          <w:vertAlign w:val="superscript"/>
        </w:rPr>
        <w:t xml:space="preserve">-1</w:t>
      </w:r>
      <w:r>
        <w:t xml:space="preserve">. Holding the tolerance-to-source ratio fixed is</w:t>
      </w:r>
      <w:r>
        <w:t xml:space="preserve"> </w:t>
      </w:r>
      <w:r>
        <w:t xml:space="preserve">what allows the corrected and superseded implementations to be compared as the same numerical</w:t>
      </w:r>
      <w:r>
        <w:t xml:space="preserve"> </w:t>
      </w:r>
      <w:r>
        <w:t xml:space="preserve">experiment in Table B3.</w:t>
      </w:r>
    </w:p>
    <w:p>
      <w:pPr>
        <w:pStyle w:val="BodyText"/>
      </w:pPr>
      <w:r>
        <w:t xml:space="preserve">A related defect is worth recording for anyone reusing this toolchain. The same root cause, that</w:t>
      </w:r>
      <w:r>
        <w:t xml:space="preserve"> </w:t>
      </w:r>
      <w:r>
        <w:t xml:space="preserve">concentrations are converted on file write while some reaction coefficients are not, means a</w:t>
      </w:r>
      <w:r>
        <w:t xml:space="preserve"> </w:t>
      </w:r>
      <w:r>
        <w:t xml:space="preserve">zero-order bulk coefficient passed through the WNTR 1.4 API arrives at EPANET unscaled while the</w:t>
      </w:r>
      <w:r>
        <w:t xml:space="preserve"> </w:t>
      </w:r>
      <w:r>
        <w:t xml:space="preserve">concentrations around it have been scaled, giving reaction rates a thousand times smaller than</w:t>
      </w:r>
      <w:r>
        <w:t xml:space="preserve"> </w:t>
      </w:r>
      <w:r>
        <w:t xml:space="preserve">nominal. First-order coefficients carry no mass unit and are unaffected, which is why the checks</w:t>
      </w:r>
      <w:r>
        <w:t xml:space="preserve"> </w:t>
      </w:r>
      <w:r>
        <w:t xml:space="preserve">in Tables B1 and B2 pass either way.</w:t>
      </w:r>
    </w:p>
    <w:bookmarkEnd w:id="160"/>
    <w:bookmarkStart w:id="161" w:name="X27ef15b8fad7bb29a56bb09609875822f773d4e"/>
    <w:p>
      <w:pPr>
        <w:pStyle w:val="Heading2"/>
      </w:pPr>
      <w:r>
        <w:t xml:space="preserve">Appendix C. Threshold sweep and displaced-prior matrices</w:t>
      </w:r>
    </w:p>
    <w:p>
      <w:pPr>
        <w:pStyle w:val="FirstParagraph"/>
      </w:pPr>
      <w:r>
        <w:t xml:space="preserve">Table C1. Behavioural-threshold sweep for the informal comparator. Tightening the cut-off removes candidates but cannot restore the information factor the score omits, so the retained widths stay far above the formal values.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 (mg L-1)</w:t>
            </w:r>
          </w:p>
        </w:tc>
        <w:tc>
          <w:tcPr/>
          <w:p>
            <w:pPr>
              <w:pStyle w:val="Compact"/>
            </w:pPr>
            <w:r>
              <w:t xml:space="preserve">Retained</w:t>
            </w:r>
          </w:p>
        </w:tc>
        <w:tc>
          <w:tcPr/>
          <w:p>
            <w:pPr>
              <w:pStyle w:val="Compact"/>
            </w:pPr>
            <w:r>
              <w:t xml:space="preserve">Retention</w:t>
            </w:r>
          </w:p>
        </w:tc>
        <w:tc>
          <w:tcPr/>
          <w:p>
            <w:pPr>
              <w:pStyle w:val="Compact"/>
            </w:pPr>
            <w:r>
              <w:t xml:space="preserve">SD above sigma</w:t>
            </w:r>
          </w:p>
        </w:tc>
        <w:tc>
          <w:tcPr/>
          <w:p>
            <w:pPr>
              <w:pStyle w:val="Compact"/>
            </w:pPr>
            <w:r>
              <w:t xml:space="preserve">old SD (retained)</w:t>
            </w:r>
          </w:p>
        </w:tc>
        <w:tc>
          <w:tcPr/>
          <w:p>
            <w:pPr>
              <w:pStyle w:val="Compact"/>
            </w:pPr>
            <w:r>
              <w:t xml:space="preserve">average SD (retained)</w:t>
            </w:r>
          </w:p>
        </w:tc>
        <w:tc>
          <w:tcPr/>
          <w:p>
            <w:pPr>
              <w:pStyle w:val="Compact"/>
            </w:pPr>
            <w:r>
              <w:t xml:space="preserve">new SD (retained)</w:t>
            </w:r>
          </w:p>
        </w:tc>
      </w:tr>
      <w:tr>
        <w:tc>
          <w:tcPr/>
          <w:p>
            <w:pPr>
              <w:pStyle w:val="Compact"/>
            </w:pPr>
            <w:r>
              <w:t xml:space="preserve">0.107</w:t>
            </w:r>
          </w:p>
        </w:tc>
        <w:tc>
          <w:tcPr/>
          <w:p>
            <w:pPr>
              <w:pStyle w:val="Compact"/>
            </w:pPr>
            <w:r>
              <w:t xml:space="preserve">4786</w:t>
            </w:r>
          </w:p>
        </w:tc>
        <w:tc>
          <w:tcPr/>
          <w:p>
            <w:pPr>
              <w:pStyle w:val="Compact"/>
            </w:pPr>
            <w:r>
              <w:t xml:space="preserve">58.4%</w:t>
            </w:r>
          </w:p>
        </w:tc>
        <w:tc>
          <w:tcPr/>
          <w:p>
            <w:pPr>
              <w:pStyle w:val="Compact"/>
            </w:pPr>
            <w:r>
              <w:t xml:space="preserve">1.70</w:t>
            </w:r>
          </w:p>
        </w:tc>
        <w:tc>
          <w:tcPr/>
          <w:p>
            <w:pPr>
              <w:pStyle w:val="Compact"/>
            </w:pPr>
            <w:r>
              <w:t xml:space="preserve">0.2668 (71.1%)</w:t>
            </w:r>
          </w:p>
        </w:tc>
        <w:tc>
          <w:tcPr/>
          <w:p>
            <w:pPr>
              <w:pStyle w:val="Compact"/>
            </w:pPr>
            <w:r>
              <w:t xml:space="preserve">0.0424 (91.8%)</w:t>
            </w:r>
          </w:p>
        </w:tc>
        <w:tc>
          <w:tcPr/>
          <w:p>
            <w:pPr>
              <w:pStyle w:val="Compact"/>
            </w:pPr>
            <w:r>
              <w:t xml:space="preserve">0.0242 (88.2%)</w:t>
            </w:r>
          </w:p>
        </w:tc>
      </w:tr>
      <w:tr>
        <w:tc>
          <w:tcPr/>
          <w:p>
            <w:pPr>
              <w:pStyle w:val="Compact"/>
            </w:pPr>
            <w:r>
              <w:t xml:space="preserve">0.110</w:t>
            </w:r>
          </w:p>
        </w:tc>
        <w:tc>
          <w:tcPr/>
          <w:p>
            <w:pPr>
              <w:pStyle w:val="Compact"/>
            </w:pPr>
            <w:r>
              <w:t xml:space="preserve">5668</w:t>
            </w:r>
          </w:p>
        </w:tc>
        <w:tc>
          <w:tcPr/>
          <w:p>
            <w:pPr>
              <w:pStyle w:val="Compact"/>
            </w:pPr>
            <w:r>
              <w:t xml:space="preserve">69.2%</w:t>
            </w:r>
          </w:p>
        </w:tc>
        <w:tc>
          <w:tcPr/>
          <w:p>
            <w:pPr>
              <w:pStyle w:val="Compact"/>
            </w:pPr>
            <w:r>
              <w:t xml:space="preserve">2.42</w:t>
            </w:r>
          </w:p>
        </w:tc>
        <w:tc>
          <w:tcPr/>
          <w:p>
            <w:pPr>
              <w:pStyle w:val="Compact"/>
            </w:pPr>
            <w:r>
              <w:t xml:space="preserve">0.2844 (75.8%)</w:t>
            </w:r>
          </w:p>
        </w:tc>
        <w:tc>
          <w:tcPr/>
          <w:p>
            <w:pPr>
              <w:pStyle w:val="Compact"/>
            </w:pPr>
            <w:r>
              <w:t xml:space="preserve">0.0437 (94.5%)</w:t>
            </w:r>
          </w:p>
        </w:tc>
        <w:tc>
          <w:tcPr/>
          <w:p>
            <w:pPr>
              <w:pStyle w:val="Compact"/>
            </w:pPr>
            <w:r>
              <w:t xml:space="preserve">0.0254 (92.7%)</w:t>
            </w:r>
          </w:p>
        </w:tc>
      </w:tr>
      <w:tr>
        <w:tc>
          <w:tcPr/>
          <w:p>
            <w:pPr>
              <w:pStyle w:val="Compact"/>
            </w:pPr>
            <w:r>
              <w:t xml:space="preserve">0.120</w:t>
            </w:r>
          </w:p>
        </w:tc>
        <w:tc>
          <w:tcPr/>
          <w:p>
            <w:pPr>
              <w:pStyle w:val="Compact"/>
            </w:pPr>
            <w:r>
              <w:t xml:space="preserve">7084</w:t>
            </w:r>
          </w:p>
        </w:tc>
        <w:tc>
          <w:tcPr/>
          <w:p>
            <w:pPr>
              <w:pStyle w:val="Compact"/>
            </w:pPr>
            <w:r>
              <w:t xml:space="preserve">86.5%</w:t>
            </w:r>
          </w:p>
        </w:tc>
        <w:tc>
          <w:tcPr/>
          <w:p>
            <w:pPr>
              <w:pStyle w:val="Compact"/>
            </w:pPr>
            <w:r>
              <w:t xml:space="preserve">4.85</w:t>
            </w:r>
          </w:p>
        </w:tc>
        <w:tc>
          <w:tcPr/>
          <w:p>
            <w:pPr>
              <w:pStyle w:val="Compact"/>
            </w:pPr>
            <w:r>
              <w:t xml:space="preserve">0.3220 (85.8%)</w:t>
            </w:r>
          </w:p>
        </w:tc>
        <w:tc>
          <w:tcPr/>
          <w:p>
            <w:pPr>
              <w:pStyle w:val="Compact"/>
            </w:pPr>
            <w:r>
              <w:t xml:space="preserve">0.0455 (98.4%)</w:t>
            </w:r>
          </w:p>
        </w:tc>
        <w:tc>
          <w:tcPr/>
          <w:p>
            <w:pPr>
              <w:pStyle w:val="Compact"/>
            </w:pPr>
            <w:r>
              <w:t xml:space="preserve">0.0269 (98.0%)</w:t>
            </w:r>
          </w:p>
        </w:tc>
      </w:tr>
    </w:tbl>
    <w:p>
      <w:pPr>
        <w:pStyle w:val="BodyText"/>
      </w:pPr>
      <w:r>
        <w:t xml:space="preserve">Table C2. Displaced-prior recovery over 30 noise realisations, as the median fraction of the imposed displacement recovered with its interquartile range, and the retained prior width. DOWN displaces every coefficient towards stronger decay; OLDUP displaces the old coefficient the other 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Design</w:t>
            </w:r>
          </w:p>
        </w:tc>
        <w:tc>
          <w:tcPr/>
          <w:p>
            <w:pPr>
              <w:pStyle w:val="Compact"/>
            </w:pPr>
            <w:r>
              <w:t xml:space="preserve">Rule</w:t>
            </w:r>
          </w:p>
        </w:tc>
        <w:tc>
          <w:tcPr/>
          <w:p>
            <w:pPr>
              <w:pStyle w:val="Compact"/>
            </w:pPr>
            <w:r>
              <w:t xml:space="preserve">Coefficient</w:t>
            </w:r>
          </w:p>
        </w:tc>
        <w:tc>
          <w:tcPr/>
          <w:p>
            <w:pPr>
              <w:pStyle w:val="Compact"/>
            </w:pPr>
            <w:r>
              <w:t xml:space="preserve">Displacement recovered [IQR]</w:t>
            </w:r>
          </w:p>
        </w:tc>
        <w:tc>
          <w:tcPr/>
          <w:p>
            <w:pPr>
              <w:pStyle w:val="Compact"/>
            </w:pPr>
            <w:r>
              <w:t xml:space="preserve">Prior SD retained</w:t>
            </w:r>
          </w:p>
        </w:tc>
      </w:tr>
      <w:tr>
        <w:tc>
          <w:tcPr/>
          <w:p>
            <w:pPr>
              <w:pStyle w:val="Compact"/>
            </w:pPr>
            <w:r>
              <w:t xml:space="preserve">DOWN</w:t>
            </w:r>
          </w:p>
        </w:tc>
        <w:tc>
          <w:tcPr/>
          <w:p>
            <w:pPr>
              <w:pStyle w:val="Compact"/>
            </w:pPr>
            <w:r>
              <w:t xml:space="preserve">formal censored</w:t>
            </w:r>
          </w:p>
        </w:tc>
        <w:tc>
          <w:tcPr/>
          <w:p>
            <w:pPr>
              <w:pStyle w:val="Compact"/>
            </w:pPr>
            <w:r>
              <w:t xml:space="preserve">old</w:t>
            </w:r>
          </w:p>
        </w:tc>
        <w:tc>
          <w:tcPr/>
          <w:p>
            <w:pPr>
              <w:pStyle w:val="Compact"/>
            </w:pPr>
            <w:r>
              <w:t xml:space="preserve">88% [67-104]</w:t>
            </w:r>
          </w:p>
        </w:tc>
        <w:tc>
          <w:tcPr/>
          <w:p>
            <w:pPr>
              <w:pStyle w:val="Compact"/>
            </w:pPr>
            <w:r>
              <w:t xml:space="preserve">27%</w:t>
            </w:r>
          </w:p>
        </w:tc>
      </w:tr>
      <w:tr>
        <w:tc>
          <w:tcPr/>
          <w:p>
            <w:pPr>
              <w:pStyle w:val="Compact"/>
            </w:pPr>
            <w:r>
              <w:t xml:space="preserve">DOWN</w:t>
            </w:r>
          </w:p>
        </w:tc>
        <w:tc>
          <w:tcPr/>
          <w:p>
            <w:pPr>
              <w:pStyle w:val="Compact"/>
            </w:pPr>
            <w:r>
              <w:t xml:space="preserve">formal censored</w:t>
            </w:r>
          </w:p>
        </w:tc>
        <w:tc>
          <w:tcPr/>
          <w:p>
            <w:pPr>
              <w:pStyle w:val="Compact"/>
            </w:pPr>
            <w:r>
              <w:t xml:space="preserve">avg</w:t>
            </w:r>
          </w:p>
        </w:tc>
        <w:tc>
          <w:tcPr/>
          <w:p>
            <w:pPr>
              <w:pStyle w:val="Compact"/>
            </w:pPr>
            <w:r>
              <w:t xml:space="preserve">95% [75-110]</w:t>
            </w:r>
          </w:p>
        </w:tc>
        <w:tc>
          <w:tcPr/>
          <w:p>
            <w:pPr>
              <w:pStyle w:val="Compact"/>
            </w:pPr>
            <w:r>
              <w:t xml:space="preserve">29%</w:t>
            </w:r>
          </w:p>
        </w:tc>
      </w:tr>
      <w:tr>
        <w:tc>
          <w:tcPr/>
          <w:p>
            <w:pPr>
              <w:pStyle w:val="Compact"/>
            </w:pPr>
            <w:r>
              <w:t xml:space="preserve">DOWN</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28%</w:t>
            </w:r>
          </w:p>
        </w:tc>
      </w:tr>
      <w:tr>
        <w:tc>
          <w:tcPr/>
          <w:p>
            <w:pPr>
              <w:pStyle w:val="Compact"/>
            </w:pPr>
            <w:r>
              <w:t xml:space="preserve">DOWN</w:t>
            </w:r>
          </w:p>
        </w:tc>
        <w:tc>
          <w:tcPr/>
          <w:p>
            <w:pPr>
              <w:pStyle w:val="Compact"/>
            </w:pPr>
            <w:r>
              <w:t xml:space="preserve">informal glue@0.107</w:t>
            </w:r>
          </w:p>
        </w:tc>
        <w:tc>
          <w:tcPr/>
          <w:p>
            <w:pPr>
              <w:pStyle w:val="Compact"/>
            </w:pPr>
            <w:r>
              <w:t xml:space="preserve">old</w:t>
            </w:r>
          </w:p>
        </w:tc>
        <w:tc>
          <w:tcPr/>
          <w:p>
            <w:pPr>
              <w:pStyle w:val="Compact"/>
            </w:pPr>
            <w:r>
              <w:t xml:space="preserve">28% [14-55]</w:t>
            </w:r>
          </w:p>
        </w:tc>
        <w:tc>
          <w:tcPr/>
          <w:p>
            <w:pPr>
              <w:pStyle w:val="Compact"/>
            </w:pPr>
            <w:r>
              <w:t xml:space="preserve">92%</w:t>
            </w:r>
          </w:p>
        </w:tc>
      </w:tr>
      <w:tr>
        <w:tc>
          <w:tcPr/>
          <w:p>
            <w:pPr>
              <w:pStyle w:val="Compact"/>
            </w:pPr>
            <w:r>
              <w:t xml:space="preserve">DOWN</w:t>
            </w:r>
          </w:p>
        </w:tc>
        <w:tc>
          <w:tcPr/>
          <w:p>
            <w:pPr>
              <w:pStyle w:val="Compact"/>
            </w:pPr>
            <w:r>
              <w:t xml:space="preserve">informal glue@0.107</w:t>
            </w:r>
          </w:p>
        </w:tc>
        <w:tc>
          <w:tcPr/>
          <w:p>
            <w:pPr>
              <w:pStyle w:val="Compact"/>
            </w:pPr>
            <w:r>
              <w:t xml:space="preserve">avg</w:t>
            </w:r>
          </w:p>
        </w:tc>
        <w:tc>
          <w:tcPr/>
          <w:p>
            <w:pPr>
              <w:pStyle w:val="Compact"/>
            </w:pPr>
            <w:r>
              <w:t xml:space="preserve">43% [27-58]</w:t>
            </w:r>
          </w:p>
        </w:tc>
        <w:tc>
          <w:tcPr/>
          <w:p>
            <w:pPr>
              <w:pStyle w:val="Compact"/>
            </w:pPr>
            <w:r>
              <w:t xml:space="preserve">87%</w:t>
            </w:r>
          </w:p>
        </w:tc>
      </w:tr>
      <w:tr>
        <w:tc>
          <w:tcPr/>
          <w:p>
            <w:pPr>
              <w:pStyle w:val="Compact"/>
            </w:pPr>
            <w:r>
              <w:t xml:space="preserve">DOWN</w:t>
            </w:r>
          </w:p>
        </w:tc>
        <w:tc>
          <w:tcPr/>
          <w:p>
            <w:pPr>
              <w:pStyle w:val="Compact"/>
            </w:pPr>
            <w:r>
              <w:t xml:space="preserve">informal glue@0.107</w:t>
            </w:r>
          </w:p>
        </w:tc>
        <w:tc>
          <w:tcPr/>
          <w:p>
            <w:pPr>
              <w:pStyle w:val="Compact"/>
            </w:pPr>
            <w:r>
              <w:t xml:space="preserve">new</w:t>
            </w:r>
          </w:p>
        </w:tc>
        <w:tc>
          <w:tcPr/>
          <w:p>
            <w:pPr>
              <w:pStyle w:val="Compact"/>
            </w:pPr>
            <w:r>
              <w:t xml:space="preserve">78% [56-82]</w:t>
            </w:r>
          </w:p>
        </w:tc>
        <w:tc>
          <w:tcPr/>
          <w:p>
            <w:pPr>
              <w:pStyle w:val="Compact"/>
            </w:pPr>
            <w:r>
              <w:t xml:space="preserve">65%</w:t>
            </w:r>
          </w:p>
        </w:tc>
      </w:tr>
      <w:tr>
        <w:tc>
          <w:tcPr/>
          <w:p>
            <w:pPr>
              <w:pStyle w:val="Compact"/>
            </w:pPr>
            <w:r>
              <w:t xml:space="preserve">DOWN</w:t>
            </w:r>
          </w:p>
        </w:tc>
        <w:tc>
          <w:tcPr/>
          <w:p>
            <w:pPr>
              <w:pStyle w:val="Compact"/>
            </w:pPr>
            <w:r>
              <w:t xml:space="preserve">informal glue@0.12</w:t>
            </w:r>
          </w:p>
        </w:tc>
        <w:tc>
          <w:tcPr/>
          <w:p>
            <w:pPr>
              <w:pStyle w:val="Compact"/>
            </w:pPr>
            <w:r>
              <w:t xml:space="preserve">old</w:t>
            </w:r>
          </w:p>
        </w:tc>
        <w:tc>
          <w:tcPr/>
          <w:p>
            <w:pPr>
              <w:pStyle w:val="Compact"/>
            </w:pPr>
            <w:r>
              <w:t xml:space="preserve">9% [5-13]</w:t>
            </w:r>
          </w:p>
        </w:tc>
        <w:tc>
          <w:tcPr/>
          <w:p>
            <w:pPr>
              <w:pStyle w:val="Compact"/>
            </w:pPr>
            <w:r>
              <w:t xml:space="preserve">99%</w:t>
            </w:r>
          </w:p>
        </w:tc>
      </w:tr>
      <w:tr>
        <w:tc>
          <w:tcPr/>
          <w:p>
            <w:pPr>
              <w:pStyle w:val="Compact"/>
            </w:pPr>
            <w:r>
              <w:t xml:space="preserve">DOWN</w:t>
            </w:r>
          </w:p>
        </w:tc>
        <w:tc>
          <w:tcPr/>
          <w:p>
            <w:pPr>
              <w:pStyle w:val="Compact"/>
            </w:pPr>
            <w:r>
              <w:t xml:space="preserve">informal glue@0.12</w:t>
            </w:r>
          </w:p>
        </w:tc>
        <w:tc>
          <w:tcPr/>
          <w:p>
            <w:pPr>
              <w:pStyle w:val="Compact"/>
            </w:pPr>
            <w:r>
              <w:t xml:space="preserve">avg</w:t>
            </w:r>
          </w:p>
        </w:tc>
        <w:tc>
          <w:tcPr/>
          <w:p>
            <w:pPr>
              <w:pStyle w:val="Compact"/>
            </w:pPr>
            <w:r>
              <w:t xml:space="preserve">14% [10-19]</w:t>
            </w:r>
          </w:p>
        </w:tc>
        <w:tc>
          <w:tcPr/>
          <w:p>
            <w:pPr>
              <w:pStyle w:val="Compact"/>
            </w:pPr>
            <w:r>
              <w:t xml:space="preserve">97%</w:t>
            </w:r>
          </w:p>
        </w:tc>
      </w:tr>
      <w:tr>
        <w:tc>
          <w:tcPr/>
          <w:p>
            <w:pPr>
              <w:pStyle w:val="Compact"/>
            </w:pPr>
            <w:r>
              <w:t xml:space="preserve">DOWN</w:t>
            </w:r>
          </w:p>
        </w:tc>
        <w:tc>
          <w:tcPr/>
          <w:p>
            <w:pPr>
              <w:pStyle w:val="Compact"/>
            </w:pPr>
            <w:r>
              <w:t xml:space="preserve">informal glue@0.12</w:t>
            </w:r>
          </w:p>
        </w:tc>
        <w:tc>
          <w:tcPr/>
          <w:p>
            <w:pPr>
              <w:pStyle w:val="Compact"/>
            </w:pPr>
            <w:r>
              <w:t xml:space="preserve">new</w:t>
            </w:r>
          </w:p>
        </w:tc>
        <w:tc>
          <w:tcPr/>
          <w:p>
            <w:pPr>
              <w:pStyle w:val="Compact"/>
            </w:pPr>
            <w:r>
              <w:t xml:space="preserve">23% [14-32]</w:t>
            </w:r>
          </w:p>
        </w:tc>
        <w:tc>
          <w:tcPr/>
          <w:p>
            <w:pPr>
              <w:pStyle w:val="Compact"/>
            </w:pPr>
            <w:r>
              <w:t xml:space="preserve">92%</w:t>
            </w:r>
          </w:p>
        </w:tc>
      </w:tr>
      <w:tr>
        <w:tc>
          <w:tcPr/>
          <w:p>
            <w:pPr>
              <w:pStyle w:val="Compact"/>
            </w:pPr>
            <w:r>
              <w:t xml:space="preserve">OLDUP</w:t>
            </w:r>
          </w:p>
        </w:tc>
        <w:tc>
          <w:tcPr/>
          <w:p>
            <w:pPr>
              <w:pStyle w:val="Compact"/>
            </w:pPr>
            <w:r>
              <w:t xml:space="preserve">formal censored</w:t>
            </w:r>
          </w:p>
        </w:tc>
        <w:tc>
          <w:tcPr/>
          <w:p>
            <w:pPr>
              <w:pStyle w:val="Compact"/>
            </w:pPr>
            <w:r>
              <w:t xml:space="preserve">old</w:t>
            </w:r>
          </w:p>
        </w:tc>
        <w:tc>
          <w:tcPr/>
          <w:p>
            <w:pPr>
              <w:pStyle w:val="Compact"/>
            </w:pPr>
            <w:r>
              <w:t xml:space="preserve">112% [95-132]</w:t>
            </w:r>
          </w:p>
        </w:tc>
        <w:tc>
          <w:tcPr/>
          <w:p>
            <w:pPr>
              <w:pStyle w:val="Compact"/>
            </w:pPr>
            <w:r>
              <w:t xml:space="preserve">25%</w:t>
            </w:r>
          </w:p>
        </w:tc>
      </w:tr>
      <w:tr>
        <w:tc>
          <w:tcPr/>
          <w:p>
            <w:pPr>
              <w:pStyle w:val="Compact"/>
            </w:pPr>
            <w:r>
              <w:t xml:space="preserve">OLDUP</w:t>
            </w:r>
          </w:p>
        </w:tc>
        <w:tc>
          <w:tcPr/>
          <w:p>
            <w:pPr>
              <w:pStyle w:val="Compact"/>
            </w:pPr>
            <w:r>
              <w:t xml:space="preserve">formal censored</w:t>
            </w:r>
          </w:p>
        </w:tc>
        <w:tc>
          <w:tcPr/>
          <w:p>
            <w:pPr>
              <w:pStyle w:val="Compact"/>
            </w:pPr>
            <w:r>
              <w:t xml:space="preserve">avg</w:t>
            </w:r>
          </w:p>
        </w:tc>
        <w:tc>
          <w:tcPr/>
          <w:p>
            <w:pPr>
              <w:pStyle w:val="Compact"/>
            </w:pPr>
            <w:r>
              <w:t xml:space="preserve">95% [75-111]</w:t>
            </w:r>
          </w:p>
        </w:tc>
        <w:tc>
          <w:tcPr/>
          <w:p>
            <w:pPr>
              <w:pStyle w:val="Compact"/>
            </w:pPr>
            <w:r>
              <w:t xml:space="preserve">29%</w:t>
            </w:r>
          </w:p>
        </w:tc>
      </w:tr>
      <w:tr>
        <w:tc>
          <w:tcPr/>
          <w:p>
            <w:pPr>
              <w:pStyle w:val="Compact"/>
            </w:pPr>
            <w:r>
              <w:t xml:space="preserve">OLDUP</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29%</w:t>
            </w:r>
          </w:p>
        </w:tc>
      </w:tr>
      <w:tr>
        <w:tc>
          <w:tcPr/>
          <w:p>
            <w:pPr>
              <w:pStyle w:val="Compact"/>
            </w:pPr>
            <w:r>
              <w:t xml:space="preserve">OLDUP</w:t>
            </w:r>
          </w:p>
        </w:tc>
        <w:tc>
          <w:tcPr/>
          <w:p>
            <w:pPr>
              <w:pStyle w:val="Compact"/>
            </w:pPr>
            <w:r>
              <w:t xml:space="preserve">informal glue@0.107</w:t>
            </w:r>
          </w:p>
        </w:tc>
        <w:tc>
          <w:tcPr/>
          <w:p>
            <w:pPr>
              <w:pStyle w:val="Compact"/>
            </w:pPr>
            <w:r>
              <w:t xml:space="preserve">old</w:t>
            </w:r>
          </w:p>
        </w:tc>
        <w:tc>
          <w:tcPr/>
          <w:p>
            <w:pPr>
              <w:pStyle w:val="Compact"/>
            </w:pPr>
            <w:r>
              <w:t xml:space="preserve">85% [75-94]</w:t>
            </w:r>
          </w:p>
        </w:tc>
        <w:tc>
          <w:tcPr/>
          <w:p>
            <w:pPr>
              <w:pStyle w:val="Compact"/>
            </w:pPr>
            <w:r>
              <w:t xml:space="preserve">52%</w:t>
            </w:r>
          </w:p>
        </w:tc>
      </w:tr>
      <w:tr>
        <w:tc>
          <w:tcPr/>
          <w:p>
            <w:pPr>
              <w:pStyle w:val="Compact"/>
            </w:pPr>
            <w:r>
              <w:t xml:space="preserve">OLDUP</w:t>
            </w:r>
          </w:p>
        </w:tc>
        <w:tc>
          <w:tcPr/>
          <w:p>
            <w:pPr>
              <w:pStyle w:val="Compact"/>
            </w:pPr>
            <w:r>
              <w:t xml:space="preserve">informal glue@0.107</w:t>
            </w:r>
          </w:p>
        </w:tc>
        <w:tc>
          <w:tcPr/>
          <w:p>
            <w:pPr>
              <w:pStyle w:val="Compact"/>
            </w:pPr>
            <w:r>
              <w:t xml:space="preserve">avg</w:t>
            </w:r>
          </w:p>
        </w:tc>
        <w:tc>
          <w:tcPr/>
          <w:p>
            <w:pPr>
              <w:pStyle w:val="Compact"/>
            </w:pPr>
            <w:r>
              <w:t xml:space="preserve">43% [29-60]</w:t>
            </w:r>
          </w:p>
        </w:tc>
        <w:tc>
          <w:tcPr/>
          <w:p>
            <w:pPr>
              <w:pStyle w:val="Compact"/>
            </w:pPr>
            <w:r>
              <w:t xml:space="preserve">88%</w:t>
            </w:r>
          </w:p>
        </w:tc>
      </w:tr>
      <w:tr>
        <w:tc>
          <w:tcPr/>
          <w:p>
            <w:pPr>
              <w:pStyle w:val="Compact"/>
            </w:pPr>
            <w:r>
              <w:t xml:space="preserve">OLDUP</w:t>
            </w:r>
          </w:p>
        </w:tc>
        <w:tc>
          <w:tcPr/>
          <w:p>
            <w:pPr>
              <w:pStyle w:val="Compact"/>
            </w:pPr>
            <w:r>
              <w:t xml:space="preserve">informal glue@0.107</w:t>
            </w:r>
          </w:p>
        </w:tc>
        <w:tc>
          <w:tcPr/>
          <w:p>
            <w:pPr>
              <w:pStyle w:val="Compact"/>
            </w:pPr>
            <w:r>
              <w:t xml:space="preserve">new</w:t>
            </w:r>
          </w:p>
        </w:tc>
        <w:tc>
          <w:tcPr/>
          <w:p>
            <w:pPr>
              <w:pStyle w:val="Compact"/>
            </w:pPr>
            <w:r>
              <w:t xml:space="preserve">66% [42-71]</w:t>
            </w:r>
          </w:p>
        </w:tc>
        <w:tc>
          <w:tcPr/>
          <w:p>
            <w:pPr>
              <w:pStyle w:val="Compact"/>
            </w:pPr>
            <w:r>
              <w:t xml:space="preserve">69%</w:t>
            </w:r>
          </w:p>
        </w:tc>
      </w:tr>
      <w:tr>
        <w:tc>
          <w:tcPr/>
          <w:p>
            <w:pPr>
              <w:pStyle w:val="Compact"/>
            </w:pPr>
            <w:r>
              <w:t xml:space="preserve">OLDUP</w:t>
            </w:r>
          </w:p>
        </w:tc>
        <w:tc>
          <w:tcPr/>
          <w:p>
            <w:pPr>
              <w:pStyle w:val="Compact"/>
            </w:pPr>
            <w:r>
              <w:t xml:space="preserve">informal glue@0.12</w:t>
            </w:r>
          </w:p>
        </w:tc>
        <w:tc>
          <w:tcPr/>
          <w:p>
            <w:pPr>
              <w:pStyle w:val="Compact"/>
            </w:pPr>
            <w:r>
              <w:t xml:space="preserve">old</w:t>
            </w:r>
          </w:p>
        </w:tc>
        <w:tc>
          <w:tcPr/>
          <w:p>
            <w:pPr>
              <w:pStyle w:val="Compact"/>
            </w:pPr>
            <w:r>
              <w:t xml:space="preserve">61% [54-64]</w:t>
            </w:r>
          </w:p>
        </w:tc>
        <w:tc>
          <w:tcPr/>
          <w:p>
            <w:pPr>
              <w:pStyle w:val="Compact"/>
            </w:pPr>
            <w:r>
              <w:t xml:space="preserve">68%</w:t>
            </w:r>
          </w:p>
        </w:tc>
      </w:tr>
      <w:tr>
        <w:tc>
          <w:tcPr/>
          <w:p>
            <w:pPr>
              <w:pStyle w:val="Compact"/>
            </w:pPr>
            <w:r>
              <w:t xml:space="preserve">OLDUP</w:t>
            </w:r>
          </w:p>
        </w:tc>
        <w:tc>
          <w:tcPr/>
          <w:p>
            <w:pPr>
              <w:pStyle w:val="Compact"/>
            </w:pPr>
            <w:r>
              <w:t xml:space="preserve">informal glue@0.12</w:t>
            </w:r>
          </w:p>
        </w:tc>
        <w:tc>
          <w:tcPr/>
          <w:p>
            <w:pPr>
              <w:pStyle w:val="Compact"/>
            </w:pPr>
            <w:r>
              <w:t xml:space="preserve">avg</w:t>
            </w:r>
          </w:p>
        </w:tc>
        <w:tc>
          <w:tcPr/>
          <w:p>
            <w:pPr>
              <w:pStyle w:val="Compact"/>
            </w:pPr>
            <w:r>
              <w:t xml:space="preserve">15% [10-20]</w:t>
            </w:r>
          </w:p>
        </w:tc>
        <w:tc>
          <w:tcPr/>
          <w:p>
            <w:pPr>
              <w:pStyle w:val="Compact"/>
            </w:pPr>
            <w:r>
              <w:t xml:space="preserve">97%</w:t>
            </w:r>
          </w:p>
        </w:tc>
      </w:tr>
      <w:tr>
        <w:tc>
          <w:tcPr/>
          <w:p>
            <w:pPr>
              <w:pStyle w:val="Compact"/>
            </w:pPr>
            <w:r>
              <w:t xml:space="preserve">OLDUP</w:t>
            </w:r>
          </w:p>
        </w:tc>
        <w:tc>
          <w:tcPr/>
          <w:p>
            <w:pPr>
              <w:pStyle w:val="Compact"/>
            </w:pPr>
            <w:r>
              <w:t xml:space="preserve">informal glue@0.12</w:t>
            </w:r>
          </w:p>
        </w:tc>
        <w:tc>
          <w:tcPr/>
          <w:p>
            <w:pPr>
              <w:pStyle w:val="Compact"/>
            </w:pPr>
            <w:r>
              <w:t xml:space="preserve">new</w:t>
            </w:r>
          </w:p>
        </w:tc>
        <w:tc>
          <w:tcPr/>
          <w:p>
            <w:pPr>
              <w:pStyle w:val="Compact"/>
            </w:pPr>
            <w:r>
              <w:t xml:space="preserve">14% [9-21]</w:t>
            </w:r>
          </w:p>
        </w:tc>
        <w:tc>
          <w:tcPr/>
          <w:p>
            <w:pPr>
              <w:pStyle w:val="Compact"/>
            </w:pPr>
            <w:r>
              <w:t xml:space="preserve">95%</w:t>
            </w:r>
          </w:p>
        </w:tc>
      </w:tr>
    </w:tbl>
    <w:bookmarkEnd w:id="161"/>
    <w:bookmarkStart w:id="162" w:name="appendix-d.-fisher-information-mechanics"/>
    <w:p>
      <w:pPr>
        <w:pStyle w:val="Heading2"/>
      </w:pPr>
      <w:r>
        <w:t xml:space="preserve">Appendix D. Fisher information mechanics</w:t>
      </w:r>
    </w:p>
    <w:p>
      <w:pPr>
        <w:pStyle w:val="FirstParagraph"/>
      </w:pPr>
      <w:r>
        <w:t xml:space="preserve">Bounds for the three wall-decay coefficients under nested nuisance models are computed from the</w:t>
      </w:r>
      <w:r>
        <w:t xml:space="preserve"> </w:t>
      </w:r>
      <w:r>
        <w:t xml:space="preserve">marginal information, that is the Schur complement</w:t>
      </w:r>
      <w:r>
        <w:t xml:space="preserve"> </w:t>
      </w:r>
      <m:oMath>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where</w:t>
      </w:r>
      <w:r>
        <w:t xml:space="preserve"> </w:t>
      </w:r>
      <m:oMath>
        <m:r>
          <m:t>p</m:t>
        </m:r>
      </m:oMath>
      <w:r>
        <w:t xml:space="preserve"> </w:t>
      </w:r>
      <w:r>
        <w:t xml:space="preserve">indexes the wall coefficients and</w:t>
      </w:r>
      <w:r>
        <w:t xml:space="preserve"> </w:t>
      </w:r>
      <m:oMath>
        <m:r>
          <m:t>n</m:t>
        </m:r>
      </m:oMath>
      <w:r>
        <w:t xml:space="preserve"> </w:t>
      </w:r>
      <w:r>
        <w:t xml:space="preserve">the</w:t>
      </w:r>
      <w:r>
        <w:t xml:space="preserve"> </w:t>
      </w:r>
      <w:r>
        <w:t xml:space="preserve">nuisance parameters admitted in that case. This is the bound on the wall coefficients after the</w:t>
      </w:r>
      <w:r>
        <w:t xml:space="preserve"> </w:t>
      </w:r>
      <w:r>
        <w:t xml:space="preserve">nuisance parameters have been accounted for, not the bound that would apply if they were known.</w:t>
      </w:r>
    </w:p>
    <w:p>
      <w:pPr>
        <w:pStyle w:val="BodyText"/>
      </w:pPr>
      <w:r>
        <w:t xml:space="preserve">Table D1. Cramer-Rao bounds under nested nuisance models, obtained from the marginal (Schur) information. Percentages are the bound as a fraction of the prior standard deviation.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Condition number</w:t>
            </w:r>
          </w:p>
        </w:tc>
        <w:tc>
          <w:tcPr/>
          <w:p>
            <w:pPr>
              <w:pStyle w:val="Compact"/>
            </w:pPr>
            <w:r>
              <w:t xml:space="preserve">old</w:t>
            </w:r>
          </w:p>
        </w:tc>
        <w:tc>
          <w:tcPr/>
          <w:p>
            <w:pPr>
              <w:pStyle w:val="Compact"/>
            </w:pPr>
            <w:r>
              <w:t xml:space="preserve">average</w:t>
            </w:r>
          </w:p>
        </w:tc>
        <w:tc>
          <w:tcPr/>
          <w:p>
            <w:pPr>
              <w:pStyle w:val="Compact"/>
            </w:pPr>
            <w:r>
              <w:t xml:space="preserve">new</w:t>
            </w:r>
          </w:p>
        </w:tc>
      </w:tr>
      <w:tr>
        <w:tc>
          <w:tcPr/>
          <w:p>
            <w:pPr>
              <w:pStyle w:val="Compact"/>
            </w:pPr>
            <w:r>
              <w:t xml:space="preserve">A: kw only</w:t>
            </w:r>
          </w:p>
        </w:tc>
        <w:tc>
          <w:tcPr/>
          <w:p>
            <w:pPr>
              <w:pStyle w:val="Compact"/>
            </w:pPr>
            <w:r>
              <w:t xml:space="preserve">214.7</w:t>
            </w:r>
          </w:p>
        </w:tc>
        <w:tc>
          <w:tcPr/>
          <w:p>
            <w:pPr>
              <w:pStyle w:val="Compact"/>
            </w:pPr>
            <w:r>
              <w:t xml:space="preserve">0.0947 (25%)</w:t>
            </w:r>
          </w:p>
        </w:tc>
        <w:tc>
          <w:tcPr/>
          <w:p>
            <w:pPr>
              <w:pStyle w:val="Compact"/>
            </w:pPr>
            <w:r>
              <w:t xml:space="preserve">0.0135 (29%)</w:t>
            </w:r>
          </w:p>
        </w:tc>
        <w:tc>
          <w:tcPr/>
          <w:p>
            <w:pPr>
              <w:pStyle w:val="Compact"/>
            </w:pPr>
            <w:r>
              <w:t xml:space="preserve">0.0080 (29%)</w:t>
            </w:r>
          </w:p>
        </w:tc>
      </w:tr>
      <w:tr>
        <w:tc>
          <w:tcPr/>
          <w:p>
            <w:pPr>
              <w:pStyle w:val="Compact"/>
            </w:pPr>
            <w:r>
              <w:t xml:space="preserve">B: kw+kb</w:t>
            </w:r>
          </w:p>
        </w:tc>
        <w:tc>
          <w:tcPr/>
          <w:p>
            <w:pPr>
              <w:pStyle w:val="Compact"/>
            </w:pPr>
            <w:r>
              <w:t xml:space="preserve">100.5</w:t>
            </w:r>
          </w:p>
        </w:tc>
        <w:tc>
          <w:tcPr/>
          <w:p>
            <w:pPr>
              <w:pStyle w:val="Compact"/>
            </w:pPr>
            <w:r>
              <w:t xml:space="preserve">0.1131 (30%)</w:t>
            </w:r>
          </w:p>
        </w:tc>
        <w:tc>
          <w:tcPr/>
          <w:p>
            <w:pPr>
              <w:pStyle w:val="Compact"/>
            </w:pPr>
            <w:r>
              <w:t xml:space="preserve">0.0248 (54%)</w:t>
            </w:r>
          </w:p>
        </w:tc>
        <w:tc>
          <w:tcPr/>
          <w:p>
            <w:pPr>
              <w:pStyle w:val="Compact"/>
            </w:pPr>
            <w:r>
              <w:t xml:space="preserve">0.0148 (54%)</w:t>
            </w:r>
          </w:p>
        </w:tc>
      </w:tr>
      <w:tr>
        <w:tc>
          <w:tcPr/>
          <w:p>
            <w:pPr>
              <w:pStyle w:val="Compact"/>
            </w:pPr>
            <w:r>
              <w:t xml:space="preserve">C: kw+kb+6 offsets</w:t>
            </w:r>
          </w:p>
        </w:tc>
        <w:tc>
          <w:tcPr/>
          <w:p>
            <w:pPr>
              <w:pStyle w:val="Compact"/>
            </w:pPr>
            <w:r>
              <w:t xml:space="preserve">88.0</w:t>
            </w:r>
          </w:p>
        </w:tc>
        <w:tc>
          <w:tcPr/>
          <w:p>
            <w:pPr>
              <w:pStyle w:val="Compact"/>
            </w:pPr>
            <w:r>
              <w:t xml:space="preserve">0.2509 (67%)</w:t>
            </w:r>
          </w:p>
        </w:tc>
        <w:tc>
          <w:tcPr/>
          <w:p>
            <w:pPr>
              <w:pStyle w:val="Compact"/>
            </w:pPr>
            <w:r>
              <w:t xml:space="preserve">0.1036 (224%)</w:t>
            </w:r>
          </w:p>
        </w:tc>
        <w:tc>
          <w:tcPr/>
          <w:p>
            <w:pPr>
              <w:pStyle w:val="Compact"/>
            </w:pPr>
            <w:r>
              <w:t xml:space="preserve">0.0299 (109%)</w:t>
            </w:r>
          </w:p>
        </w:tc>
      </w:tr>
    </w:tbl>
    <w:p>
      <w:pPr>
        <w:pStyle w:val="BodyText"/>
      </w:pPr>
      <w:r>
        <w:t xml:space="preserve">Table D2. Finite-difference step convergence for the Jacobian. Steps are scale-dependent rather than shared, because one absolute step would be a 2% perturbation of the old coefficient and a 40% perturbation of the new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Coefficient</w:t>
            </w:r>
          </w:p>
        </w:tc>
        <w:tc>
          <w:tcPr/>
          <w:p>
            <w:pPr>
              <w:pStyle w:val="Compact"/>
            </w:pPr>
            <w:r>
              <w:t xml:space="preserve">Step</w:t>
            </w:r>
          </w:p>
        </w:tc>
        <w:tc>
          <w:tcPr/>
          <w:p>
            <w:pPr>
              <w:pStyle w:val="Compact"/>
            </w:pPr>
            <w:r>
              <w:t xml:space="preserve">As % of truth</w:t>
            </w:r>
          </w:p>
        </w:tc>
        <w:tc>
          <w:tcPr/>
          <w:p>
            <w:pPr>
              <w:pStyle w:val="Compact"/>
            </w:pPr>
            <w:r>
              <w:t xml:space="preserve">Default</w:t>
            </w:r>
          </w:p>
        </w:tc>
        <w:tc>
          <w:tcPr/>
          <w:p>
            <w:pPr>
              <w:pStyle w:val="Compact"/>
            </w:pPr>
            <w:r>
              <w:t xml:space="preserve">Case-A bound</w:t>
            </w:r>
          </w:p>
        </w:tc>
      </w:tr>
      <w:tr>
        <w:tc>
          <w:tcPr/>
          <w:p>
            <w:pPr>
              <w:pStyle w:val="Compact"/>
            </w:pPr>
            <w:r>
              <w:t xml:space="preserve">old</w:t>
            </w:r>
          </w:p>
        </w:tc>
        <w:tc>
          <w:tcPr/>
          <w:p>
            <w:pPr>
              <w:pStyle w:val="Compact"/>
            </w:pPr>
            <w:r>
              <w:t xml:space="preserve">0.005</w:t>
            </w:r>
          </w:p>
        </w:tc>
        <w:tc>
          <w:tcPr/>
          <w:p>
            <w:pPr>
              <w:pStyle w:val="Compact"/>
            </w:pPr>
            <w:r>
              <w:t xml:space="preserve">0.5%</w:t>
            </w:r>
          </w:p>
        </w:tc>
        <w:tc>
          <w:tcPr/>
          <w:p>
            <w:pPr>
              <w:pStyle w:val="Compact"/>
            </w:pPr>
          </w:p>
        </w:tc>
        <w:tc>
          <w:tcPr/>
          <w:p>
            <w:pPr>
              <w:pStyle w:val="Compact"/>
            </w:pPr>
            <w:r>
              <w:t xml:space="preserve">0.094819</w:t>
            </w:r>
          </w:p>
        </w:tc>
      </w:tr>
      <w:tr>
        <w:tc>
          <w:tcPr/>
          <w:p>
            <w:pPr>
              <w:pStyle w:val="Compact"/>
            </w:pPr>
            <w:r>
              <w:t xml:space="preserve">old</w:t>
            </w:r>
          </w:p>
        </w:tc>
        <w:tc>
          <w:tcPr/>
          <w:p>
            <w:pPr>
              <w:pStyle w:val="Compact"/>
            </w:pPr>
            <w:r>
              <w:t xml:space="preserve">0.01</w:t>
            </w:r>
          </w:p>
        </w:tc>
        <w:tc>
          <w:tcPr/>
          <w:p>
            <w:pPr>
              <w:pStyle w:val="Compact"/>
            </w:pPr>
            <w:r>
              <w:t xml:space="preserve">1.0%</w:t>
            </w:r>
          </w:p>
        </w:tc>
        <w:tc>
          <w:tcPr/>
          <w:p>
            <w:pPr>
              <w:pStyle w:val="Compact"/>
            </w:pPr>
          </w:p>
        </w:tc>
        <w:tc>
          <w:tcPr/>
          <w:p>
            <w:pPr>
              <w:pStyle w:val="Compact"/>
            </w:pPr>
            <w:r>
              <w:t xml:space="preserve">0.094816</w:t>
            </w:r>
          </w:p>
        </w:tc>
      </w:tr>
      <w:tr>
        <w:tc>
          <w:tcPr/>
          <w:p>
            <w:pPr>
              <w:pStyle w:val="Compact"/>
            </w:pPr>
            <w:r>
              <w:t xml:space="preserve">old</w:t>
            </w:r>
          </w:p>
        </w:tc>
        <w:tc>
          <w:tcPr/>
          <w:p>
            <w:pPr>
              <w:pStyle w:val="Compact"/>
            </w:pPr>
            <w:r>
              <w:t xml:space="preserve">0.02</w:t>
            </w:r>
          </w:p>
        </w:tc>
        <w:tc>
          <w:tcPr/>
          <w:p>
            <w:pPr>
              <w:pStyle w:val="Compact"/>
            </w:pPr>
            <w:r>
              <w:t xml:space="preserve">2.0%</w:t>
            </w:r>
          </w:p>
        </w:tc>
        <w:tc>
          <w:tcPr/>
          <w:p>
            <w:pPr>
              <w:pStyle w:val="Compact"/>
            </w:pPr>
            <w:r>
              <w:t xml:space="preserve">yes</w:t>
            </w:r>
          </w:p>
        </w:tc>
        <w:tc>
          <w:tcPr/>
          <w:p>
            <w:pPr>
              <w:pStyle w:val="Compact"/>
            </w:pPr>
            <w:r>
              <w:t xml:space="preserve">0.094734</w:t>
            </w:r>
          </w:p>
        </w:tc>
      </w:tr>
      <w:tr>
        <w:tc>
          <w:tcPr/>
          <w:p>
            <w:pPr>
              <w:pStyle w:val="Compact"/>
            </w:pPr>
            <w:r>
              <w:t xml:space="preserve">old</w:t>
            </w:r>
          </w:p>
        </w:tc>
        <w:tc>
          <w:tcPr/>
          <w:p>
            <w:pPr>
              <w:pStyle w:val="Compact"/>
            </w:pPr>
            <w:r>
              <w:t xml:space="preserve">0.04</w:t>
            </w:r>
          </w:p>
        </w:tc>
        <w:tc>
          <w:tcPr/>
          <w:p>
            <w:pPr>
              <w:pStyle w:val="Compact"/>
            </w:pPr>
            <w:r>
              <w:t xml:space="preserve">4.0%</w:t>
            </w:r>
          </w:p>
        </w:tc>
        <w:tc>
          <w:tcPr/>
          <w:p>
            <w:pPr>
              <w:pStyle w:val="Compact"/>
            </w:pPr>
          </w:p>
        </w:tc>
        <w:tc>
          <w:tcPr/>
          <w:p>
            <w:pPr>
              <w:pStyle w:val="Compact"/>
            </w:pPr>
            <w:r>
              <w:t xml:space="preserve">0.094724</w:t>
            </w:r>
          </w:p>
        </w:tc>
      </w:tr>
      <w:tr>
        <w:tc>
          <w:tcPr/>
          <w:p>
            <w:pPr>
              <w:pStyle w:val="Compact"/>
            </w:pPr>
            <w:r>
              <w:t xml:space="preserve">average</w:t>
            </w:r>
          </w:p>
        </w:tc>
        <w:tc>
          <w:tcPr/>
          <w:p>
            <w:pPr>
              <w:pStyle w:val="Compact"/>
            </w:pPr>
            <w:r>
              <w:t xml:space="preserve">0.002</w:t>
            </w:r>
          </w:p>
        </w:tc>
        <w:tc>
          <w:tcPr/>
          <w:p>
            <w:pPr>
              <w:pStyle w:val="Compact"/>
            </w:pPr>
            <w:r>
              <w:t xml:space="preserve">2.0%</w:t>
            </w:r>
          </w:p>
        </w:tc>
        <w:tc>
          <w:tcPr/>
          <w:p>
            <w:pPr>
              <w:pStyle w:val="Compact"/>
            </w:pPr>
          </w:p>
        </w:tc>
        <w:tc>
          <w:tcPr/>
          <w:p>
            <w:pPr>
              <w:pStyle w:val="Compact"/>
            </w:pPr>
            <w:r>
              <w:t xml:space="preserve">0.013534</w:t>
            </w:r>
          </w:p>
        </w:tc>
      </w:tr>
      <w:tr>
        <w:tc>
          <w:tcPr/>
          <w:p>
            <w:pPr>
              <w:pStyle w:val="Compact"/>
            </w:pPr>
            <w:r>
              <w:t xml:space="preserve">average</w:t>
            </w:r>
          </w:p>
        </w:tc>
        <w:tc>
          <w:tcPr/>
          <w:p>
            <w:pPr>
              <w:pStyle w:val="Compact"/>
            </w:pPr>
            <w:r>
              <w:t xml:space="preserve">0.005</w:t>
            </w:r>
          </w:p>
        </w:tc>
        <w:tc>
          <w:tcPr/>
          <w:p>
            <w:pPr>
              <w:pStyle w:val="Compact"/>
            </w:pPr>
            <w:r>
              <w:t xml:space="preserve">5.0%</w:t>
            </w:r>
          </w:p>
        </w:tc>
        <w:tc>
          <w:tcPr/>
          <w:p>
            <w:pPr>
              <w:pStyle w:val="Compact"/>
            </w:pPr>
            <w:r>
              <w:t xml:space="preserve">yes</w:t>
            </w:r>
          </w:p>
        </w:tc>
        <w:tc>
          <w:tcPr/>
          <w:p>
            <w:pPr>
              <w:pStyle w:val="Compact"/>
            </w:pPr>
            <w:r>
              <w:t xml:space="preserve">0.013509</w:t>
            </w:r>
          </w:p>
        </w:tc>
      </w:tr>
      <w:tr>
        <w:tc>
          <w:tcPr/>
          <w:p>
            <w:pPr>
              <w:pStyle w:val="Compact"/>
            </w:pPr>
            <w:r>
              <w:t xml:space="preserve">average</w:t>
            </w:r>
          </w:p>
        </w:tc>
        <w:tc>
          <w:tcPr/>
          <w:p>
            <w:pPr>
              <w:pStyle w:val="Compact"/>
            </w:pPr>
            <w:r>
              <w:t xml:space="preserve">0.01</w:t>
            </w:r>
          </w:p>
        </w:tc>
        <w:tc>
          <w:tcPr/>
          <w:p>
            <w:pPr>
              <w:pStyle w:val="Compact"/>
            </w:pPr>
            <w:r>
              <w:t xml:space="preserve">10.0%</w:t>
            </w:r>
          </w:p>
        </w:tc>
        <w:tc>
          <w:tcPr/>
          <w:p>
            <w:pPr>
              <w:pStyle w:val="Compact"/>
            </w:pPr>
          </w:p>
        </w:tc>
        <w:tc>
          <w:tcPr/>
          <w:p>
            <w:pPr>
              <w:pStyle w:val="Compact"/>
            </w:pPr>
            <w:r>
              <w:t xml:space="preserve">0.013487</w:t>
            </w:r>
          </w:p>
        </w:tc>
      </w:tr>
      <w:tr>
        <w:tc>
          <w:tcPr/>
          <w:p>
            <w:pPr>
              <w:pStyle w:val="Compact"/>
            </w:pPr>
            <w:r>
              <w:t xml:space="preserve">average</w:t>
            </w:r>
          </w:p>
        </w:tc>
        <w:tc>
          <w:tcPr/>
          <w:p>
            <w:pPr>
              <w:pStyle w:val="Compact"/>
            </w:pPr>
            <w:r>
              <w:t xml:space="preserve">0.02</w:t>
            </w:r>
          </w:p>
        </w:tc>
        <w:tc>
          <w:tcPr/>
          <w:p>
            <w:pPr>
              <w:pStyle w:val="Compact"/>
            </w:pPr>
            <w:r>
              <w:t xml:space="preserve">20.0%</w:t>
            </w:r>
          </w:p>
        </w:tc>
        <w:tc>
          <w:tcPr/>
          <w:p>
            <w:pPr>
              <w:pStyle w:val="Compact"/>
            </w:pPr>
          </w:p>
        </w:tc>
        <w:tc>
          <w:tcPr/>
          <w:p>
            <w:pPr>
              <w:pStyle w:val="Compact"/>
            </w:pPr>
            <w:r>
              <w:t xml:space="preserve">0.013400</w:t>
            </w:r>
          </w:p>
        </w:tc>
      </w:tr>
      <w:tr>
        <w:tc>
          <w:tcPr/>
          <w:p>
            <w:pPr>
              <w:pStyle w:val="Compact"/>
            </w:pPr>
            <w:r>
              <w:t xml:space="preserve">new</w:t>
            </w:r>
          </w:p>
        </w:tc>
        <w:tc>
          <w:tcPr/>
          <w:p>
            <w:pPr>
              <w:pStyle w:val="Compact"/>
            </w:pPr>
            <w:r>
              <w:t xml:space="preserve">0.001</w:t>
            </w:r>
          </w:p>
        </w:tc>
        <w:tc>
          <w:tcPr/>
          <w:p>
            <w:pPr>
              <w:pStyle w:val="Compact"/>
            </w:pPr>
            <w:r>
              <w:t xml:space="preserve">2.0%</w:t>
            </w:r>
          </w:p>
        </w:tc>
        <w:tc>
          <w:tcPr/>
          <w:p>
            <w:pPr>
              <w:pStyle w:val="Compact"/>
            </w:pPr>
          </w:p>
        </w:tc>
        <w:tc>
          <w:tcPr/>
          <w:p>
            <w:pPr>
              <w:pStyle w:val="Compact"/>
            </w:pPr>
            <w:r>
              <w:t xml:space="preserve">0.008030</w:t>
            </w:r>
          </w:p>
        </w:tc>
      </w:tr>
      <w:tr>
        <w:tc>
          <w:tcPr/>
          <w:p>
            <w:pPr>
              <w:pStyle w:val="Compact"/>
            </w:pPr>
            <w:r>
              <w:t xml:space="preserve">new</w:t>
            </w:r>
          </w:p>
        </w:tc>
        <w:tc>
          <w:tcPr/>
          <w:p>
            <w:pPr>
              <w:pStyle w:val="Compact"/>
            </w:pPr>
            <w:r>
              <w:t xml:space="preserve">0.0025</w:t>
            </w:r>
          </w:p>
        </w:tc>
        <w:tc>
          <w:tcPr/>
          <w:p>
            <w:pPr>
              <w:pStyle w:val="Compact"/>
            </w:pPr>
            <w:r>
              <w:t xml:space="preserve">5.0%</w:t>
            </w:r>
          </w:p>
        </w:tc>
        <w:tc>
          <w:tcPr/>
          <w:p>
            <w:pPr>
              <w:pStyle w:val="Compact"/>
            </w:pPr>
            <w:r>
              <w:t xml:space="preserve">yes</w:t>
            </w:r>
          </w:p>
        </w:tc>
        <w:tc>
          <w:tcPr/>
          <w:p>
            <w:pPr>
              <w:pStyle w:val="Compact"/>
            </w:pPr>
            <w:r>
              <w:t xml:space="preserve">0.007956</w:t>
            </w:r>
          </w:p>
        </w:tc>
      </w:tr>
      <w:tr>
        <w:tc>
          <w:tcPr/>
          <w:p>
            <w:pPr>
              <w:pStyle w:val="Compact"/>
            </w:pPr>
            <w:r>
              <w:t xml:space="preserve">new</w:t>
            </w:r>
          </w:p>
        </w:tc>
        <w:tc>
          <w:tcPr/>
          <w:p>
            <w:pPr>
              <w:pStyle w:val="Compact"/>
            </w:pPr>
            <w:r>
              <w:t xml:space="preserve">0.005</w:t>
            </w:r>
          </w:p>
        </w:tc>
        <w:tc>
          <w:tcPr/>
          <w:p>
            <w:pPr>
              <w:pStyle w:val="Compact"/>
            </w:pPr>
            <w:r>
              <w:t xml:space="preserve">10.0%</w:t>
            </w:r>
          </w:p>
        </w:tc>
        <w:tc>
          <w:tcPr/>
          <w:p>
            <w:pPr>
              <w:pStyle w:val="Compact"/>
            </w:pPr>
          </w:p>
        </w:tc>
        <w:tc>
          <w:tcPr/>
          <w:p>
            <w:pPr>
              <w:pStyle w:val="Compact"/>
            </w:pPr>
            <w:r>
              <w:t xml:space="preserve">0.007955</w:t>
            </w:r>
          </w:p>
        </w:tc>
      </w:tr>
      <w:tr>
        <w:tc>
          <w:tcPr/>
          <w:p>
            <w:pPr>
              <w:pStyle w:val="Compact"/>
            </w:pPr>
            <w:r>
              <w:t xml:space="preserve">new</w:t>
            </w:r>
          </w:p>
        </w:tc>
        <w:tc>
          <w:tcPr/>
          <w:p>
            <w:pPr>
              <w:pStyle w:val="Compact"/>
            </w:pPr>
            <w:r>
              <w:t xml:space="preserve">0.01</w:t>
            </w:r>
          </w:p>
        </w:tc>
        <w:tc>
          <w:tcPr/>
          <w:p>
            <w:pPr>
              <w:pStyle w:val="Compact"/>
            </w:pPr>
            <w:r>
              <w:t xml:space="preserve">20.0%</w:t>
            </w:r>
          </w:p>
        </w:tc>
        <w:tc>
          <w:tcPr/>
          <w:p>
            <w:pPr>
              <w:pStyle w:val="Compact"/>
            </w:pPr>
          </w:p>
        </w:tc>
        <w:tc>
          <w:tcPr/>
          <w:p>
            <w:pPr>
              <w:pStyle w:val="Compact"/>
            </w:pPr>
            <w:r>
              <w:t xml:space="preserve">0.007940</w:t>
            </w:r>
          </w:p>
        </w:tc>
      </w:tr>
    </w:tbl>
    <w:p>
      <w:pPr>
        <w:pStyle w:val="BodyText"/>
      </w:pPr>
      <w:r>
        <w:t xml:space="preserve">Table D3. Eigenvalues of the Case-A information matrix in raw and prior-scaled form. The raw condition number is dominated by the factor of twenty between the coefficient scales; on the dimensionless matrix the spread is far smaller.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w:t>
            </w:r>
          </w:p>
        </w:tc>
        <w:tc>
          <w:tcPr/>
          <w:p>
            <w:pPr>
              <w:pStyle w:val="Compact"/>
            </w:pPr>
            <w:r>
              <w:t xml:space="preserve">Eigenvalue 1</w:t>
            </w:r>
          </w:p>
        </w:tc>
        <w:tc>
          <w:tcPr/>
          <w:p>
            <w:pPr>
              <w:pStyle w:val="Compact"/>
            </w:pPr>
            <w:r>
              <w:t xml:space="preserve">Eigenvalue 2</w:t>
            </w:r>
          </w:p>
        </w:tc>
        <w:tc>
          <w:tcPr/>
          <w:p>
            <w:pPr>
              <w:pStyle w:val="Compact"/>
            </w:pPr>
            <w:r>
              <w:t xml:space="preserve">Eigenvalue 3</w:t>
            </w:r>
          </w:p>
        </w:tc>
        <w:tc>
          <w:tcPr/>
          <w:p>
            <w:pPr>
              <w:pStyle w:val="Compact"/>
            </w:pPr>
            <w:r>
              <w:t xml:space="preserve">Condition number</w:t>
            </w:r>
          </w:p>
        </w:tc>
      </w:tr>
      <w:tr>
        <w:tc>
          <w:tcPr/>
          <w:p>
            <w:pPr>
              <w:pStyle w:val="Compact"/>
            </w:pPr>
            <w:r>
              <w:t xml:space="preserve">Raw</w:t>
            </w:r>
          </w:p>
        </w:tc>
        <w:tc>
          <w:tcPr/>
          <w:p>
            <w:pPr>
              <w:pStyle w:val="Compact"/>
            </w:pPr>
            <w:r>
              <w:t xml:space="preserve">23906</w:t>
            </w:r>
          </w:p>
        </w:tc>
        <w:tc>
          <w:tcPr/>
          <w:p>
            <w:pPr>
              <w:pStyle w:val="Compact"/>
            </w:pPr>
            <w:r>
              <w:t xml:space="preserve">5106</w:t>
            </w:r>
          </w:p>
        </w:tc>
        <w:tc>
          <w:tcPr/>
          <w:p>
            <w:pPr>
              <w:pStyle w:val="Compact"/>
            </w:pPr>
            <w:r>
              <w:t xml:space="preserve">111</w:t>
            </w:r>
          </w:p>
        </w:tc>
        <w:tc>
          <w:tcPr/>
          <w:p>
            <w:pPr>
              <w:pStyle w:val="Compact"/>
            </w:pPr>
            <w:r>
              <w:t xml:space="preserve">215</w:t>
            </w:r>
          </w:p>
        </w:tc>
      </w:tr>
      <w:tr>
        <w:tc>
          <w:tcPr/>
          <w:p>
            <w:pPr>
              <w:pStyle w:val="Compact"/>
            </w:pPr>
            <w:r>
              <w:t xml:space="preserve">Prior-scaled</w:t>
            </w:r>
          </w:p>
        </w:tc>
        <w:tc>
          <w:tcPr/>
          <w:p>
            <w:pPr>
              <w:pStyle w:val="Compact"/>
            </w:pPr>
            <w:r>
              <w:t xml:space="preserve">24.5</w:t>
            </w:r>
          </w:p>
        </w:tc>
        <w:tc>
          <w:tcPr/>
          <w:p>
            <w:pPr>
              <w:pStyle w:val="Compact"/>
            </w:pPr>
            <w:r>
              <w:t xml:space="preserve">16.6</w:t>
            </w:r>
          </w:p>
        </w:tc>
        <w:tc>
          <w:tcPr/>
          <w:p>
            <w:pPr>
              <w:pStyle w:val="Compact"/>
            </w:pPr>
            <w:r>
              <w:t xml:space="preserve">7.6</w:t>
            </w:r>
          </w:p>
        </w:tc>
        <w:tc>
          <w:tcPr/>
          <w:p>
            <w:pPr>
              <w:pStyle w:val="Compact"/>
            </w:pPr>
            <w:r>
              <w:t xml:space="preserve">3.2</w:t>
            </w:r>
          </w:p>
        </w:tc>
      </w:tr>
    </w:tbl>
    <w:p>
      <w:pPr>
        <w:pStyle w:val="BodyText"/>
      </w:pPr>
      <w:r>
        <w:t xml:space="preserve">Table D4. Case-A bounds under an assumed AR(1) residual covariance, swept over the correlation parameter. The correlation is assumed rather than estimated, since the baseline observations are generated independently; the sweep therefore bounds how much the reported precision would degrade if the residuals were in fact correlated. Widening is the bound relative to the independent case, given for old, average and new. The three coefficients widen almost together up to a correlation of 0.4 and separate beyond it, the new coefficient least and the average coefficient most.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Correlation</w:t>
            </w:r>
          </w:p>
        </w:tc>
        <w:tc>
          <w:tcPr/>
          <w:p>
            <w:pPr>
              <w:pStyle w:val="Compact"/>
            </w:pPr>
            <w:r>
              <w:t xml:space="preserve">Effective n</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Widening (old / avg / new)</w:t>
            </w:r>
          </w:p>
        </w:tc>
      </w:tr>
      <w:tr>
        <w:tc>
          <w:tcPr/>
          <w:p>
            <w:pPr>
              <w:pStyle w:val="Compact"/>
            </w:pPr>
            <w:r>
              <w:t xml:space="preserve">0.0</w:t>
            </w:r>
          </w:p>
        </w:tc>
        <w:tc>
          <w:tcPr/>
          <w:p>
            <w:pPr>
              <w:pStyle w:val="Compact"/>
            </w:pPr>
            <w:r>
              <w:t xml:space="preserve">294</w:t>
            </w:r>
          </w:p>
        </w:tc>
        <w:tc>
          <w:tcPr/>
          <w:p>
            <w:pPr>
              <w:pStyle w:val="Compact"/>
            </w:pPr>
            <w:r>
              <w:t xml:space="preserve">0.0947 (25%)</w:t>
            </w:r>
          </w:p>
        </w:tc>
        <w:tc>
          <w:tcPr/>
          <w:p>
            <w:pPr>
              <w:pStyle w:val="Compact"/>
            </w:pPr>
            <w:r>
              <w:t xml:space="preserve">0.0135 (29%)</w:t>
            </w:r>
          </w:p>
        </w:tc>
        <w:tc>
          <w:tcPr/>
          <w:p>
            <w:pPr>
              <w:pStyle w:val="Compact"/>
            </w:pPr>
            <w:r>
              <w:t xml:space="preserve">0.0080 (29%)</w:t>
            </w:r>
          </w:p>
        </w:tc>
        <w:tc>
          <w:tcPr/>
          <w:p>
            <w:pPr>
              <w:pStyle w:val="Compact"/>
            </w:pPr>
            <w:r>
              <w:t xml:space="preserve">1.00 / 1.00 / 1.00</w:t>
            </w:r>
          </w:p>
        </w:tc>
      </w:tr>
      <w:tr>
        <w:tc>
          <w:tcPr/>
          <w:p>
            <w:pPr>
              <w:pStyle w:val="Compact"/>
            </w:pPr>
            <w:r>
              <w:t xml:space="preserve">0.2</w:t>
            </w:r>
          </w:p>
        </w:tc>
        <w:tc>
          <w:tcPr/>
          <w:p>
            <w:pPr>
              <w:pStyle w:val="Compact"/>
            </w:pPr>
            <w:r>
              <w:t xml:space="preserve">196</w:t>
            </w:r>
          </w:p>
        </w:tc>
        <w:tc>
          <w:tcPr/>
          <w:p>
            <w:pPr>
              <w:pStyle w:val="Compact"/>
            </w:pPr>
            <w:r>
              <w:t xml:space="preserve">0.1150 (31%)</w:t>
            </w:r>
          </w:p>
        </w:tc>
        <w:tc>
          <w:tcPr/>
          <w:p>
            <w:pPr>
              <w:pStyle w:val="Compact"/>
            </w:pPr>
            <w:r>
              <w:t xml:space="preserve">0.0164 (35%)</w:t>
            </w:r>
          </w:p>
        </w:tc>
        <w:tc>
          <w:tcPr/>
          <w:p>
            <w:pPr>
              <w:pStyle w:val="Compact"/>
            </w:pPr>
            <w:r>
              <w:t xml:space="preserve">0.0096 (35%)</w:t>
            </w:r>
          </w:p>
        </w:tc>
        <w:tc>
          <w:tcPr/>
          <w:p>
            <w:pPr>
              <w:pStyle w:val="Compact"/>
            </w:pPr>
            <w:r>
              <w:t xml:space="preserve">1.21 / 1.21 / 1.20</w:t>
            </w:r>
          </w:p>
        </w:tc>
      </w:tr>
      <w:tr>
        <w:tc>
          <w:tcPr/>
          <w:p>
            <w:pPr>
              <w:pStyle w:val="Compact"/>
            </w:pPr>
            <w:r>
              <w:t xml:space="preserve">0.4</w:t>
            </w:r>
          </w:p>
        </w:tc>
        <w:tc>
          <w:tcPr/>
          <w:p>
            <w:pPr>
              <w:pStyle w:val="Compact"/>
            </w:pPr>
            <w:r>
              <w:t xml:space="preserve">126</w:t>
            </w:r>
          </w:p>
        </w:tc>
        <w:tc>
          <w:tcPr/>
          <w:p>
            <w:pPr>
              <w:pStyle w:val="Compact"/>
            </w:pPr>
            <w:r>
              <w:t xml:space="preserve">0.1406 (37%)</w:t>
            </w:r>
          </w:p>
        </w:tc>
        <w:tc>
          <w:tcPr/>
          <w:p>
            <w:pPr>
              <w:pStyle w:val="Compact"/>
            </w:pPr>
            <w:r>
              <w:t xml:space="preserve">0.0201 (43%)</w:t>
            </w:r>
          </w:p>
        </w:tc>
        <w:tc>
          <w:tcPr/>
          <w:p>
            <w:pPr>
              <w:pStyle w:val="Compact"/>
            </w:pPr>
            <w:r>
              <w:t xml:space="preserve">0.0114 (42%)</w:t>
            </w:r>
          </w:p>
        </w:tc>
        <w:tc>
          <w:tcPr/>
          <w:p>
            <w:pPr>
              <w:pStyle w:val="Compact"/>
            </w:pPr>
            <w:r>
              <w:t xml:space="preserve">1.48 / 1.49 / 1.44</w:t>
            </w:r>
          </w:p>
        </w:tc>
      </w:tr>
      <w:tr>
        <w:tc>
          <w:tcPr/>
          <w:p>
            <w:pPr>
              <w:pStyle w:val="Compact"/>
            </w:pPr>
            <w:r>
              <w:t xml:space="preserve">0.6</w:t>
            </w:r>
          </w:p>
        </w:tc>
        <w:tc>
          <w:tcPr/>
          <w:p>
            <w:pPr>
              <w:pStyle w:val="Compact"/>
            </w:pPr>
            <w:r>
              <w:t xml:space="preserve">74</w:t>
            </w:r>
          </w:p>
        </w:tc>
        <w:tc>
          <w:tcPr/>
          <w:p>
            <w:pPr>
              <w:pStyle w:val="Compact"/>
            </w:pPr>
            <w:r>
              <w:t xml:space="preserve">0.1736 (46%)</w:t>
            </w:r>
          </w:p>
        </w:tc>
        <w:tc>
          <w:tcPr/>
          <w:p>
            <w:pPr>
              <w:pStyle w:val="Compact"/>
            </w:pPr>
            <w:r>
              <w:t xml:space="preserve">0.0252 (55%)</w:t>
            </w:r>
          </w:p>
        </w:tc>
        <w:tc>
          <w:tcPr/>
          <w:p>
            <w:pPr>
              <w:pStyle w:val="Compact"/>
            </w:pPr>
            <w:r>
              <w:t xml:space="preserve">0.0135 (49%)</w:t>
            </w:r>
          </w:p>
        </w:tc>
        <w:tc>
          <w:tcPr/>
          <w:p>
            <w:pPr>
              <w:pStyle w:val="Compact"/>
            </w:pPr>
            <w:r>
              <w:t xml:space="preserve">1.83 / 1.87 / 1.70</w:t>
            </w:r>
          </w:p>
        </w:tc>
      </w:tr>
      <w:tr>
        <w:tc>
          <w:tcPr/>
          <w:p>
            <w:pPr>
              <w:pStyle w:val="Compact"/>
            </w:pPr>
            <w:r>
              <w:t xml:space="preserve">0.8</w:t>
            </w:r>
          </w:p>
        </w:tc>
        <w:tc>
          <w:tcPr/>
          <w:p>
            <w:pPr>
              <w:pStyle w:val="Compact"/>
            </w:pPr>
            <w:r>
              <w:t xml:space="preserve">33</w:t>
            </w:r>
          </w:p>
        </w:tc>
        <w:tc>
          <w:tcPr/>
          <w:p>
            <w:pPr>
              <w:pStyle w:val="Compact"/>
            </w:pPr>
            <w:r>
              <w:t xml:space="preserve">0.2022 (54%)</w:t>
            </w:r>
          </w:p>
        </w:tc>
        <w:tc>
          <w:tcPr/>
          <w:p>
            <w:pPr>
              <w:pStyle w:val="Compact"/>
            </w:pPr>
            <w:r>
              <w:t xml:space="preserve">0.0333 (72%)</w:t>
            </w:r>
          </w:p>
        </w:tc>
        <w:tc>
          <w:tcPr/>
          <w:p>
            <w:pPr>
              <w:pStyle w:val="Compact"/>
            </w:pPr>
            <w:r>
              <w:t xml:space="preserve">0.0145 (53%)</w:t>
            </w:r>
          </w:p>
        </w:tc>
        <w:tc>
          <w:tcPr/>
          <w:p>
            <w:pPr>
              <w:pStyle w:val="Compact"/>
            </w:pPr>
            <w:r>
              <w:t xml:space="preserve">2.13 / 2.47 / 1.82</w:t>
            </w:r>
          </w:p>
        </w:tc>
      </w:tr>
    </w:tbl>
    <w:bookmarkEnd w:id="162"/>
    <w:bookmarkStart w:id="163" w:name="X1a3ae0efdf8b2c76c22382abba68415e1d80e1c"/>
    <w:p>
      <w:pPr>
        <w:pStyle w:val="Heading2"/>
      </w:pPr>
      <w:r>
        <w:t xml:space="preserve">Appendix E. Structural heterogeneity: definitions and per-design results</w:t>
      </w:r>
    </w:p>
    <w:p>
      <w:pPr>
        <w:pStyle w:val="FirstParagraph"/>
      </w:pPr>
      <w:r>
        <w:t xml:space="preserve">Four quantities are reported for the heterogeneity experiments and are easy to confuse. The raw</w:t>
      </w:r>
      <w:r>
        <w:t xml:space="preserve"> </w:t>
      </w:r>
      <w:r>
        <w:t xml:space="preserve">bias is the weighted posterior mean minus the true per-zone arithmetic mean. The structural</w:t>
      </w:r>
      <w:r>
        <w:t xml:space="preserve"> </w:t>
      </w:r>
      <w:r>
        <w:t xml:space="preserve">increment subtracts the corresponding homogeneous control run on the same noise, and is the part</w:t>
      </w:r>
      <w:r>
        <w:t xml:space="preserve"> </w:t>
      </w:r>
      <w:r>
        <w:t xml:space="preserve">attributable to the imposed structure rather than to the realisation. The standardised</w:t>
      </w:r>
      <w:r>
        <w:t xml:space="preserve"> </w:t>
      </w:r>
      <w:r>
        <w:t xml:space="preserve">displacement divides by the median within-realisation posterior standard deviation of the</w:t>
      </w:r>
      <w:r>
        <w:t xml:space="preserve"> </w:t>
      </w:r>
      <w:r>
        <w:t xml:space="preserve">unperturbed reference. The displacement fraction is the position of the fit between the two</w:t>
      </w:r>
      <w:r>
        <w:t xml:space="preserve"> </w:t>
      </w:r>
      <w:r>
        <w:t xml:space="preserve">candidate targets, the arithmetic mean and the length-weighted value, and is undefined where they</w:t>
      </w:r>
      <w:r>
        <w:t xml:space="preserve"> </w:t>
      </w:r>
      <w:r>
        <w:t xml:space="preserve">coincide.</w:t>
      </w:r>
    </w:p>
    <w:p>
      <w:pPr>
        <w:pStyle w:val="BodyText"/>
      </w:pPr>
      <w:r>
        <w:t xml:space="preserve">Table E1. Symmetric within-zone heterogeneity under the primary rule. The increment is the bias net of a paired homogeneous control run on the same noise, which is the part that can be attributed to the imposed structure.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Jitter</w:t>
            </w:r>
          </w:p>
        </w:tc>
        <w:tc>
          <w:tcPr/>
          <w:p>
            <w:pPr>
              <w:pStyle w:val="Compact"/>
            </w:pPr>
            <w:r>
              <w:t xml:space="preserve">Zone</w:t>
            </w:r>
          </w:p>
        </w:tc>
        <w:tc>
          <w:tcPr/>
          <w:p>
            <w:pPr>
              <w:pStyle w:val="Compact"/>
            </w:pPr>
            <w:r>
              <w:t xml:space="preserve">True arithmetic mean</w:t>
            </w:r>
          </w:p>
        </w:tc>
        <w:tc>
          <w:tcPr/>
          <w:p>
            <w:pPr>
              <w:pStyle w:val="Compact"/>
            </w:pPr>
            <w:r>
              <w:t xml:space="preserve">Raw bias</w:t>
            </w:r>
          </w:p>
        </w:tc>
        <w:tc>
          <w:tcPr/>
          <w:p>
            <w:pPr>
              <w:pStyle w:val="Compact"/>
            </w:pPr>
            <w:r>
              <w:t xml:space="preserve">In posterior SD</w:t>
            </w:r>
          </w:p>
        </w:tc>
        <w:tc>
          <w:tcPr/>
          <w:p>
            <w:pPr>
              <w:pStyle w:val="Compact"/>
            </w:pPr>
            <w:r>
              <w:t xml:space="preserve">Increment over control</w:t>
            </w:r>
          </w:p>
        </w:tc>
      </w:tr>
      <w:tr>
        <w:tc>
          <w:tcPr/>
          <w:p>
            <w:pPr>
              <w:pStyle w:val="Compact"/>
            </w:pPr>
            <w:r>
              <w:t xml:space="preserve">0%</w:t>
            </w:r>
          </w:p>
        </w:tc>
        <w:tc>
          <w:tcPr/>
          <w:p>
            <w:pPr>
              <w:pStyle w:val="Compact"/>
            </w:pPr>
            <w:r>
              <w:t xml:space="preserve">old</w:t>
            </w:r>
          </w:p>
        </w:tc>
        <w:tc>
          <w:tcPr/>
          <w:p>
            <w:pPr>
              <w:pStyle w:val="Compact"/>
            </w:pPr>
            <w:r>
              <w:t xml:space="preserve">-1.0000</w:t>
            </w:r>
          </w:p>
        </w:tc>
        <w:tc>
          <w:tcPr/>
          <w:p>
            <w:pPr>
              <w:pStyle w:val="Compact"/>
            </w:pPr>
            <w:r>
              <w:t xml:space="preserve">+0.0124</w:t>
            </w:r>
          </w:p>
        </w:tc>
        <w:tc>
          <w:tcPr/>
          <w:p>
            <w:pPr>
              <w:pStyle w:val="Compact"/>
            </w:pPr>
            <w:r>
              <w:t xml:space="preserve">+0.13</w:t>
            </w:r>
          </w:p>
        </w:tc>
        <w:tc>
          <w:tcPr/>
          <w:p>
            <w:pPr>
              <w:pStyle w:val="Compact"/>
            </w:pPr>
            <w:r>
              <w:t xml:space="preserve">+0.0000</w:t>
            </w:r>
          </w:p>
        </w:tc>
      </w:tr>
      <w:tr>
        <w:tc>
          <w:tcPr/>
          <w:p>
            <w:pPr>
              <w:pStyle w:val="Compact"/>
            </w:pPr>
            <w:r>
              <w:t xml:space="preserve">0%</w:t>
            </w:r>
          </w:p>
        </w:tc>
        <w:tc>
          <w:tcPr/>
          <w:p>
            <w:pPr>
              <w:pStyle w:val="Compact"/>
            </w:pPr>
            <w:r>
              <w:t xml:space="preserve">average</w:t>
            </w:r>
          </w:p>
        </w:tc>
        <w:tc>
          <w:tcPr/>
          <w:p>
            <w:pPr>
              <w:pStyle w:val="Compact"/>
            </w:pPr>
            <w:r>
              <w:t xml:space="preserve">-0.1000</w:t>
            </w:r>
          </w:p>
        </w:tc>
        <w:tc>
          <w:tcPr/>
          <w:p>
            <w:pPr>
              <w:pStyle w:val="Compact"/>
            </w:pPr>
            <w:r>
              <w:t xml:space="preserve">-0.0091</w:t>
            </w:r>
          </w:p>
        </w:tc>
        <w:tc>
          <w:tcPr/>
          <w:p>
            <w:pPr>
              <w:pStyle w:val="Compact"/>
            </w:pPr>
            <w:r>
              <w:t xml:space="preserve">-0.64</w:t>
            </w:r>
          </w:p>
        </w:tc>
        <w:tc>
          <w:tcPr/>
          <w:p>
            <w:pPr>
              <w:pStyle w:val="Compact"/>
            </w:pPr>
            <w:r>
              <w:t xml:space="preserve">+0.0000</w:t>
            </w:r>
          </w:p>
        </w:tc>
      </w:tr>
      <w:tr>
        <w:tc>
          <w:tcPr/>
          <w:p>
            <w:pPr>
              <w:pStyle w:val="Compact"/>
            </w:pPr>
            <w:r>
              <w:t xml:space="preserve">0%</w:t>
            </w:r>
          </w:p>
        </w:tc>
        <w:tc>
          <w:tcPr/>
          <w:p>
            <w:pPr>
              <w:pStyle w:val="Compact"/>
            </w:pPr>
            <w:r>
              <w:t xml:space="preserve">new</w:t>
            </w:r>
          </w:p>
        </w:tc>
        <w:tc>
          <w:tcPr/>
          <w:p>
            <w:pPr>
              <w:pStyle w:val="Compact"/>
            </w:pPr>
            <w:r>
              <w:t xml:space="preserve">-0.0500</w:t>
            </w:r>
          </w:p>
        </w:tc>
        <w:tc>
          <w:tcPr/>
          <w:p>
            <w:pPr>
              <w:pStyle w:val="Compact"/>
            </w:pPr>
            <w:r>
              <w:t xml:space="preserve">+0.0060</w:t>
            </w:r>
          </w:p>
        </w:tc>
        <w:tc>
          <w:tcPr/>
          <w:p>
            <w:pPr>
              <w:pStyle w:val="Compact"/>
            </w:pPr>
            <w:r>
              <w:t xml:space="preserve">+0.77</w:t>
            </w:r>
          </w:p>
        </w:tc>
        <w:tc>
          <w:tcPr/>
          <w:p>
            <w:pPr>
              <w:pStyle w:val="Compact"/>
            </w:pPr>
            <w:r>
              <w:t xml:space="preserve">+0.0000</w:t>
            </w:r>
          </w:p>
        </w:tc>
      </w:tr>
      <w:tr>
        <w:tc>
          <w:tcPr/>
          <w:p>
            <w:pPr>
              <w:pStyle w:val="Compact"/>
            </w:pPr>
            <w:r>
              <w:t xml:space="preserve">20%</w:t>
            </w:r>
          </w:p>
        </w:tc>
        <w:tc>
          <w:tcPr/>
          <w:p>
            <w:pPr>
              <w:pStyle w:val="Compact"/>
            </w:pPr>
            <w:r>
              <w:t xml:space="preserve">old</w:t>
            </w:r>
          </w:p>
        </w:tc>
        <w:tc>
          <w:tcPr/>
          <w:p>
            <w:pPr>
              <w:pStyle w:val="Compact"/>
            </w:pPr>
            <w:r>
              <w:t xml:space="preserve">-1.0066</w:t>
            </w:r>
          </w:p>
        </w:tc>
        <w:tc>
          <w:tcPr/>
          <w:p>
            <w:pPr>
              <w:pStyle w:val="Compact"/>
            </w:pPr>
            <w:r>
              <w:t xml:space="preserve">-0.0200</w:t>
            </w:r>
          </w:p>
        </w:tc>
        <w:tc>
          <w:tcPr/>
          <w:p>
            <w:pPr>
              <w:pStyle w:val="Compact"/>
            </w:pPr>
            <w:r>
              <w:t xml:space="preserve">-0.20</w:t>
            </w:r>
          </w:p>
        </w:tc>
        <w:tc>
          <w:tcPr/>
          <w:p>
            <w:pPr>
              <w:pStyle w:val="Compact"/>
            </w:pPr>
            <w:r>
              <w:t xml:space="preserve">-0.0325</w:t>
            </w:r>
          </w:p>
        </w:tc>
      </w:tr>
      <w:tr>
        <w:tc>
          <w:tcPr/>
          <w:p>
            <w:pPr>
              <w:pStyle w:val="Compact"/>
            </w:pPr>
            <w:r>
              <w:t xml:space="preserve">20%</w:t>
            </w:r>
          </w:p>
        </w:tc>
        <w:tc>
          <w:tcPr/>
          <w:p>
            <w:pPr>
              <w:pStyle w:val="Compact"/>
            </w:pPr>
            <w:r>
              <w:t xml:space="preserve">average</w:t>
            </w:r>
          </w:p>
        </w:tc>
        <w:tc>
          <w:tcPr/>
          <w:p>
            <w:pPr>
              <w:pStyle w:val="Compact"/>
            </w:pPr>
            <w:r>
              <w:t xml:space="preserve">-0.0978</w:t>
            </w:r>
          </w:p>
        </w:tc>
        <w:tc>
          <w:tcPr/>
          <w:p>
            <w:pPr>
              <w:pStyle w:val="Compact"/>
            </w:pPr>
            <w:r>
              <w:t xml:space="preserve">-0.0104</w:t>
            </w:r>
          </w:p>
        </w:tc>
        <w:tc>
          <w:tcPr/>
          <w:p>
            <w:pPr>
              <w:pStyle w:val="Compact"/>
            </w:pPr>
            <w:r>
              <w:t xml:space="preserve">-0.74</w:t>
            </w:r>
          </w:p>
        </w:tc>
        <w:tc>
          <w:tcPr/>
          <w:p>
            <w:pPr>
              <w:pStyle w:val="Compact"/>
            </w:pPr>
            <w:r>
              <w:t xml:space="preserve">-0.0012</w:t>
            </w:r>
          </w:p>
        </w:tc>
      </w:tr>
      <w:tr>
        <w:tc>
          <w:tcPr/>
          <w:p>
            <w:pPr>
              <w:pStyle w:val="Compact"/>
            </w:pPr>
            <w:r>
              <w:t xml:space="preserve">20%</w:t>
            </w:r>
          </w:p>
        </w:tc>
        <w:tc>
          <w:tcPr/>
          <w:p>
            <w:pPr>
              <w:pStyle w:val="Compact"/>
            </w:pPr>
            <w:r>
              <w:t xml:space="preserve">new</w:t>
            </w:r>
          </w:p>
        </w:tc>
        <w:tc>
          <w:tcPr/>
          <w:p>
            <w:pPr>
              <w:pStyle w:val="Compact"/>
            </w:pPr>
            <w:r>
              <w:t xml:space="preserve">-0.0487</w:t>
            </w:r>
          </w:p>
        </w:tc>
        <w:tc>
          <w:tcPr/>
          <w:p>
            <w:pPr>
              <w:pStyle w:val="Compact"/>
            </w:pPr>
            <w:r>
              <w:t xml:space="preserve">+0.0071</w:t>
            </w:r>
          </w:p>
        </w:tc>
        <w:tc>
          <w:tcPr/>
          <w:p>
            <w:pPr>
              <w:pStyle w:val="Compact"/>
            </w:pPr>
            <w:r>
              <w:t xml:space="preserve">+0.93</w:t>
            </w:r>
          </w:p>
        </w:tc>
        <w:tc>
          <w:tcPr/>
          <w:p>
            <w:pPr>
              <w:pStyle w:val="Compact"/>
            </w:pPr>
            <w:r>
              <w:t xml:space="preserve">+0.0011</w:t>
            </w:r>
          </w:p>
        </w:tc>
      </w:tr>
      <w:tr>
        <w:tc>
          <w:tcPr/>
          <w:p>
            <w:pPr>
              <w:pStyle w:val="Compact"/>
            </w:pPr>
            <w:r>
              <w:t xml:space="preserve">35%</w:t>
            </w:r>
          </w:p>
        </w:tc>
        <w:tc>
          <w:tcPr/>
          <w:p>
            <w:pPr>
              <w:pStyle w:val="Compact"/>
            </w:pPr>
            <w:r>
              <w:t xml:space="preserve">old</w:t>
            </w:r>
          </w:p>
        </w:tc>
        <w:tc>
          <w:tcPr/>
          <w:p>
            <w:pPr>
              <w:pStyle w:val="Compact"/>
            </w:pPr>
            <w:r>
              <w:t xml:space="preserve">-1.0115</w:t>
            </w:r>
          </w:p>
        </w:tc>
        <w:tc>
          <w:tcPr/>
          <w:p>
            <w:pPr>
              <w:pStyle w:val="Compact"/>
            </w:pPr>
            <w:r>
              <w:t xml:space="preserve">-0.0334</w:t>
            </w:r>
          </w:p>
        </w:tc>
        <w:tc>
          <w:tcPr/>
          <w:p>
            <w:pPr>
              <w:pStyle w:val="Compact"/>
            </w:pPr>
            <w:r>
              <w:t xml:space="preserve">-0.33</w:t>
            </w:r>
          </w:p>
        </w:tc>
        <w:tc>
          <w:tcPr/>
          <w:p>
            <w:pPr>
              <w:pStyle w:val="Compact"/>
            </w:pPr>
            <w:r>
              <w:t xml:space="preserve">-0.0458</w:t>
            </w:r>
          </w:p>
        </w:tc>
      </w:tr>
      <w:tr>
        <w:tc>
          <w:tcPr/>
          <w:p>
            <w:pPr>
              <w:pStyle w:val="Compact"/>
            </w:pPr>
            <w:r>
              <w:t xml:space="preserve">35%</w:t>
            </w:r>
          </w:p>
        </w:tc>
        <w:tc>
          <w:tcPr/>
          <w:p>
            <w:pPr>
              <w:pStyle w:val="Compact"/>
            </w:pPr>
            <w:r>
              <w:t xml:space="preserve">average</w:t>
            </w:r>
          </w:p>
        </w:tc>
        <w:tc>
          <w:tcPr/>
          <w:p>
            <w:pPr>
              <w:pStyle w:val="Compact"/>
            </w:pPr>
            <w:r>
              <w:t xml:space="preserve">-0.0962</w:t>
            </w:r>
          </w:p>
        </w:tc>
        <w:tc>
          <w:tcPr/>
          <w:p>
            <w:pPr>
              <w:pStyle w:val="Compact"/>
            </w:pPr>
            <w:r>
              <w:t xml:space="preserve">-0.0108</w:t>
            </w:r>
          </w:p>
        </w:tc>
        <w:tc>
          <w:tcPr/>
          <w:p>
            <w:pPr>
              <w:pStyle w:val="Compact"/>
            </w:pPr>
            <w:r>
              <w:t xml:space="preserve">-0.78</w:t>
            </w:r>
          </w:p>
        </w:tc>
        <w:tc>
          <w:tcPr/>
          <w:p>
            <w:pPr>
              <w:pStyle w:val="Compact"/>
            </w:pPr>
            <w:r>
              <w:t xml:space="preserve">-0.0016</w:t>
            </w:r>
          </w:p>
        </w:tc>
      </w:tr>
      <w:tr>
        <w:tc>
          <w:tcPr/>
          <w:p>
            <w:pPr>
              <w:pStyle w:val="Compact"/>
            </w:pPr>
            <w:r>
              <w:t xml:space="preserve">35%</w:t>
            </w:r>
          </w:p>
        </w:tc>
        <w:tc>
          <w:tcPr/>
          <w:p>
            <w:pPr>
              <w:pStyle w:val="Compact"/>
            </w:pPr>
            <w:r>
              <w:t xml:space="preserve">new</w:t>
            </w:r>
          </w:p>
        </w:tc>
        <w:tc>
          <w:tcPr/>
          <w:p>
            <w:pPr>
              <w:pStyle w:val="Compact"/>
            </w:pPr>
            <w:r>
              <w:t xml:space="preserve">-0.0478</w:t>
            </w:r>
          </w:p>
        </w:tc>
        <w:tc>
          <w:tcPr/>
          <w:p>
            <w:pPr>
              <w:pStyle w:val="Compact"/>
            </w:pPr>
            <w:r>
              <w:t xml:space="preserve">+0.0080</w:t>
            </w:r>
          </w:p>
        </w:tc>
        <w:tc>
          <w:tcPr/>
          <w:p>
            <w:pPr>
              <w:pStyle w:val="Compact"/>
            </w:pPr>
            <w:r>
              <w:t xml:space="preserve">+1.05</w:t>
            </w:r>
          </w:p>
        </w:tc>
        <w:tc>
          <w:tcPr/>
          <w:p>
            <w:pPr>
              <w:pStyle w:val="Compact"/>
            </w:pPr>
            <w:r>
              <w:t xml:space="preserve">+0.0020</w:t>
            </w:r>
          </w:p>
        </w:tc>
      </w:tr>
      <w:tr>
        <w:tc>
          <w:tcPr/>
          <w:p>
            <w:pPr>
              <w:pStyle w:val="Compact"/>
            </w:pPr>
            <w:r>
              <w:t xml:space="preserve">50%</w:t>
            </w:r>
          </w:p>
        </w:tc>
        <w:tc>
          <w:tcPr/>
          <w:p>
            <w:pPr>
              <w:pStyle w:val="Compact"/>
            </w:pPr>
            <w:r>
              <w:t xml:space="preserve">old</w:t>
            </w:r>
          </w:p>
        </w:tc>
        <w:tc>
          <w:tcPr/>
          <w:p>
            <w:pPr>
              <w:pStyle w:val="Compact"/>
            </w:pPr>
            <w:r>
              <w:t xml:space="preserve">-1.0165</w:t>
            </w:r>
          </w:p>
        </w:tc>
        <w:tc>
          <w:tcPr/>
          <w:p>
            <w:pPr>
              <w:pStyle w:val="Compact"/>
            </w:pPr>
            <w:r>
              <w:t xml:space="preserve">-0.0366</w:t>
            </w:r>
          </w:p>
        </w:tc>
        <w:tc>
          <w:tcPr/>
          <w:p>
            <w:pPr>
              <w:pStyle w:val="Compact"/>
            </w:pPr>
            <w:r>
              <w:t xml:space="preserve">-0.36</w:t>
            </w:r>
          </w:p>
        </w:tc>
        <w:tc>
          <w:tcPr/>
          <w:p>
            <w:pPr>
              <w:pStyle w:val="Compact"/>
            </w:pPr>
            <w:r>
              <w:t xml:space="preserve">-0.0490</w:t>
            </w:r>
          </w:p>
        </w:tc>
      </w:tr>
      <w:tr>
        <w:tc>
          <w:tcPr/>
          <w:p>
            <w:pPr>
              <w:pStyle w:val="Compact"/>
            </w:pPr>
            <w:r>
              <w:t xml:space="preserve">50%</w:t>
            </w:r>
          </w:p>
        </w:tc>
        <w:tc>
          <w:tcPr/>
          <w:p>
            <w:pPr>
              <w:pStyle w:val="Compact"/>
            </w:pPr>
            <w:r>
              <w:t xml:space="preserve">average</w:t>
            </w:r>
          </w:p>
        </w:tc>
        <w:tc>
          <w:tcPr/>
          <w:p>
            <w:pPr>
              <w:pStyle w:val="Compact"/>
            </w:pPr>
            <w:r>
              <w:t xml:space="preserve">-0.0946</w:t>
            </w:r>
          </w:p>
        </w:tc>
        <w:tc>
          <w:tcPr/>
          <w:p>
            <w:pPr>
              <w:pStyle w:val="Compact"/>
            </w:pPr>
            <w:r>
              <w:t xml:space="preserve">-0.0107</w:t>
            </w:r>
          </w:p>
        </w:tc>
        <w:tc>
          <w:tcPr/>
          <w:p>
            <w:pPr>
              <w:pStyle w:val="Compact"/>
            </w:pPr>
            <w:r>
              <w:t xml:space="preserve">-0.79</w:t>
            </w:r>
          </w:p>
        </w:tc>
        <w:tc>
          <w:tcPr/>
          <w:p>
            <w:pPr>
              <w:pStyle w:val="Compact"/>
            </w:pPr>
            <w:r>
              <w:t xml:space="preserve">-0.0016</w:t>
            </w:r>
          </w:p>
        </w:tc>
      </w:tr>
      <w:tr>
        <w:tc>
          <w:tcPr/>
          <w:p>
            <w:pPr>
              <w:pStyle w:val="Compact"/>
            </w:pPr>
            <w:r>
              <w:t xml:space="preserve">50%</w:t>
            </w:r>
          </w:p>
        </w:tc>
        <w:tc>
          <w:tcPr/>
          <w:p>
            <w:pPr>
              <w:pStyle w:val="Compact"/>
            </w:pPr>
            <w:r>
              <w:t xml:space="preserve">new</w:t>
            </w:r>
          </w:p>
        </w:tc>
        <w:tc>
          <w:tcPr/>
          <w:p>
            <w:pPr>
              <w:pStyle w:val="Compact"/>
            </w:pPr>
            <w:r>
              <w:t xml:space="preserve">-0.0468</w:t>
            </w:r>
          </w:p>
        </w:tc>
        <w:tc>
          <w:tcPr/>
          <w:p>
            <w:pPr>
              <w:pStyle w:val="Compact"/>
            </w:pPr>
            <w:r>
              <w:t xml:space="preserve">+0.0089</w:t>
            </w:r>
          </w:p>
        </w:tc>
        <w:tc>
          <w:tcPr/>
          <w:p>
            <w:pPr>
              <w:pStyle w:val="Compact"/>
            </w:pPr>
            <w:r>
              <w:t xml:space="preserve">+1.18</w:t>
            </w:r>
          </w:p>
        </w:tc>
        <w:tc>
          <w:tcPr/>
          <w:p>
            <w:pPr>
              <w:pStyle w:val="Compact"/>
            </w:pPr>
            <w:r>
              <w:t xml:space="preserve">+0.0029</w:t>
            </w:r>
          </w:p>
        </w:tc>
      </w:tr>
    </w:tbl>
    <w:p>
      <w:pPr>
        <w:pStyle w:val="BodyText"/>
      </w:pPr>
      <w:r>
        <w:t xml:space="preserve">Table E2. The same design repeated over 25 independent heterogeneity fields at plus or minus 20%. The mean increment is a fraction of the field-to-field scatter in every zone, so no systematic bias is distinguishable from the choice of field.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Zone</w:t>
            </w:r>
          </w:p>
        </w:tc>
        <w:tc>
          <w:tcPr/>
          <w:p>
            <w:pPr>
              <w:pStyle w:val="Compact"/>
            </w:pPr>
            <w:r>
              <w:t xml:space="preserve">Bias mean</w:t>
            </w:r>
          </w:p>
        </w:tc>
        <w:tc>
          <w:tcPr/>
          <w:p>
            <w:pPr>
              <w:pStyle w:val="Compact"/>
            </w:pPr>
            <w:r>
              <w:t xml:space="preserve">Bias SD</w:t>
            </w:r>
          </w:p>
        </w:tc>
        <w:tc>
          <w:tcPr/>
          <w:p>
            <w:pPr>
              <w:pStyle w:val="Compact"/>
            </w:pPr>
            <w:r>
              <w:t xml:space="preserve">Increment mean</w:t>
            </w:r>
          </w:p>
        </w:tc>
        <w:tc>
          <w:tcPr/>
          <w:p>
            <w:pPr>
              <w:pStyle w:val="Compact"/>
            </w:pPr>
            <w:r>
              <w:t xml:space="preserve">Increment SD</w:t>
            </w:r>
          </w:p>
        </w:tc>
        <w:tc>
          <w:tcPr/>
          <w:p>
            <w:pPr>
              <w:pStyle w:val="Compact"/>
            </w:pPr>
          </w:p>
        </w:tc>
      </w:tr>
      <w:tr>
        <w:tc>
          <w:tcPr/>
          <w:p>
            <w:pPr>
              <w:pStyle w:val="Compact"/>
            </w:pPr>
            <w:r>
              <w:t xml:space="preserve">old</w:t>
            </w:r>
          </w:p>
        </w:tc>
        <w:tc>
          <w:tcPr/>
          <w:p>
            <w:pPr>
              <w:pStyle w:val="Compact"/>
            </w:pPr>
            <w:r>
              <w:t xml:space="preserve">+0.0231</w:t>
            </w:r>
          </w:p>
        </w:tc>
        <w:tc>
          <w:tcPr/>
          <w:p>
            <w:pPr>
              <w:pStyle w:val="Compact"/>
            </w:pPr>
            <w:r>
              <w:t xml:space="preserve">0.0335</w:t>
            </w:r>
          </w:p>
        </w:tc>
        <w:tc>
          <w:tcPr/>
          <w:p>
            <w:pPr>
              <w:pStyle w:val="Compact"/>
            </w:pPr>
            <w:r>
              <w:t xml:space="preserve">+0.0107</w:t>
            </w:r>
          </w:p>
        </w:tc>
        <w:tc>
          <w:tcPr/>
          <w:p>
            <w:pPr>
              <w:pStyle w:val="Compact"/>
            </w:pPr>
            <w:r>
              <w:t xml:space="preserve">0.0335</w:t>
            </w:r>
          </w:p>
        </w:tc>
        <w:tc>
          <w:tcPr/>
          <w:p>
            <w:pPr>
              <w:pStyle w:val="Compact"/>
            </w:pPr>
            <w:r>
              <w:t xml:space="preserve">0.32</w:t>
            </w:r>
          </w:p>
        </w:tc>
      </w:tr>
      <w:tr>
        <w:tc>
          <w:tcPr/>
          <w:p>
            <w:pPr>
              <w:pStyle w:val="Compact"/>
            </w:pPr>
            <w:r>
              <w:t xml:space="preserve">average</w:t>
            </w:r>
          </w:p>
        </w:tc>
        <w:tc>
          <w:tcPr/>
          <w:p>
            <w:pPr>
              <w:pStyle w:val="Compact"/>
            </w:pPr>
            <w:r>
              <w:t xml:space="preserve">-0.0089</w:t>
            </w:r>
          </w:p>
        </w:tc>
        <w:tc>
          <w:tcPr/>
          <w:p>
            <w:pPr>
              <w:pStyle w:val="Compact"/>
            </w:pPr>
            <w:r>
              <w:t xml:space="preserve">0.0046</w:t>
            </w:r>
          </w:p>
        </w:tc>
        <w:tc>
          <w:tcPr/>
          <w:p>
            <w:pPr>
              <w:pStyle w:val="Compact"/>
            </w:pPr>
            <w:r>
              <w:t xml:space="preserve">+0.0002</w:t>
            </w:r>
          </w:p>
        </w:tc>
        <w:tc>
          <w:tcPr/>
          <w:p>
            <w:pPr>
              <w:pStyle w:val="Compact"/>
            </w:pPr>
            <w:r>
              <w:t xml:space="preserve">0.0046</w:t>
            </w:r>
          </w:p>
        </w:tc>
        <w:tc>
          <w:tcPr/>
          <w:p>
            <w:pPr>
              <w:pStyle w:val="Compact"/>
            </w:pPr>
            <w:r>
              <w:t xml:space="preserve">0.04</w:t>
            </w:r>
          </w:p>
        </w:tc>
      </w:tr>
      <w:tr>
        <w:tc>
          <w:tcPr/>
          <w:p>
            <w:pPr>
              <w:pStyle w:val="Compact"/>
            </w:pPr>
            <w:r>
              <w:t xml:space="preserve">new</w:t>
            </w:r>
          </w:p>
        </w:tc>
        <w:tc>
          <w:tcPr/>
          <w:p>
            <w:pPr>
              <w:pStyle w:val="Compact"/>
            </w:pPr>
            <w:r>
              <w:t xml:space="preserve">+0.0055</w:t>
            </w:r>
          </w:p>
        </w:tc>
        <w:tc>
          <w:tcPr/>
          <w:p>
            <w:pPr>
              <w:pStyle w:val="Compact"/>
            </w:pPr>
            <w:r>
              <w:t xml:space="preserve">0.0021</w:t>
            </w:r>
          </w:p>
        </w:tc>
        <w:tc>
          <w:tcPr/>
          <w:p>
            <w:pPr>
              <w:pStyle w:val="Compact"/>
            </w:pPr>
            <w:r>
              <w:t xml:space="preserve">-0.0005</w:t>
            </w:r>
          </w:p>
        </w:tc>
        <w:tc>
          <w:tcPr/>
          <w:p>
            <w:pPr>
              <w:pStyle w:val="Compact"/>
            </w:pPr>
            <w:r>
              <w:t xml:space="preserve">0.0021</w:t>
            </w:r>
          </w:p>
        </w:tc>
        <w:tc>
          <w:tcPr/>
          <w:p>
            <w:pPr>
              <w:pStyle w:val="Compact"/>
            </w:pPr>
            <w:r>
              <w:t xml:space="preserve">0.24</w:t>
            </w:r>
          </w:p>
        </w:tc>
      </w:tr>
    </w:tbl>
    <w:p>
      <w:pPr>
        <w:pStyle w:val="BodyText"/>
      </w:pPr>
      <w:r>
        <w:t xml:space="preserve">Table E3. Length-structured heterogeneity in the reference realisation. The homogeneous baseline offset is what the same rule returns with no structural error at all and must be subtracted before a shift is read as structural.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Zone</w:t>
            </w:r>
          </w:p>
        </w:tc>
        <w:tc>
          <w:tcPr/>
          <w:p>
            <w:pPr>
              <w:pStyle w:val="Compact"/>
            </w:pPr>
            <w:r>
              <w:t xml:space="preserve">Rule</w:t>
            </w:r>
          </w:p>
        </w:tc>
        <w:tc>
          <w:tcPr/>
          <w:p>
            <w:pPr>
              <w:pStyle w:val="Compact"/>
            </w:pPr>
            <w:r>
              <w:t xml:space="preserve">Arithmetic mean</w:t>
            </w:r>
          </w:p>
        </w:tc>
        <w:tc>
          <w:tcPr/>
          <w:p>
            <w:pPr>
              <w:pStyle w:val="Compact"/>
            </w:pPr>
            <w:r>
              <w:t xml:space="preserve">Length-weighted proxy</w:t>
            </w:r>
          </w:p>
        </w:tc>
        <w:tc>
          <w:tcPr/>
          <w:p>
            <w:pPr>
              <w:pStyle w:val="Compact"/>
            </w:pPr>
            <w:r>
              <w:t xml:space="preserve">Posterior mean</w:t>
            </w:r>
          </w:p>
        </w:tc>
        <w:tc>
          <w:tcPr/>
          <w:p>
            <w:pPr>
              <w:pStyle w:val="Compact"/>
            </w:pPr>
            <w:r>
              <w:t xml:space="preserve">Shift</w:t>
            </w:r>
          </w:p>
        </w:tc>
        <w:tc>
          <w:tcPr/>
          <w:p>
            <w:pPr>
              <w:pStyle w:val="Compact"/>
            </w:pPr>
            <w:r>
              <w:t xml:space="preserve">Homogeneous offset</w:t>
            </w:r>
          </w:p>
        </w:tc>
        <w:tc>
          <w:tcPr/>
          <w:p>
            <w:pPr>
              <w:pStyle w:val="Compact"/>
            </w:pPr>
            <w:r>
              <w:t xml:space="preserve">Fraction of gap</w:t>
            </w:r>
          </w:p>
        </w:tc>
      </w:tr>
      <w:tr>
        <w:tc>
          <w:tcPr/>
          <w:p>
            <w:pPr>
              <w:pStyle w:val="Compact"/>
            </w:pPr>
            <w:r>
              <w:t xml:space="preserve">old</w:t>
            </w:r>
          </w:p>
        </w:tc>
        <w:tc>
          <w:tcPr/>
          <w:p>
            <w:pPr>
              <w:pStyle w:val="Compact"/>
            </w:pPr>
            <w:r>
              <w:t xml:space="preserve">formal censored</w:t>
            </w:r>
          </w:p>
        </w:tc>
        <w:tc>
          <w:tcPr/>
          <w:p>
            <w:pPr>
              <w:pStyle w:val="Compact"/>
            </w:pPr>
            <w:r>
              <w:t xml:space="preserve">-1.0000</w:t>
            </w:r>
          </w:p>
        </w:tc>
        <w:tc>
          <w:tcPr/>
          <w:p>
            <w:pPr>
              <w:pStyle w:val="Compact"/>
            </w:pPr>
            <w:r>
              <w:t xml:space="preserve">-1.2404</w:t>
            </w:r>
          </w:p>
        </w:tc>
        <w:tc>
          <w:tcPr/>
          <w:p>
            <w:pPr>
              <w:pStyle w:val="Compact"/>
            </w:pPr>
            <w:r>
              <w:t xml:space="preserve">-1.1444</w:t>
            </w:r>
          </w:p>
        </w:tc>
        <w:tc>
          <w:tcPr/>
          <w:p>
            <w:pPr>
              <w:pStyle w:val="Compact"/>
            </w:pPr>
            <w:r>
              <w:t xml:space="preserve">-0.1444</w:t>
            </w:r>
          </w:p>
        </w:tc>
        <w:tc>
          <w:tcPr/>
          <w:p>
            <w:pPr>
              <w:pStyle w:val="Compact"/>
            </w:pPr>
            <w:r>
              <w:t xml:space="preserve">+0.0124</w:t>
            </w:r>
          </w:p>
        </w:tc>
        <w:tc>
          <w:tcPr/>
          <w:p>
            <w:pPr>
              <w:pStyle w:val="Compact"/>
            </w:pPr>
            <w:r>
              <w:t xml:space="preserve">60%</w:t>
            </w:r>
          </w:p>
        </w:tc>
      </w:tr>
      <w:tr>
        <w:tc>
          <w:tcPr/>
          <w:p>
            <w:pPr>
              <w:pStyle w:val="Compact"/>
            </w:pPr>
            <w:r>
              <w:t xml:space="preserve">old</w:t>
            </w:r>
          </w:p>
        </w:tc>
        <w:tc>
          <w:tcPr/>
          <w:p>
            <w:pPr>
              <w:pStyle w:val="Compact"/>
            </w:pPr>
            <w:r>
              <w:t xml:space="preserve">informal glue</w:t>
            </w:r>
          </w:p>
        </w:tc>
        <w:tc>
          <w:tcPr/>
          <w:p>
            <w:pPr>
              <w:pStyle w:val="Compact"/>
            </w:pPr>
            <w:r>
              <w:t xml:space="preserve">-1.0000</w:t>
            </w:r>
          </w:p>
        </w:tc>
        <w:tc>
          <w:tcPr/>
          <w:p>
            <w:pPr>
              <w:pStyle w:val="Compact"/>
            </w:pPr>
            <w:r>
              <w:t xml:space="preserve">-1.2404</w:t>
            </w:r>
          </w:p>
        </w:tc>
        <w:tc>
          <w:tcPr/>
          <w:p>
            <w:pPr>
              <w:pStyle w:val="Compact"/>
            </w:pPr>
            <w:r>
              <w:t xml:space="preserve">-1.0666</w:t>
            </w:r>
          </w:p>
        </w:tc>
        <w:tc>
          <w:tcPr/>
          <w:p>
            <w:pPr>
              <w:pStyle w:val="Compact"/>
            </w:pPr>
            <w:r>
              <w:t xml:space="preserve">-0.0666</w:t>
            </w:r>
          </w:p>
        </w:tc>
        <w:tc>
          <w:tcPr/>
          <w:p>
            <w:pPr>
              <w:pStyle w:val="Compact"/>
            </w:pPr>
            <w:r>
              <w:t xml:space="preserve">-0.0115</w:t>
            </w:r>
          </w:p>
        </w:tc>
        <w:tc>
          <w:tcPr/>
          <w:p>
            <w:pPr>
              <w:pStyle w:val="Compact"/>
            </w:pPr>
            <w:r>
              <w:t xml:space="preserve">28%</w:t>
            </w:r>
          </w:p>
        </w:tc>
      </w:tr>
      <w:tr>
        <w:tc>
          <w:tcPr/>
          <w:p>
            <w:pPr>
              <w:pStyle w:val="Compact"/>
            </w:pPr>
            <w:r>
              <w:t xml:space="preserve">average</w:t>
            </w:r>
          </w:p>
        </w:tc>
        <w:tc>
          <w:tcPr/>
          <w:p>
            <w:pPr>
              <w:pStyle w:val="Compact"/>
            </w:pPr>
            <w:r>
              <w:t xml:space="preserve">formal censored</w:t>
            </w:r>
          </w:p>
        </w:tc>
        <w:tc>
          <w:tcPr/>
          <w:p>
            <w:pPr>
              <w:pStyle w:val="Compact"/>
            </w:pPr>
            <w:r>
              <w:t xml:space="preserve">-0.1000</w:t>
            </w:r>
          </w:p>
        </w:tc>
        <w:tc>
          <w:tcPr/>
          <w:p>
            <w:pPr>
              <w:pStyle w:val="Compact"/>
            </w:pPr>
            <w:r>
              <w:t xml:space="preserve">-0.1238</w:t>
            </w:r>
          </w:p>
        </w:tc>
        <w:tc>
          <w:tcPr/>
          <w:p>
            <w:pPr>
              <w:pStyle w:val="Compact"/>
            </w:pPr>
            <w:r>
              <w:t xml:space="preserve">-0.1349</w:t>
            </w:r>
          </w:p>
        </w:tc>
        <w:tc>
          <w:tcPr/>
          <w:p>
            <w:pPr>
              <w:pStyle w:val="Compact"/>
            </w:pPr>
            <w:r>
              <w:t xml:space="preserve">-0.0349</w:t>
            </w:r>
          </w:p>
        </w:tc>
        <w:tc>
          <w:tcPr/>
          <w:p>
            <w:pPr>
              <w:pStyle w:val="Compact"/>
            </w:pPr>
            <w:r>
              <w:t xml:space="preserve">-0.0091</w:t>
            </w:r>
          </w:p>
        </w:tc>
        <w:tc>
          <w:tcPr/>
          <w:p>
            <w:pPr>
              <w:pStyle w:val="Compact"/>
            </w:pPr>
            <w:r>
              <w:t xml:space="preserve">147%</w:t>
            </w:r>
          </w:p>
        </w:tc>
      </w:tr>
      <w:tr>
        <w:tc>
          <w:tcPr/>
          <w:p>
            <w:pPr>
              <w:pStyle w:val="Compact"/>
            </w:pPr>
            <w:r>
              <w:t xml:space="preserve">average</w:t>
            </w:r>
          </w:p>
        </w:tc>
        <w:tc>
          <w:tcPr/>
          <w:p>
            <w:pPr>
              <w:pStyle w:val="Compact"/>
            </w:pPr>
            <w:r>
              <w:t xml:space="preserve">informal glue</w:t>
            </w:r>
          </w:p>
        </w:tc>
        <w:tc>
          <w:tcPr/>
          <w:p>
            <w:pPr>
              <w:pStyle w:val="Compact"/>
            </w:pPr>
            <w:r>
              <w:t xml:space="preserve">-0.1000</w:t>
            </w:r>
          </w:p>
        </w:tc>
        <w:tc>
          <w:tcPr/>
          <w:p>
            <w:pPr>
              <w:pStyle w:val="Compact"/>
            </w:pPr>
            <w:r>
              <w:t xml:space="preserve">-0.1238</w:t>
            </w:r>
          </w:p>
        </w:tc>
        <w:tc>
          <w:tcPr/>
          <w:p>
            <w:pPr>
              <w:pStyle w:val="Compact"/>
            </w:pPr>
            <w:r>
              <w:t xml:space="preserve">-0.1300</w:t>
            </w:r>
          </w:p>
        </w:tc>
        <w:tc>
          <w:tcPr/>
          <w:p>
            <w:pPr>
              <w:pStyle w:val="Compact"/>
            </w:pPr>
            <w:r>
              <w:t xml:space="preserve">-0.0300</w:t>
            </w:r>
          </w:p>
        </w:tc>
        <w:tc>
          <w:tcPr/>
          <w:p>
            <w:pPr>
              <w:pStyle w:val="Compact"/>
            </w:pPr>
            <w:r>
              <w:t xml:space="preserve">-0.0170</w:t>
            </w:r>
          </w:p>
        </w:tc>
        <w:tc>
          <w:tcPr/>
          <w:p>
            <w:pPr>
              <w:pStyle w:val="Compact"/>
            </w:pPr>
            <w:r>
              <w:t xml:space="preserve">126%</w:t>
            </w:r>
          </w:p>
        </w:tc>
      </w:tr>
      <w:tr>
        <w:tc>
          <w:tcPr/>
          <w:p>
            <w:pPr>
              <w:pStyle w:val="Compact"/>
            </w:pPr>
            <w:r>
              <w:t xml:space="preserve">new</w:t>
            </w:r>
          </w:p>
        </w:tc>
        <w:tc>
          <w:tcPr/>
          <w:p>
            <w:pPr>
              <w:pStyle w:val="Compact"/>
            </w:pPr>
            <w:r>
              <w:t xml:space="preserve">formal censored</w:t>
            </w:r>
          </w:p>
        </w:tc>
        <w:tc>
          <w:tcPr/>
          <w:p>
            <w:pPr>
              <w:pStyle w:val="Compact"/>
            </w:pPr>
            <w:r>
              <w:t xml:space="preserve">-0.0500</w:t>
            </w:r>
          </w:p>
        </w:tc>
        <w:tc>
          <w:tcPr/>
          <w:p>
            <w:pPr>
              <w:pStyle w:val="Compact"/>
            </w:pPr>
            <w:r>
              <w:t xml:space="preserve">-0.0659</w:t>
            </w:r>
          </w:p>
        </w:tc>
        <w:tc>
          <w:tcPr/>
          <w:p>
            <w:pPr>
              <w:pStyle w:val="Compact"/>
            </w:pPr>
            <w:r>
              <w:t xml:space="preserve">-0.0571</w:t>
            </w:r>
          </w:p>
        </w:tc>
        <w:tc>
          <w:tcPr/>
          <w:p>
            <w:pPr>
              <w:pStyle w:val="Compact"/>
            </w:pPr>
            <w:r>
              <w:t xml:space="preserve">-0.0071</w:t>
            </w:r>
          </w:p>
        </w:tc>
        <w:tc>
          <w:tcPr/>
          <w:p>
            <w:pPr>
              <w:pStyle w:val="Compact"/>
            </w:pPr>
            <w:r>
              <w:t xml:space="preserve">+0.0060</w:t>
            </w:r>
          </w:p>
        </w:tc>
        <w:tc>
          <w:tcPr/>
          <w:p>
            <w:pPr>
              <w:pStyle w:val="Compact"/>
            </w:pPr>
            <w:r>
              <w:t xml:space="preserve">45%</w:t>
            </w:r>
          </w:p>
        </w:tc>
      </w:tr>
      <w:tr>
        <w:tc>
          <w:tcPr/>
          <w:p>
            <w:pPr>
              <w:pStyle w:val="Compact"/>
            </w:pPr>
            <w:r>
              <w:t xml:space="preserve">new</w:t>
            </w:r>
          </w:p>
        </w:tc>
        <w:tc>
          <w:tcPr/>
          <w:p>
            <w:pPr>
              <w:pStyle w:val="Compact"/>
            </w:pPr>
            <w:r>
              <w:t xml:space="preserve">informal glue</w:t>
            </w:r>
          </w:p>
        </w:tc>
        <w:tc>
          <w:tcPr/>
          <w:p>
            <w:pPr>
              <w:pStyle w:val="Compact"/>
            </w:pPr>
            <w:r>
              <w:t xml:space="preserve">-0.0500</w:t>
            </w:r>
          </w:p>
        </w:tc>
        <w:tc>
          <w:tcPr/>
          <w:p>
            <w:pPr>
              <w:pStyle w:val="Compact"/>
            </w:pPr>
            <w:r>
              <w:t xml:space="preserve">-0.0659</w:t>
            </w:r>
          </w:p>
        </w:tc>
        <w:tc>
          <w:tcPr/>
          <w:p>
            <w:pPr>
              <w:pStyle w:val="Compact"/>
            </w:pPr>
            <w:r>
              <w:t xml:space="preserve">-0.0593</w:t>
            </w:r>
          </w:p>
        </w:tc>
        <w:tc>
          <w:tcPr/>
          <w:p>
            <w:pPr>
              <w:pStyle w:val="Compact"/>
            </w:pPr>
            <w:r>
              <w:t xml:space="preserve">-0.0093</w:t>
            </w:r>
          </w:p>
        </w:tc>
        <w:tc>
          <w:tcPr/>
          <w:p>
            <w:pPr>
              <w:pStyle w:val="Compact"/>
            </w:pPr>
            <w:r>
              <w:t xml:space="preserve">+0.0008</w:t>
            </w:r>
          </w:p>
        </w:tc>
        <w:tc>
          <w:tcPr/>
          <w:p>
            <w:pPr>
              <w:pStyle w:val="Compact"/>
            </w:pPr>
            <w:r>
              <w:t xml:space="preserve">58%</w:t>
            </w:r>
          </w:p>
        </w:tc>
      </w:tr>
    </w:tbl>
    <w:p>
      <w:pPr>
        <w:pStyle w:val="BodyText"/>
      </w:pPr>
      <w:r>
        <w:t xml:space="preserve">Table E4. Length-structured amplitude sweep over 30 noise realisations. Entries are the median raw displacement fraction with its 5 to 95% range, where 0 is the arithmetic zone mean and 1 the length-weighted reference. The fraction is undefined at an amplitude of zero because the two references coincide.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Amplitude</w:t>
            </w:r>
          </w:p>
        </w:tc>
        <w:tc>
          <w:tcPr/>
          <w:p>
            <w:pPr>
              <w:pStyle w:val="Compact"/>
            </w:pPr>
            <w:r>
              <w:t xml:space="preserve">old formal</w:t>
            </w:r>
          </w:p>
        </w:tc>
        <w:tc>
          <w:tcPr/>
          <w:p>
            <w:pPr>
              <w:pStyle w:val="Compact"/>
            </w:pPr>
            <w:r>
              <w:t xml:space="preserve">old informal</w:t>
            </w:r>
          </w:p>
        </w:tc>
        <w:tc>
          <w:tcPr/>
          <w:p>
            <w:pPr>
              <w:pStyle w:val="Compact"/>
            </w:pPr>
            <w:r>
              <w:t xml:space="preserve">average formal</w:t>
            </w:r>
          </w:p>
        </w:tc>
        <w:tc>
          <w:tcPr/>
          <w:p>
            <w:pPr>
              <w:pStyle w:val="Compact"/>
            </w:pPr>
            <w:r>
              <w:t xml:space="preserve">average informal</w:t>
            </w:r>
          </w:p>
        </w:tc>
        <w:tc>
          <w:tcPr/>
          <w:p>
            <w:pPr>
              <w:pStyle w:val="Compact"/>
            </w:pPr>
            <w:r>
              <w:t xml:space="preserve">new formal</w:t>
            </w:r>
          </w:p>
        </w:tc>
        <w:tc>
          <w:tcPr/>
          <w:p>
            <w:pPr>
              <w:pStyle w:val="Compact"/>
            </w:pPr>
            <w:r>
              <w:t xml:space="preserve">new informal</w:t>
            </w:r>
          </w:p>
        </w:tc>
      </w:tr>
      <w:tr>
        <w:tc>
          <w:tcPr/>
          <w:p>
            <w:pPr>
              <w:pStyle w:val="Compact"/>
            </w:pPr>
            <w:r>
              <w:t xml:space="preserve">0.00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0.25</w:t>
            </w:r>
          </w:p>
        </w:tc>
        <w:tc>
          <w:tcPr/>
          <w:p>
            <w:pPr>
              <w:pStyle w:val="Compact"/>
            </w:pPr>
            <w:r>
              <w:t xml:space="preserve">1.10 [-0.29, 2.47]</w:t>
            </w:r>
          </w:p>
        </w:tc>
        <w:tc>
          <w:tcPr/>
          <w:p>
            <w:pPr>
              <w:pStyle w:val="Compact"/>
            </w:pPr>
            <w:r>
              <w:t xml:space="preserve">0.65 [-0.05, 1.11]</w:t>
            </w:r>
          </w:p>
        </w:tc>
        <w:tc>
          <w:tcPr/>
          <w:p>
            <w:pPr>
              <w:pStyle w:val="Compact"/>
            </w:pPr>
            <w:r>
              <w:t xml:space="preserve">1.26 [-0.95, 3.72]</w:t>
            </w:r>
          </w:p>
        </w:tc>
        <w:tc>
          <w:tcPr/>
          <w:p>
            <w:pPr>
              <w:pStyle w:val="Compact"/>
            </w:pPr>
            <w:r>
              <w:t xml:space="preserve">2.00 [1.12, 2.77]</w:t>
            </w:r>
          </w:p>
        </w:tc>
        <w:tc>
          <w:tcPr/>
          <w:p>
            <w:pPr>
              <w:pStyle w:val="Compact"/>
            </w:pPr>
            <w:r>
              <w:t xml:space="preserve">0.98 [-0.89, 2.66]</w:t>
            </w:r>
          </w:p>
        </w:tc>
        <w:tc>
          <w:tcPr/>
          <w:p>
            <w:pPr>
              <w:pStyle w:val="Compact"/>
            </w:pPr>
            <w:r>
              <w:t xml:space="preserve">0.89 [0.29, 1.52]</w:t>
            </w:r>
          </w:p>
        </w:tc>
      </w:tr>
      <w:tr>
        <w:tc>
          <w:tcPr/>
          <w:p>
            <w:pPr>
              <w:pStyle w:val="Compact"/>
            </w:pPr>
            <w:r>
              <w:t xml:space="preserve">0.50</w:t>
            </w:r>
          </w:p>
        </w:tc>
        <w:tc>
          <w:tcPr/>
          <w:p>
            <w:pPr>
              <w:pStyle w:val="Compact"/>
            </w:pPr>
            <w:r>
              <w:t xml:space="preserve">0.86 [0.12, 1.46]</w:t>
            </w:r>
          </w:p>
        </w:tc>
        <w:tc>
          <w:tcPr/>
          <w:p>
            <w:pPr>
              <w:pStyle w:val="Compact"/>
            </w:pPr>
            <w:r>
              <w:t xml:space="preserve">0.43 [0.16, 0.69]</w:t>
            </w:r>
          </w:p>
        </w:tc>
        <w:tc>
          <w:tcPr/>
          <w:p>
            <w:pPr>
              <w:pStyle w:val="Compact"/>
            </w:pPr>
            <w:r>
              <w:t xml:space="preserve">1.12 [-0.07, 2.43]</w:t>
            </w:r>
          </w:p>
        </w:tc>
        <w:tc>
          <w:tcPr/>
          <w:p>
            <w:pPr>
              <w:pStyle w:val="Compact"/>
            </w:pPr>
            <w:r>
              <w:t xml:space="preserve">1.22 [0.98, 1.66]</w:t>
            </w:r>
          </w:p>
        </w:tc>
        <w:tc>
          <w:tcPr/>
          <w:p>
            <w:pPr>
              <w:pStyle w:val="Compact"/>
            </w:pPr>
            <w:r>
              <w:t xml:space="preserve">0.92 [-0.03, 1.78]</w:t>
            </w:r>
          </w:p>
        </w:tc>
        <w:tc>
          <w:tcPr/>
          <w:p>
            <w:pPr>
              <w:pStyle w:val="Compact"/>
            </w:pPr>
            <w:r>
              <w:t xml:space="preserve">0.78 [0.40, 1.08]</w:t>
            </w:r>
          </w:p>
        </w:tc>
      </w:tr>
      <w:tr>
        <w:tc>
          <w:tcPr/>
          <w:p>
            <w:pPr>
              <w:pStyle w:val="Compact"/>
            </w:pPr>
            <w:r>
              <w:t xml:space="preserve">0.75</w:t>
            </w:r>
          </w:p>
        </w:tc>
        <w:tc>
          <w:tcPr/>
          <w:p>
            <w:pPr>
              <w:pStyle w:val="Compact"/>
            </w:pPr>
            <w:r>
              <w:t xml:space="preserve">0.74 [0.23, 1.06]</w:t>
            </w:r>
          </w:p>
        </w:tc>
        <w:tc>
          <w:tcPr/>
          <w:p>
            <w:pPr>
              <w:pStyle w:val="Compact"/>
            </w:pPr>
            <w:r>
              <w:t xml:space="preserve">0.34 [0.16, 0.52]</w:t>
            </w:r>
          </w:p>
        </w:tc>
        <w:tc>
          <w:tcPr/>
          <w:p>
            <w:pPr>
              <w:pStyle w:val="Compact"/>
            </w:pPr>
            <w:r>
              <w:t xml:space="preserve">1.07 [0.22, 1.93]</w:t>
            </w:r>
          </w:p>
        </w:tc>
        <w:tc>
          <w:tcPr/>
          <w:p>
            <w:pPr>
              <w:pStyle w:val="Compact"/>
            </w:pPr>
            <w:r>
              <w:t xml:space="preserve">0.97 [0.74, 1.26]</w:t>
            </w:r>
          </w:p>
        </w:tc>
        <w:tc>
          <w:tcPr/>
          <w:p>
            <w:pPr>
              <w:pStyle w:val="Compact"/>
            </w:pPr>
            <w:r>
              <w:t xml:space="preserve">0.89 [0.26, 1.46]</w:t>
            </w:r>
          </w:p>
        </w:tc>
        <w:tc>
          <w:tcPr/>
          <w:p>
            <w:pPr>
              <w:pStyle w:val="Compact"/>
            </w:pPr>
            <w:r>
              <w:t xml:space="preserve">0.72 [0.43, 0.92]</w:t>
            </w:r>
          </w:p>
        </w:tc>
      </w:tr>
    </w:tbl>
    <w:bookmarkEnd w:id="163"/>
    <w:bookmarkStart w:id="164" w:name="Xc8c108fff9324274ec271495265452b9f890e51"/>
    <w:p>
      <w:pPr>
        <w:pStyle w:val="Heading2"/>
      </w:pPr>
      <w:r>
        <w:t xml:space="preserve">Appendix F. Per-arm sensor error and drift results</w:t>
      </w:r>
    </w:p>
    <w:p>
      <w:pPr>
        <w:pStyle w:val="FirstParagraph"/>
      </w:pPr>
      <w:r>
        <w:t xml:space="preserve">Table F1. Every arm of the sensor-bias sweep under the primary rule, as the displacement of each coefficient in baseline posterior standard deviations. Rank statistics compare the 92-junction risk field with the unbiased case.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Node</w:t>
            </w:r>
          </w:p>
        </w:tc>
        <w:tc>
          <w:tcPr/>
          <w:p>
            <w:pPr>
              <w:pStyle w:val="Compact"/>
            </w:pPr>
            <w:r>
              <w:t xml:space="preserve">Zone</w:t>
            </w:r>
          </w:p>
        </w:tc>
        <w:tc>
          <w:tcPr/>
          <w:p>
            <w:pPr>
              <w:pStyle w:val="Compact"/>
            </w:pPr>
            <w:r>
              <w:t xml:space="preserve">Offset (mg L-1)</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Censored points</w:t>
            </w:r>
          </w:p>
        </w:tc>
        <w:tc>
          <w:tcPr/>
          <w:p>
            <w:pPr>
              <w:pStyle w:val="Compact"/>
            </w:pPr>
            <w:r>
              <w:t xml:space="preserve">Spearman</w:t>
            </w:r>
          </w:p>
        </w:tc>
        <w:tc>
          <w:tcPr/>
          <w:p>
            <w:pPr>
              <w:pStyle w:val="Compact"/>
            </w:pPr>
            <w:r>
              <w:t xml:space="preserve">Top-6 Jaccard (duration)</w:t>
            </w:r>
          </w:p>
        </w:tc>
        <w:tc>
          <w:tcPr/>
          <w:p>
            <w:pPr>
              <w:pStyle w:val="Compact"/>
            </w:pPr>
            <w:r>
              <w:t xml:space="preserve">Top-6 Jaccard (deficit)</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+0.91</w:t>
            </w:r>
          </w:p>
        </w:tc>
        <w:tc>
          <w:tcPr/>
          <w:p>
            <w:pPr>
              <w:pStyle w:val="Compact"/>
            </w:pPr>
            <w:r>
              <w:t xml:space="preserve">+1.59</w:t>
            </w:r>
          </w:p>
        </w:tc>
        <w:tc>
          <w:tcPr/>
          <w:p>
            <w:pPr>
              <w:pStyle w:val="Compact"/>
            </w:pPr>
            <w:r>
              <w:t xml:space="preserve">-3.84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+1.01</w:t>
            </w:r>
          </w:p>
        </w:tc>
        <w:tc>
          <w:tcPr/>
          <w:p>
            <w:pPr>
              <w:pStyle w:val="Compact"/>
            </w:pPr>
            <w:r>
              <w:t xml:space="preserve">+1.82</w:t>
            </w:r>
          </w:p>
        </w:tc>
        <w:tc>
          <w:tcPr/>
          <w:p>
            <w:pPr>
              <w:pStyle w:val="Compact"/>
            </w:pPr>
            <w:r>
              <w:t xml:space="preserve">-4.44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-3.82</w:t>
            </w:r>
          </w:p>
        </w:tc>
        <w:tc>
          <w:tcPr/>
          <w:p>
            <w:pPr>
              <w:pStyle w:val="Compact"/>
            </w:pPr>
            <w:r>
              <w:t xml:space="preserve">+0.08</w:t>
            </w:r>
          </w:p>
        </w:tc>
        <w:tc>
          <w:tcPr/>
          <w:p>
            <w:pPr>
              <w:pStyle w:val="Compact"/>
            </w:pPr>
            <w:r>
              <w:t xml:space="preserve">+0.14</w:t>
            </w:r>
          </w:p>
        </w:tc>
        <w:tc>
          <w:tcPr/>
          <w:p>
            <w:pPr>
              <w:pStyle w:val="Compact"/>
            </w:pPr>
            <w:r>
              <w:t xml:space="preserve">13</w:t>
            </w:r>
          </w:p>
        </w:tc>
        <w:tc>
          <w:tcPr/>
          <w:p>
            <w:pPr>
              <w:pStyle w:val="Compact"/>
            </w:pPr>
            <w:r>
              <w:t xml:space="preserve">0.9995</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-3.31</w:t>
            </w:r>
          </w:p>
        </w:tc>
        <w:tc>
          <w:tcPr/>
          <w:p>
            <w:pPr>
              <w:pStyle w:val="Compact"/>
            </w:pPr>
            <w:r>
              <w:t xml:space="preserve">+0.48</w:t>
            </w:r>
          </w:p>
        </w:tc>
        <w:tc>
          <w:tcPr/>
          <w:p>
            <w:pPr>
              <w:pStyle w:val="Compact"/>
            </w:pPr>
            <w:r>
              <w:t xml:space="preserve">-0.80</w:t>
            </w:r>
          </w:p>
        </w:tc>
        <w:tc>
          <w:tcPr/>
          <w:p>
            <w:pPr>
              <w:pStyle w:val="Compact"/>
            </w:pPr>
            <w:r>
              <w:t xml:space="preserve">12</w:t>
            </w:r>
          </w:p>
        </w:tc>
        <w:tc>
          <w:tcPr/>
          <w:p>
            <w:pPr>
              <w:pStyle w:val="Compact"/>
            </w:pPr>
            <w:r>
              <w:t xml:space="preserve">0.9996</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+0.74</w:t>
            </w:r>
          </w:p>
        </w:tc>
        <w:tc>
          <w:tcPr/>
          <w:p>
            <w:pPr>
              <w:pStyle w:val="Compact"/>
            </w:pPr>
            <w:r>
              <w:t xml:space="preserve">-1.89</w:t>
            </w:r>
          </w:p>
        </w:tc>
        <w:tc>
          <w:tcPr/>
          <w:p>
            <w:pPr>
              <w:pStyle w:val="Compact"/>
            </w:pPr>
            <w:r>
              <w:t xml:space="preserve">-2.66</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-0.29</w:t>
            </w:r>
          </w:p>
        </w:tc>
        <w:tc>
          <w:tcPr/>
          <w:p>
            <w:pPr>
              <w:pStyle w:val="Compact"/>
            </w:pPr>
            <w:r>
              <w:t xml:space="preserve">-5.94</w:t>
            </w:r>
          </w:p>
        </w:tc>
        <w:tc>
          <w:tcPr/>
          <w:p>
            <w:pPr>
              <w:pStyle w:val="Compact"/>
            </w:pPr>
            <w:r>
              <w:t xml:space="preserve">+0.74</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+0.50</w:t>
            </w:r>
          </w:p>
        </w:tc>
        <w:tc>
          <w:tcPr/>
          <w:p>
            <w:pPr>
              <w:pStyle w:val="Compact"/>
            </w:pPr>
            <w:r>
              <w:t xml:space="preserve">+0.83</w:t>
            </w:r>
          </w:p>
        </w:tc>
        <w:tc>
          <w:tcPr/>
          <w:p>
            <w:pPr>
              <w:pStyle w:val="Compact"/>
            </w:pPr>
            <w:r>
              <w:t xml:space="preserve">-1.92</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+0.57</w:t>
            </w:r>
          </w:p>
        </w:tc>
        <w:tc>
          <w:tcPr/>
          <w:p>
            <w:pPr>
              <w:pStyle w:val="Compact"/>
            </w:pPr>
            <w:r>
              <w:t xml:space="preserve">+0.97</w:t>
            </w:r>
          </w:p>
        </w:tc>
        <w:tc>
          <w:tcPr/>
          <w:p>
            <w:pPr>
              <w:pStyle w:val="Compact"/>
            </w:pPr>
            <w:r>
              <w:t xml:space="preserve">-2.24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-2.59</w:t>
            </w:r>
          </w:p>
        </w:tc>
        <w:tc>
          <w:tcPr/>
          <w:p>
            <w:pPr>
              <w:pStyle w:val="Compact"/>
            </w:pPr>
            <w:r>
              <w:t xml:space="preserve">-0.04</w:t>
            </w:r>
          </w:p>
        </w:tc>
        <w:tc>
          <w:tcPr/>
          <w:p>
            <w:pPr>
              <w:pStyle w:val="Compact"/>
            </w:pPr>
            <w:r>
              <w:t xml:space="preserve">+0.20</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-1.89</w:t>
            </w:r>
          </w:p>
        </w:tc>
        <w:tc>
          <w:tcPr/>
          <w:p>
            <w:pPr>
              <w:pStyle w:val="Compact"/>
            </w:pPr>
            <w:r>
              <w:t xml:space="preserve">+0.19</w:t>
            </w:r>
          </w:p>
        </w:tc>
        <w:tc>
          <w:tcPr/>
          <w:p>
            <w:pPr>
              <w:pStyle w:val="Compact"/>
            </w:pPr>
            <w:r>
              <w:t xml:space="preserve">-0.34</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+0.40</w:t>
            </w:r>
          </w:p>
        </w:tc>
        <w:tc>
          <w:tcPr/>
          <w:p>
            <w:pPr>
              <w:pStyle w:val="Compact"/>
            </w:pPr>
            <w:r>
              <w:t xml:space="preserve">-0.79</w:t>
            </w:r>
          </w:p>
        </w:tc>
        <w:tc>
          <w:tcPr/>
          <w:p>
            <w:pPr>
              <w:pStyle w:val="Compact"/>
            </w:pPr>
            <w:r>
              <w:t xml:space="preserve">-1.38</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-0.17</w:t>
            </w:r>
          </w:p>
        </w:tc>
        <w:tc>
          <w:tcPr/>
          <w:p>
            <w:pPr>
              <w:pStyle w:val="Compact"/>
            </w:pPr>
            <w:r>
              <w:t xml:space="preserve">-3.25</w:t>
            </w:r>
          </w:p>
        </w:tc>
        <w:tc>
          <w:tcPr/>
          <w:p>
            <w:pPr>
              <w:pStyle w:val="Compact"/>
            </w:pPr>
            <w:r>
              <w:t xml:space="preserve">+0.59</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-0.52</w:t>
            </w:r>
          </w:p>
        </w:tc>
        <w:tc>
          <w:tcPr/>
          <w:p>
            <w:pPr>
              <w:pStyle w:val="Compact"/>
            </w:pPr>
            <w:r>
              <w:t xml:space="preserve">-0.91</w:t>
            </w:r>
          </w:p>
        </w:tc>
        <w:tc>
          <w:tcPr/>
          <w:p>
            <w:pPr>
              <w:pStyle w:val="Compact"/>
            </w:pPr>
            <w:r>
              <w:t xml:space="preserve">+1.85</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-0.59</w:t>
            </w:r>
          </w:p>
        </w:tc>
        <w:tc>
          <w:tcPr/>
          <w:p>
            <w:pPr>
              <w:pStyle w:val="Compact"/>
            </w:pPr>
            <w:r>
              <w:t xml:space="preserve">-1.02</w:t>
            </w:r>
          </w:p>
        </w:tc>
        <w:tc>
          <w:tcPr/>
          <w:p>
            <w:pPr>
              <w:pStyle w:val="Compact"/>
            </w:pPr>
            <w:r>
              <w:t xml:space="preserve">+2.08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+2.19</w:t>
            </w:r>
          </w:p>
        </w:tc>
        <w:tc>
          <w:tcPr/>
          <w:p>
            <w:pPr>
              <w:pStyle w:val="Compact"/>
            </w:pPr>
            <w:r>
              <w:t xml:space="preserve">+0.11</w:t>
            </w:r>
          </w:p>
        </w:tc>
        <w:tc>
          <w:tcPr/>
          <w:p>
            <w:pPr>
              <w:pStyle w:val="Compact"/>
            </w:pPr>
            <w:r>
              <w:t xml:space="preserve">-0.25</w:t>
            </w:r>
          </w:p>
        </w:tc>
        <w:tc>
          <w:tcPr/>
          <w:p>
            <w:pPr>
              <w:pStyle w:val="Compact"/>
            </w:pPr>
            <w:r>
              <w:t xml:space="preserve">5</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+1.59</w:t>
            </w:r>
          </w:p>
        </w:tc>
        <w:tc>
          <w:tcPr/>
          <w:p>
            <w:pPr>
              <w:pStyle w:val="Compact"/>
            </w:pPr>
            <w:r>
              <w:t xml:space="preserve">-0.16</w:t>
            </w:r>
          </w:p>
        </w:tc>
        <w:tc>
          <w:tcPr/>
          <w:p>
            <w:pPr>
              <w:pStyle w:val="Compact"/>
            </w:pPr>
            <w:r>
              <w:t xml:space="preserve">+0.34</w:t>
            </w:r>
          </w:p>
        </w:tc>
        <w:tc>
          <w:tcPr/>
          <w:p>
            <w:pPr>
              <w:pStyle w:val="Compact"/>
            </w:pPr>
            <w:r>
              <w:t xml:space="preserve">4</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-0.41</w:t>
            </w:r>
          </w:p>
        </w:tc>
        <w:tc>
          <w:tcPr/>
          <w:p>
            <w:pPr>
              <w:pStyle w:val="Compact"/>
            </w:pPr>
            <w:r>
              <w:t xml:space="preserve">+0.60</w:t>
            </w:r>
          </w:p>
        </w:tc>
        <w:tc>
          <w:tcPr/>
          <w:p>
            <w:pPr>
              <w:pStyle w:val="Compact"/>
            </w:pPr>
            <w:r>
              <w:t xml:space="preserve">+1.33</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+0.11</w:t>
            </w:r>
          </w:p>
        </w:tc>
        <w:tc>
          <w:tcPr/>
          <w:p>
            <w:pPr>
              <w:pStyle w:val="Compact"/>
            </w:pPr>
            <w:r>
              <w:t xml:space="preserve">+2.72</w:t>
            </w:r>
          </w:p>
        </w:tc>
        <w:tc>
          <w:tcPr/>
          <w:p>
            <w:pPr>
              <w:pStyle w:val="Compact"/>
            </w:pPr>
            <w:r>
              <w:t xml:space="preserve">-0.59</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-1.04</w:t>
            </w:r>
          </w:p>
        </w:tc>
        <w:tc>
          <w:tcPr/>
          <w:p>
            <w:pPr>
              <w:pStyle w:val="Compact"/>
            </w:pPr>
            <w:r>
              <w:t xml:space="preserve">-1.85</w:t>
            </w:r>
          </w:p>
        </w:tc>
        <w:tc>
          <w:tcPr/>
          <w:p>
            <w:pPr>
              <w:pStyle w:val="Compact"/>
            </w:pPr>
            <w:r>
              <w:t xml:space="preserve">+3.62</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-1.13</w:t>
            </w:r>
          </w:p>
        </w:tc>
        <w:tc>
          <w:tcPr/>
          <w:p>
            <w:pPr>
              <w:pStyle w:val="Compact"/>
            </w:pPr>
            <w:r>
              <w:t xml:space="preserve">-2.02</w:t>
            </w:r>
          </w:p>
        </w:tc>
        <w:tc>
          <w:tcPr/>
          <w:p>
            <w:pPr>
              <w:pStyle w:val="Compact"/>
            </w:pPr>
            <w:r>
              <w:t xml:space="preserve">+3.97</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+3.87</w:t>
            </w:r>
          </w:p>
        </w:tc>
        <w:tc>
          <w:tcPr/>
          <w:p>
            <w:pPr>
              <w:pStyle w:val="Compact"/>
            </w:pPr>
            <w:r>
              <w:t xml:space="preserve">+0.25</w:t>
            </w:r>
          </w:p>
        </w:tc>
        <w:tc>
          <w:tcPr/>
          <w:p>
            <w:pPr>
              <w:pStyle w:val="Compact"/>
            </w:pPr>
            <w:r>
              <w:t xml:space="preserve">-0.51</w:t>
            </w:r>
          </w:p>
        </w:tc>
        <w:tc>
          <w:tcPr/>
          <w:p>
            <w:pPr>
              <w:pStyle w:val="Compact"/>
            </w:pPr>
            <w:r>
              <w:t xml:space="preserve">5</w:t>
            </w:r>
          </w:p>
        </w:tc>
        <w:tc>
          <w:tcPr/>
          <w:p>
            <w:pPr>
              <w:pStyle w:val="Compact"/>
            </w:pPr>
            <w:r>
              <w:t xml:space="preserve">0.9993</w:t>
            </w:r>
          </w:p>
        </w:tc>
        <w:tc>
          <w:tcPr/>
          <w:p>
            <w:pPr>
              <w:pStyle w:val="Compact"/>
            </w:pPr>
            <w:r>
              <w:t xml:space="preserve">0.71</w:t>
            </w:r>
          </w:p>
        </w:tc>
        <w:tc>
          <w:tcPr/>
          <w:p>
            <w:pPr>
              <w:pStyle w:val="Compact"/>
            </w:pPr>
            <w:r>
              <w:t xml:space="preserve">0.71</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+2.95</w:t>
            </w:r>
          </w:p>
        </w:tc>
        <w:tc>
          <w:tcPr/>
          <w:p>
            <w:pPr>
              <w:pStyle w:val="Compact"/>
            </w:pPr>
            <w:r>
              <w:t xml:space="preserve">-0.31</w:t>
            </w:r>
          </w:p>
        </w:tc>
        <w:tc>
          <w:tcPr/>
          <w:p>
            <w:pPr>
              <w:pStyle w:val="Compact"/>
            </w:pPr>
            <w:r>
              <w:t xml:space="preserve">+0.66</w:t>
            </w:r>
          </w:p>
        </w:tc>
        <w:tc>
          <w:tcPr/>
          <w:p>
            <w:pPr>
              <w:pStyle w:val="Compact"/>
            </w:pPr>
            <w:r>
              <w:t xml:space="preserve">4</w:t>
            </w:r>
          </w:p>
        </w:tc>
        <w:tc>
          <w:tcPr/>
          <w:p>
            <w:pPr>
              <w:pStyle w:val="Compact"/>
            </w:pPr>
            <w:r>
              <w:t xml:space="preserve">0.9994</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-0.82</w:t>
            </w:r>
          </w:p>
        </w:tc>
        <w:tc>
          <w:tcPr/>
          <w:p>
            <w:pPr>
              <w:pStyle w:val="Compact"/>
            </w:pPr>
            <w:r>
              <w:t xml:space="preserve">+1.10</w:t>
            </w:r>
          </w:p>
        </w:tc>
        <w:tc>
          <w:tcPr/>
          <w:p>
            <w:pPr>
              <w:pStyle w:val="Compact"/>
            </w:pPr>
            <w:r>
              <w:t xml:space="preserve">+2.58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+0.05</w:t>
            </w:r>
          </w:p>
        </w:tc>
        <w:tc>
          <w:tcPr/>
          <w:p>
            <w:pPr>
              <w:pStyle w:val="Compact"/>
            </w:pPr>
            <w:r>
              <w:t xml:space="preserve">+4.22</w:t>
            </w:r>
          </w:p>
        </w:tc>
        <w:tc>
          <w:tcPr/>
          <w:p>
            <w:pPr>
              <w:pStyle w:val="Compact"/>
            </w:pPr>
            <w:r>
              <w:t xml:space="preserve">-0.58</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bl>
    <w:p>
      <w:pPr>
        <w:pStyle w:val="BodyText"/>
      </w:pPr>
      <w:r>
        <w:t xml:space="preserve">Table F2. Sensor drift against its mean-equivalent and end-equivalent constant-bias controls on identical noise. A monotone drift acts, to within about a tenth, as a constant bias at its mean over the window.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End offset D</w:t>
            </w:r>
          </w:p>
        </w:tc>
        <w:tc>
          <w:tcPr/>
          <w:p>
            <w:pPr>
              <w:pStyle w:val="Compact"/>
            </w:pPr>
            <w:r>
              <w:t xml:space="preserve">Drift shift</w:t>
            </w:r>
          </w:p>
        </w:tc>
        <w:tc>
          <w:tcPr/>
          <w:p>
            <w:pPr>
              <w:pStyle w:val="Compact"/>
            </w:pPr>
            <w:r>
              <w:t xml:space="preserve">const(D/2)</w:t>
            </w:r>
          </w:p>
        </w:tc>
        <w:tc>
          <w:tcPr/>
          <w:p>
            <w:pPr>
              <w:pStyle w:val="Compact"/>
            </w:pPr>
            <w:r>
              <w:t xml:space="preserve">const(D)</w:t>
            </w:r>
          </w:p>
        </w:tc>
        <w:tc>
          <w:tcPr/>
          <w:p>
            <w:pPr>
              <w:pStyle w:val="Compact"/>
            </w:pPr>
            <w:r>
              <w:t xml:space="preserve">Drift / const(D/2)</w:t>
            </w:r>
          </w:p>
        </w:tc>
        <w:tc>
          <w:tcPr/>
          <w:p>
            <w:pPr>
              <w:pStyle w:val="Compact"/>
            </w:pPr>
            <w:r>
              <w:t xml:space="preserve">Drift / const(D)</w:t>
            </w:r>
          </w:p>
        </w:tc>
      </w:tr>
      <w:tr>
        <w:tc>
          <w:tcPr/>
          <w:p>
            <w:pPr>
              <w:pStyle w:val="Compact"/>
            </w:pPr>
            <w:r>
              <w:t xml:space="preserve">15</w:t>
            </w:r>
          </w:p>
        </w:tc>
        <w:tc>
          <w:tcPr/>
          <w:p>
            <w:pPr>
              <w:pStyle w:val="Compact"/>
            </w:pPr>
            <w:r>
              <w:t xml:space="preserve">-0.100</w:t>
            </w:r>
          </w:p>
        </w:tc>
        <w:tc>
          <w:tcPr/>
          <w:p>
            <w:pPr>
              <w:pStyle w:val="Compact"/>
            </w:pPr>
            <w:r>
              <w:t xml:space="preserve">-0.2370</w:t>
            </w:r>
          </w:p>
        </w:tc>
        <w:tc>
          <w:tcPr/>
          <w:p>
            <w:pPr>
              <w:pStyle w:val="Compact"/>
            </w:pPr>
            <w:r>
              <w:t xml:space="preserve">-0.2623</w:t>
            </w:r>
          </w:p>
        </w:tc>
        <w:tc>
          <w:tcPr/>
          <w:p>
            <w:pPr>
              <w:pStyle w:val="Compact"/>
            </w:pPr>
            <w:r>
              <w:t xml:space="preserve">-0.3869</w:t>
            </w:r>
          </w:p>
        </w:tc>
        <w:tc>
          <w:tcPr/>
          <w:p>
            <w:pPr>
              <w:pStyle w:val="Compact"/>
            </w:pPr>
            <w:r>
              <w:t xml:space="preserve">0.90</w:t>
            </w:r>
          </w:p>
        </w:tc>
        <w:tc>
          <w:tcPr/>
          <w:p>
            <w:pPr>
              <w:pStyle w:val="Compact"/>
            </w:pPr>
            <w:r>
              <w:t xml:space="preserve">0.61</w:t>
            </w:r>
          </w:p>
        </w:tc>
      </w:tr>
      <w:tr>
        <w:tc>
          <w:tcPr/>
          <w:p>
            <w:pPr>
              <w:pStyle w:val="Compact"/>
            </w:pPr>
            <w:r>
              <w:t xml:space="preserve">15</w:t>
            </w:r>
          </w:p>
        </w:tc>
        <w:tc>
          <w:tcPr/>
          <w:p>
            <w:pPr>
              <w:pStyle w:val="Compact"/>
            </w:pPr>
            <w:r>
              <w:t xml:space="preserve">-0.050</w:t>
            </w:r>
          </w:p>
        </w:tc>
        <w:tc>
          <w:tcPr/>
          <w:p>
            <w:pPr>
              <w:pStyle w:val="Compact"/>
            </w:pPr>
            <w:r>
              <w:t xml:space="preserve">-0.1187</w:t>
            </w:r>
          </w:p>
        </w:tc>
        <w:tc>
          <w:tcPr/>
          <w:p>
            <w:pPr>
              <w:pStyle w:val="Compact"/>
            </w:pPr>
            <w:r>
              <w:t xml:space="preserve">-0.1339</w:t>
            </w:r>
          </w:p>
        </w:tc>
        <w:tc>
          <w:tcPr/>
          <w:p>
            <w:pPr>
              <w:pStyle w:val="Compact"/>
            </w:pPr>
            <w:r>
              <w:t xml:space="preserve">-0.2623</w:t>
            </w:r>
          </w:p>
        </w:tc>
        <w:tc>
          <w:tcPr/>
          <w:p>
            <w:pPr>
              <w:pStyle w:val="Compact"/>
            </w:pPr>
            <w:r>
              <w:t xml:space="preserve">0.89</w:t>
            </w:r>
          </w:p>
        </w:tc>
        <w:tc>
          <w:tcPr/>
          <w:p>
            <w:pPr>
              <w:pStyle w:val="Compact"/>
            </w:pPr>
            <w:r>
              <w:t xml:space="preserve">0.45</w:t>
            </w:r>
          </w:p>
        </w:tc>
      </w:tr>
      <w:tr>
        <w:tc>
          <w:tcPr/>
          <w:p>
            <w:pPr>
              <w:pStyle w:val="Compact"/>
            </w:pPr>
            <w:r>
              <w:t xml:space="preserve">15</w:t>
            </w:r>
          </w:p>
        </w:tc>
        <w:tc>
          <w:tcPr/>
          <w:p>
            <w:pPr>
              <w:pStyle w:val="Compact"/>
            </w:pPr>
            <w:r>
              <w:t xml:space="preserve">+0.050</w:t>
            </w:r>
          </w:p>
        </w:tc>
        <w:tc>
          <w:tcPr/>
          <w:p>
            <w:pPr>
              <w:pStyle w:val="Compact"/>
            </w:pPr>
            <w:r>
              <w:t xml:space="preserve">+0.1061</w:t>
            </w:r>
          </w:p>
        </w:tc>
        <w:tc>
          <w:tcPr/>
          <w:p>
            <w:pPr>
              <w:pStyle w:val="Compact"/>
            </w:pPr>
            <w:r>
              <w:t xml:space="preserve">+0.1174</w:t>
            </w:r>
          </w:p>
        </w:tc>
        <w:tc>
          <w:tcPr/>
          <w:p>
            <w:pPr>
              <w:pStyle w:val="Compact"/>
            </w:pPr>
            <w:r>
              <w:t xml:space="preserve">+0.2213</w:t>
            </w:r>
          </w:p>
        </w:tc>
        <w:tc>
          <w:tcPr/>
          <w:p>
            <w:pPr>
              <w:pStyle w:val="Compact"/>
            </w:pPr>
            <w:r>
              <w:t xml:space="preserve">0.90</w:t>
            </w:r>
          </w:p>
        </w:tc>
        <w:tc>
          <w:tcPr/>
          <w:p>
            <w:pPr>
              <w:pStyle w:val="Compact"/>
            </w:pPr>
            <w:r>
              <w:t xml:space="preserve">0.48</w:t>
            </w:r>
          </w:p>
        </w:tc>
      </w:tr>
      <w:tr>
        <w:tc>
          <w:tcPr/>
          <w:p>
            <w:pPr>
              <w:pStyle w:val="Compact"/>
            </w:pPr>
            <w:r>
              <w:t xml:space="preserve">15</w:t>
            </w:r>
          </w:p>
        </w:tc>
        <w:tc>
          <w:tcPr/>
          <w:p>
            <w:pPr>
              <w:pStyle w:val="Compact"/>
            </w:pPr>
            <w:r>
              <w:t xml:space="preserve">+0.100</w:t>
            </w:r>
          </w:p>
        </w:tc>
        <w:tc>
          <w:tcPr/>
          <w:p>
            <w:pPr>
              <w:pStyle w:val="Compact"/>
            </w:pPr>
            <w:r>
              <w:t xml:space="preserve">+0.2017</w:t>
            </w:r>
          </w:p>
        </w:tc>
        <w:tc>
          <w:tcPr/>
          <w:p>
            <w:pPr>
              <w:pStyle w:val="Compact"/>
            </w:pPr>
            <w:r>
              <w:t xml:space="preserve">+0.2213</w:t>
            </w:r>
          </w:p>
        </w:tc>
        <w:tc>
          <w:tcPr/>
          <w:p>
            <w:pPr>
              <w:pStyle w:val="Compact"/>
            </w:pPr>
            <w:r>
              <w:t xml:space="preserve">+0.3919</w:t>
            </w:r>
          </w:p>
        </w:tc>
        <w:tc>
          <w:tcPr/>
          <w:p>
            <w:pPr>
              <w:pStyle w:val="Compact"/>
            </w:pPr>
            <w:r>
              <w:t xml:space="preserve">0.91</w:t>
            </w:r>
          </w:p>
        </w:tc>
        <w:tc>
          <w:tcPr/>
          <w:p>
            <w:pPr>
              <w:pStyle w:val="Compact"/>
            </w:pPr>
            <w:r>
              <w:t xml:space="preserve">0.51</w:t>
            </w:r>
          </w:p>
        </w:tc>
      </w:tr>
      <w:tr>
        <w:tc>
          <w:tcPr/>
          <w:p>
            <w:pPr>
              <w:pStyle w:val="Compact"/>
            </w:pPr>
            <w:r>
              <w:t xml:space="preserve">231</w:t>
            </w:r>
          </w:p>
        </w:tc>
        <w:tc>
          <w:tcPr/>
          <w:p>
            <w:pPr>
              <w:pStyle w:val="Compact"/>
            </w:pPr>
            <w:r>
              <w:t xml:space="preserve">-0.100</w:t>
            </w:r>
          </w:p>
        </w:tc>
        <w:tc>
          <w:tcPr/>
          <w:p>
            <w:pPr>
              <w:pStyle w:val="Compact"/>
            </w:pPr>
            <w:r>
              <w:t xml:space="preserve">-0.0435</w:t>
            </w:r>
          </w:p>
        </w:tc>
        <w:tc>
          <w:tcPr/>
          <w:p>
            <w:pPr>
              <w:pStyle w:val="Compact"/>
            </w:pPr>
            <w:r>
              <w:t xml:space="preserve">-0.0443</w:t>
            </w:r>
          </w:p>
        </w:tc>
        <w:tc>
          <w:tcPr/>
          <w:p>
            <w:pPr>
              <w:pStyle w:val="Compact"/>
            </w:pPr>
            <w:r>
              <w:t xml:space="preserve">-0.0810</w:t>
            </w:r>
          </w:p>
        </w:tc>
        <w:tc>
          <w:tcPr/>
          <w:p>
            <w:pPr>
              <w:pStyle w:val="Compact"/>
            </w:pPr>
            <w:r>
              <w:t xml:space="preserve">0.98</w:t>
            </w:r>
          </w:p>
        </w:tc>
        <w:tc>
          <w:tcPr/>
          <w:p>
            <w:pPr>
              <w:pStyle w:val="Compact"/>
            </w:pPr>
            <w:r>
              <w:t xml:space="preserve">0.54</w:t>
            </w:r>
          </w:p>
        </w:tc>
      </w:tr>
      <w:tr>
        <w:tc>
          <w:tcPr/>
          <w:p>
            <w:pPr>
              <w:pStyle w:val="Compact"/>
            </w:pPr>
            <w:r>
              <w:t xml:space="preserve">231</w:t>
            </w:r>
          </w:p>
        </w:tc>
        <w:tc>
          <w:tcPr/>
          <w:p>
            <w:pPr>
              <w:pStyle w:val="Compact"/>
            </w:pPr>
            <w:r>
              <w:t xml:space="preserve">-0.050</w:t>
            </w:r>
          </w:p>
        </w:tc>
        <w:tc>
          <w:tcPr/>
          <w:p>
            <w:pPr>
              <w:pStyle w:val="Compact"/>
            </w:pPr>
            <w:r>
              <w:t xml:space="preserve">-0.0207</w:t>
            </w:r>
          </w:p>
        </w:tc>
        <w:tc>
          <w:tcPr/>
          <w:p>
            <w:pPr>
              <w:pStyle w:val="Compact"/>
            </w:pPr>
            <w:r>
              <w:t xml:space="preserve">-0.0211</w:t>
            </w:r>
          </w:p>
        </w:tc>
        <w:tc>
          <w:tcPr/>
          <w:p>
            <w:pPr>
              <w:pStyle w:val="Compact"/>
            </w:pPr>
            <w:r>
              <w:t xml:space="preserve">-0.0443</w:t>
            </w:r>
          </w:p>
        </w:tc>
        <w:tc>
          <w:tcPr/>
          <w:p>
            <w:pPr>
              <w:pStyle w:val="Compact"/>
            </w:pPr>
            <w:r>
              <w:t xml:space="preserve">0.98</w:t>
            </w:r>
          </w:p>
        </w:tc>
        <w:tc>
          <w:tcPr/>
          <w:p>
            <w:pPr>
              <w:pStyle w:val="Compact"/>
            </w:pPr>
            <w:r>
              <w:t xml:space="preserve">0.47</w:t>
            </w:r>
          </w:p>
        </w:tc>
      </w:tr>
      <w:tr>
        <w:tc>
          <w:tcPr/>
          <w:p>
            <w:pPr>
              <w:pStyle w:val="Compact"/>
            </w:pPr>
            <w:r>
              <w:t xml:space="preserve">231</w:t>
            </w:r>
          </w:p>
        </w:tc>
        <w:tc>
          <w:tcPr/>
          <w:p>
            <w:pPr>
              <w:pStyle w:val="Compact"/>
            </w:pPr>
            <w:r>
              <w:t xml:space="preserve">+0.050</w:t>
            </w:r>
          </w:p>
        </w:tc>
        <w:tc>
          <w:tcPr/>
          <w:p>
            <w:pPr>
              <w:pStyle w:val="Compact"/>
            </w:pPr>
            <w:r>
              <w:t xml:space="preserve">+0.0192</w:t>
            </w:r>
          </w:p>
        </w:tc>
        <w:tc>
          <w:tcPr/>
          <w:p>
            <w:pPr>
              <w:pStyle w:val="Compact"/>
            </w:pPr>
            <w:r>
              <w:t xml:space="preserve">+0.0196</w:t>
            </w:r>
          </w:p>
        </w:tc>
        <w:tc>
          <w:tcPr/>
          <w:p>
            <w:pPr>
              <w:pStyle w:val="Compact"/>
            </w:pPr>
            <w:r>
              <w:t xml:space="preserve">+0.0371</w:t>
            </w:r>
          </w:p>
        </w:tc>
        <w:tc>
          <w:tcPr/>
          <w:p>
            <w:pPr>
              <w:pStyle w:val="Compact"/>
            </w:pPr>
            <w:r>
              <w:t xml:space="preserve">0.98</w:t>
            </w:r>
          </w:p>
        </w:tc>
        <w:tc>
          <w:tcPr/>
          <w:p>
            <w:pPr>
              <w:pStyle w:val="Compact"/>
            </w:pPr>
            <w:r>
              <w:t xml:space="preserve">0.52</w:t>
            </w:r>
          </w:p>
        </w:tc>
      </w:tr>
      <w:tr>
        <w:tc>
          <w:tcPr/>
          <w:p>
            <w:pPr>
              <w:pStyle w:val="Compact"/>
            </w:pPr>
            <w:r>
              <w:t xml:space="preserve">231</w:t>
            </w:r>
          </w:p>
        </w:tc>
        <w:tc>
          <w:tcPr/>
          <w:p>
            <w:pPr>
              <w:pStyle w:val="Compact"/>
            </w:pPr>
            <w:r>
              <w:t xml:space="preserve">+0.100</w:t>
            </w:r>
          </w:p>
        </w:tc>
        <w:tc>
          <w:tcPr/>
          <w:p>
            <w:pPr>
              <w:pStyle w:val="Compact"/>
            </w:pPr>
            <w:r>
              <w:t xml:space="preserve">+0.0366</w:t>
            </w:r>
          </w:p>
        </w:tc>
        <w:tc>
          <w:tcPr/>
          <w:p>
            <w:pPr>
              <w:pStyle w:val="Compact"/>
            </w:pPr>
            <w:r>
              <w:t xml:space="preserve">+0.0371</w:t>
            </w:r>
          </w:p>
        </w:tc>
        <w:tc>
          <w:tcPr/>
          <w:p>
            <w:pPr>
              <w:pStyle w:val="Compact"/>
            </w:pPr>
            <w:r>
              <w:t xml:space="preserve">+0.0575</w:t>
            </w:r>
          </w:p>
        </w:tc>
        <w:tc>
          <w:tcPr/>
          <w:p>
            <w:pPr>
              <w:pStyle w:val="Compact"/>
            </w:pPr>
            <w:r>
              <w:t xml:space="preserve">0.99</w:t>
            </w:r>
          </w:p>
        </w:tc>
        <w:tc>
          <w:tcPr/>
          <w:p>
            <w:pPr>
              <w:pStyle w:val="Compact"/>
            </w:pPr>
            <w:r>
              <w:t xml:space="preserve">0.64</w:t>
            </w:r>
          </w:p>
        </w:tc>
      </w:tr>
    </w:tbl>
    <w:bookmarkEnd w:id="164"/>
    <w:bookmarkStart w:id="165" w:name="appendix-g.-risk-assessment-mechanics"/>
    <w:p>
      <w:pPr>
        <w:pStyle w:val="Heading2"/>
      </w:pPr>
      <w:r>
        <w:t xml:space="preserve">Appendix G. Risk-assessment mechanics</w:t>
      </w:r>
    </w:p>
    <w:p>
      <w:pPr>
        <w:pStyle w:val="FirstParagraph"/>
      </w:pPr>
      <w:r>
        <w:t xml:space="preserve">Table G1. Water-age association and the resampling design behind its interval. Whole spatial blocks are resampled rather than individual junctions, because junctions sharing pipes, flow paths and tank states are not independent samples. The interval is a descriptive width, not a significance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Spearman, duration</w:t>
            </w:r>
          </w:p>
        </w:tc>
        <w:tc>
          <w:tcPr/>
          <w:p>
            <w:pPr>
              <w:pStyle w:val="Compact"/>
            </w:pPr>
            <w:r>
              <w:t xml:space="preserve">0.7285</w:t>
            </w:r>
          </w:p>
        </w:tc>
      </w:tr>
      <w:tr>
        <w:tc>
          <w:tcPr/>
          <w:p>
            <w:pPr>
              <w:pStyle w:val="Compact"/>
            </w:pPr>
            <w:r>
              <w:t xml:space="preserve">Spearman, deficit</w:t>
            </w:r>
          </w:p>
        </w:tc>
        <w:tc>
          <w:tcPr/>
          <w:p>
            <w:pPr>
              <w:pStyle w:val="Compact"/>
            </w:pPr>
            <w:r>
              <w:t xml:space="preserve">0.7219</w:t>
            </w:r>
          </w:p>
        </w:tc>
      </w:tr>
      <w:tr>
        <w:tc>
          <w:tcPr/>
          <w:p>
            <w:pPr>
              <w:pStyle w:val="Compact"/>
            </w:pPr>
            <w:r>
              <w:t xml:space="preserve">Pearson, duration</w:t>
            </w:r>
          </w:p>
        </w:tc>
        <w:tc>
          <w:tcPr/>
          <w:p>
            <w:pPr>
              <w:pStyle w:val="Compact"/>
            </w:pPr>
            <w:r>
              <w:t xml:space="preserve">0.8611</w:t>
            </w:r>
          </w:p>
        </w:tc>
      </w:tr>
      <w:tr>
        <w:tc>
          <w:tcPr/>
          <w:p>
            <w:pPr>
              <w:pStyle w:val="Compact"/>
            </w:pPr>
            <w:r>
              <w:t xml:space="preserve">Junctions</w:t>
            </w:r>
          </w:p>
        </w:tc>
        <w:tc>
          <w:tcPr/>
          <w:p>
            <w:pPr>
              <w:pStyle w:val="Compact"/>
            </w:pPr>
            <w:r>
              <w:t xml:space="preserve">92</w:t>
            </w:r>
          </w:p>
        </w:tc>
      </w:tr>
      <w:tr>
        <w:tc>
          <w:tcPr/>
          <w:p>
            <w:pPr>
              <w:pStyle w:val="Compact"/>
            </w:pPr>
            <w:r>
              <w:t xml:space="preserve">Blocks</w:t>
            </w:r>
          </w:p>
        </w:tc>
        <w:tc>
          <w:tcPr/>
          <w:p>
            <w:pPr>
              <w:pStyle w:val="Compact"/>
            </w:pPr>
            <w:r>
              <w:t xml:space="preserve">10</w:t>
            </w:r>
          </w:p>
        </w:tc>
      </w:tr>
      <w:tr>
        <w:tc>
          <w:tcPr/>
          <w:p>
            <w:pPr>
              <w:pStyle w:val="Compact"/>
            </w:pPr>
            <w:r>
              <w:t xml:space="preserve">Block rule</w:t>
            </w:r>
          </w:p>
        </w:tc>
        <w:tc>
          <w:tcPr/>
          <w:p>
            <w:pPr>
              <w:pStyle w:val="Compact"/>
            </w:pPr>
            <w:r>
              <w:t xml:space="preserve">k-means on standardised node coordinates; whole blocks resampled with replacement</w:t>
            </w:r>
          </w:p>
        </w:tc>
      </w:tr>
      <w:tr>
        <w:tc>
          <w:tcPr/>
          <w:p>
            <w:pPr>
              <w:pStyle w:val="Compact"/>
            </w:pPr>
            <w:r>
              <w:t xml:space="preserve">Resamples</w:t>
            </w:r>
          </w:p>
        </w:tc>
        <w:tc>
          <w:tcPr/>
          <w:p>
            <w:pPr>
              <w:pStyle w:val="Compact"/>
            </w:pPr>
            <w:r>
              <w:t xml:space="preserve">2000</w:t>
            </w:r>
          </w:p>
        </w:tc>
      </w:tr>
      <w:tr>
        <w:tc>
          <w:tcPr/>
          <w:p>
            <w:pPr>
              <w:pStyle w:val="Compact"/>
            </w:pPr>
            <w:r>
              <w:t xml:space="preserve">95% interval, Spearman duration</w:t>
            </w:r>
          </w:p>
        </w:tc>
        <w:tc>
          <w:tcPr/>
          <w:p>
            <w:pPr>
              <w:pStyle w:val="Compact"/>
            </w:pPr>
            <w:r>
              <w:t xml:space="preserve">[0.455, 0.897]</w:t>
            </w:r>
          </w:p>
        </w:tc>
      </w:tr>
    </w:tbl>
    <w:p>
      <w:pPr>
        <w:pStyle w:val="BodyText"/>
      </w:pPr>
      <w:r>
        <w:t xml:space="preserve">Table G2. Three network averages for each risk metric. Consumer-only is worse than unweighted while demand-weighted is better, which can only happen if the risk concentrates at small consumers.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Unweighted (all 92)</w:t>
            </w:r>
          </w:p>
        </w:tc>
        <w:tc>
          <w:tcPr/>
          <w:p>
            <w:pPr>
              <w:pStyle w:val="Compact"/>
            </w:pPr>
            <w:r>
              <w:t xml:space="preserve">Consumer-only (59)</w:t>
            </w:r>
          </w:p>
        </w:tc>
        <w:tc>
          <w:tcPr/>
          <w:p>
            <w:pPr>
              <w:pStyle w:val="Compact"/>
            </w:pPr>
            <w:r>
              <w:t xml:space="preserve">Demand-weighted</w:t>
            </w:r>
          </w:p>
        </w:tc>
      </w:tr>
      <w:tr>
        <w:tc>
          <w:tcPr/>
          <w:p>
            <w:pPr>
              <w:pStyle w:val="Compact"/>
            </w:pPr>
            <w:r>
              <w:t xml:space="preserve">E duration h</w:t>
            </w:r>
          </w:p>
        </w:tc>
        <w:tc>
          <w:tcPr/>
          <w:p>
            <w:pPr>
              <w:pStyle w:val="Compact"/>
            </w:pPr>
            <w:r>
              <w:t xml:space="preserve">3.4309</w:t>
            </w:r>
          </w:p>
        </w:tc>
        <w:tc>
          <w:tcPr/>
          <w:p>
            <w:pPr>
              <w:pStyle w:val="Compact"/>
            </w:pPr>
            <w:r>
              <w:t xml:space="preserve">4.4610</w:t>
            </w:r>
          </w:p>
        </w:tc>
        <w:tc>
          <w:tcPr/>
          <w:p>
            <w:pPr>
              <w:pStyle w:val="Compact"/>
            </w:pPr>
            <w:r>
              <w:t xml:space="preserve">1.2311</w:t>
            </w:r>
          </w:p>
        </w:tc>
      </w:tr>
      <w:tr>
        <w:tc>
          <w:tcPr/>
          <w:p>
            <w:pPr>
              <w:pStyle w:val="Compact"/>
            </w:pPr>
            <w:r>
              <w:t xml:space="preserve">E deficit</w:t>
            </w:r>
          </w:p>
        </w:tc>
        <w:tc>
          <w:tcPr/>
          <w:p>
            <w:pPr>
              <w:pStyle w:val="Compact"/>
            </w:pPr>
            <w:r>
              <w:t xml:space="preserve">0.2181</w:t>
            </w:r>
          </w:p>
        </w:tc>
        <w:tc>
          <w:tcPr/>
          <w:p>
            <w:pPr>
              <w:pStyle w:val="Compact"/>
            </w:pPr>
            <w:r>
              <w:t xml:space="preserve">0.3053</w:t>
            </w:r>
          </w:p>
        </w:tc>
        <w:tc>
          <w:tcPr/>
          <w:p>
            <w:pPr>
              <w:pStyle w:val="Compact"/>
            </w:pPr>
            <w:r>
              <w:t xml:space="preserve">0.0798</w:t>
            </w:r>
          </w:p>
        </w:tc>
      </w:tr>
      <w:tr>
        <w:tc>
          <w:tcPr/>
          <w:p>
            <w:pPr>
              <w:pStyle w:val="Compact"/>
            </w:pPr>
            <w:r>
              <w:t xml:space="preserve">min C</w:t>
            </w:r>
          </w:p>
        </w:tc>
        <w:tc>
          <w:tcPr/>
          <w:p>
            <w:pPr>
              <w:pStyle w:val="Compact"/>
            </w:pPr>
            <w:r>
              <w:t xml:space="preserve">0.4922</w:t>
            </w:r>
          </w:p>
        </w:tc>
        <w:tc>
          <w:tcPr/>
          <w:p>
            <w:pPr>
              <w:pStyle w:val="Compact"/>
            </w:pPr>
            <w:r>
              <w:t xml:space="preserve">0.4412</w:t>
            </w:r>
          </w:p>
        </w:tc>
        <w:tc>
          <w:tcPr/>
          <w:p>
            <w:pPr>
              <w:pStyle w:val="Compact"/>
            </w:pPr>
            <w:r>
              <w:t xml:space="preserve">0.6348</w:t>
            </w:r>
          </w:p>
        </w:tc>
      </w:tr>
    </w:tbl>
    <w:p>
      <w:pPr>
        <w:pStyle w:val="BodyText"/>
      </w:pPr>
      <w:r>
        <w:t xml:space="preserve">Table G3. Scenario draw specification. One draw per retained ensemble member is reused across every scenario and dose as a common random number, so scenario differences are physical rather than Monte Carlo noise.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Specification</w:t>
            </w:r>
          </w:p>
        </w:tc>
      </w:tr>
      <w:tr>
        <w:tc>
          <w:tcPr/>
          <w:p>
            <w:pPr>
              <w:pStyle w:val="Compact"/>
            </w:pPr>
            <w:r>
              <w:t xml:space="preserve">Retained draws</w:t>
            </w:r>
          </w:p>
        </w:tc>
        <w:tc>
          <w:tcPr/>
          <w:p>
            <w:pPr>
              <w:pStyle w:val="Compact"/>
            </w:pPr>
            <w:r>
              <w:t xml:space="preserve">2196 of 8192 (weight above 1e-06 of the maximum)</w:t>
            </w:r>
          </w:p>
        </w:tc>
      </w:tr>
      <w:tr>
        <w:tc>
          <w:tcPr/>
          <w:p>
            <w:pPr>
              <w:pStyle w:val="Compact"/>
            </w:pPr>
            <w:r>
              <w:t xml:space="preserve">Discarded weight mass</w:t>
            </w:r>
          </w:p>
        </w:tc>
        <w:tc>
          <w:tcPr/>
          <w:p>
            <w:pPr>
              <w:pStyle w:val="Compact"/>
            </w:pPr>
            <w:r>
              <w:t xml:space="preserve">3.79e-06</w:t>
            </w:r>
          </w:p>
        </w:tc>
      </w:tr>
      <w:tr>
        <w:tc>
          <w:tcPr/>
          <w:p>
            <w:pPr>
              <w:pStyle w:val="Compact"/>
            </w:pPr>
            <w:r>
              <w:t xml:space="preserve">Bulk activation energy</w:t>
            </w:r>
          </w:p>
        </w:tc>
        <w:tc>
          <w:tcPr/>
          <w:p>
            <w:pPr>
              <w:pStyle w:val="Compact"/>
            </w:pPr>
            <w:r>
              <w:t xml:space="preserve">N(45000, 8000^2) J/mol, truncated below at 5000</w:t>
            </w:r>
          </w:p>
        </w:tc>
      </w:tr>
      <w:tr>
        <w:tc>
          <w:tcPr/>
          <w:p>
            <w:pPr>
              <w:pStyle w:val="Compact"/>
            </w:pPr>
            <w:r>
              <w:t xml:space="preserve">Realised bulk range</w:t>
            </w:r>
          </w:p>
        </w:tc>
        <w:tc>
          <w:tcPr/>
          <w:p>
            <w:pPr>
              <w:pStyle w:val="Compact"/>
            </w:pPr>
            <w:r>
              <w:t xml:space="preserve">17593 to 72051 J/mol</w:t>
            </w:r>
          </w:p>
        </w:tc>
      </w:tr>
      <w:tr>
        <w:tc>
          <w:tcPr/>
          <w:p>
            <w:pPr>
              <w:pStyle w:val="Compact"/>
            </w:pPr>
            <w:r>
              <w:t xml:space="preserve">Wall activation energy</w:t>
            </w:r>
          </w:p>
        </w:tc>
        <w:tc>
          <w:tcPr/>
          <w:p>
            <w:pPr>
              <w:pStyle w:val="Compact"/>
            </w:pPr>
            <w:r>
              <w:t xml:space="preserve">N(35000, 10000^2) J/mol, truncated below at 5000</w:t>
            </w:r>
          </w:p>
        </w:tc>
      </w:tr>
      <w:tr>
        <w:tc>
          <w:tcPr/>
          <w:p>
            <w:pPr>
              <w:pStyle w:val="Compact"/>
            </w:pPr>
            <w:r>
              <w:t xml:space="preserve">Realised wall range</w:t>
            </w:r>
          </w:p>
        </w:tc>
        <w:tc>
          <w:tcPr/>
          <w:p>
            <w:pPr>
              <w:pStyle w:val="Compact"/>
            </w:pPr>
            <w:r>
              <w:t xml:space="preserve">5103 to 70241 J/mol</w:t>
            </w:r>
          </w:p>
        </w:tc>
      </w:tr>
      <w:tr>
        <w:tc>
          <w:tcPr/>
          <w:p>
            <w:pPr>
              <w:pStyle w:val="Compact"/>
            </w:pPr>
            <w:r>
              <w:t xml:space="preserve">Water temperature</w:t>
            </w:r>
          </w:p>
        </w:tc>
        <w:tc>
          <w:tcPr/>
          <w:p>
            <w:pPr>
              <w:pStyle w:val="Compact"/>
            </w:pPr>
            <w:r>
              <w:t xml:space="preserve">dT ~ N(0, 1.0^2) added to the scenario mean, truncated to [-4.0, +4.0] degC so every scenario stays inside the 8.0-24.0 degC validity range</w:t>
            </w:r>
          </w:p>
        </w:tc>
      </w:tr>
      <w:tr>
        <w:tc>
          <w:tcPr/>
          <w:p>
            <w:pPr>
              <w:pStyle w:val="Compact"/>
            </w:pPr>
            <w:r>
              <w:t xml:space="preserve">Realised temperature range</w:t>
            </w:r>
          </w:p>
        </w:tc>
        <w:tc>
          <w:tcPr/>
          <w:p>
            <w:pPr>
              <w:pStyle w:val="Compact"/>
            </w:pPr>
            <w:r>
              <w:t xml:space="preserve">8.48 to 23.50 degC</w:t>
            </w:r>
          </w:p>
        </w:tc>
      </w:tr>
      <w:tr>
        <w:tc>
          <w:tcPr/>
          <w:p>
            <w:pPr>
              <w:pStyle w:val="Compact"/>
            </w:pPr>
            <w:r>
              <w:t xml:space="preserve">Draws resampled at the bound</w:t>
            </w:r>
          </w:p>
        </w:tc>
        <w:tc>
          <w:tcPr/>
          <w:p>
            <w:pPr>
              <w:pStyle w:val="Compact"/>
            </w:pPr>
            <w:r>
              <w:t xml:space="preserve">0</w:t>
            </w:r>
          </w:p>
        </w:tc>
      </w:tr>
      <w:tr>
        <w:tc>
          <w:tcPr/>
          <w:p>
            <w:pPr>
              <w:pStyle w:val="Compact"/>
            </w:pPr>
            <w:r>
              <w:t xml:space="preserve">Common random numbers</w:t>
            </w:r>
          </w:p>
        </w:tc>
        <w:tc>
          <w:tcPr/>
          <w:p>
            <w:pPr>
              <w:pStyle w:val="Compact"/>
            </w:pPr>
            <w:r>
              <w:t xml:space="preserve">True</w:t>
            </w:r>
          </w:p>
        </w:tc>
      </w:tr>
    </w:tbl>
    <w:bookmarkEnd w:id="165"/>
    <w:bookmarkStart w:id="166" w:name="Xc0b2899ea87b71e9f8a5d7e226fe2b64e1dc44b"/>
    <w:p>
      <w:pPr>
        <w:pStyle w:val="Heading2"/>
      </w:pPr>
      <w:r>
        <w:t xml:space="preserve">Appendix H. Risk banding and the full register</w:t>
      </w:r>
    </w:p>
    <w:p>
      <w:pPr>
        <w:pStyle w:val="FirstParagraph"/>
      </w:pPr>
      <w:r>
        <w:t xml:space="preserve">Table H1. Risk banding. The likelihood and severity axes are scored 1 to 5 on the criteria below and consequence 0 to 3; a risk score is the axis score times the consequence score, and the band follows from that score. The severity edges are pre-declared hours rather than quantiles of this network’s own results, so the same scale applies across scenarios. The governing band is the higher of the breach-probability band and the severity band, since neither axis alone may reduce an action.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Band</w:t>
            </w:r>
          </w:p>
        </w:tc>
        <w:tc>
          <w:tcPr/>
          <w:p>
            <w:pPr>
              <w:pStyle w:val="Compact"/>
            </w:pPr>
            <w:r>
              <w:t xml:space="preserve">Criterion</w:t>
            </w:r>
          </w:p>
        </w:tc>
      </w:tr>
      <w:tr>
        <w:tc>
          <w:tcPr/>
          <w:p>
            <w:pPr>
              <w:pStyle w:val="Compact"/>
            </w:pPr>
            <w:r>
              <w:t xml:space="preserve">Likelihood, from</w:t>
            </w:r>
            <w:r>
              <w:t xml:space="preserve"> </w:t>
            </w:r>
            <m:oMath>
              <m:sSub>
                <m:e>
                  <m:r>
                    <m:t>P</m:t>
                  </m:r>
                </m:e>
                <m:sub>
                  <m:r>
                    <m:rPr>
                      <m:sty m:val="p"/>
                    </m:rPr>
                    <m:t>min</m:t>
                  </m:r>
                </m:sub>
              </m:sSub>
            </m:oMath>
          </w:p>
        </w:tc>
        <w:tc>
          <w:tcPr/>
          <w:p>
            <w:pPr>
              <w:pStyle w:val="Compact"/>
            </w:pPr>
            <w:r>
              <w:t xml:space="preserve">rare</w:t>
            </w:r>
          </w:p>
        </w:tc>
        <w:tc>
          <w:tcPr/>
          <w:p>
            <w:pPr>
              <w:pStyle w:val="Compact"/>
            </w:pPr>
            <w:r>
              <w:t xml:space="preserve">P_min &lt; 0.05</w:t>
            </w:r>
          </w:p>
        </w:tc>
      </w:tr>
      <w:tr>
        <w:tc>
          <w:tcPr/>
          <w:p>
            <w:pPr>
              <w:pStyle w:val="Compact"/>
            </w:pPr>
          </w:p>
        </w:tc>
        <w:tc>
          <w:tcPr/>
          <w:p>
            <w:pPr>
              <w:pStyle w:val="Compact"/>
            </w:pPr>
            <w:r>
              <w:t xml:space="preserve">unlikely</w:t>
            </w:r>
          </w:p>
        </w:tc>
        <w:tc>
          <w:tcPr/>
          <w:p>
            <w:pPr>
              <w:pStyle w:val="Compact"/>
            </w:pPr>
            <w:r>
              <w:t xml:space="preserve">0.05 &lt;= P_min &lt; 0.20</w:t>
            </w:r>
          </w:p>
        </w:tc>
      </w:tr>
      <w:tr>
        <w:tc>
          <w:tcPr/>
          <w:p>
            <w:pPr>
              <w:pStyle w:val="Compact"/>
            </w:pPr>
          </w:p>
        </w:tc>
        <w:tc>
          <w:tcPr/>
          <w:p>
            <w:pPr>
              <w:pStyle w:val="Compact"/>
            </w:pPr>
            <w:r>
              <w:t xml:space="preserve">possible</w:t>
            </w:r>
          </w:p>
        </w:tc>
        <w:tc>
          <w:tcPr/>
          <w:p>
            <w:pPr>
              <w:pStyle w:val="Compact"/>
            </w:pPr>
            <w:r>
              <w:t xml:space="preserve">0.20 &lt;= P_min &lt; 0.50</w:t>
            </w:r>
          </w:p>
        </w:tc>
      </w:tr>
      <w:tr>
        <w:tc>
          <w:tcPr/>
          <w:p>
            <w:pPr>
              <w:pStyle w:val="Compact"/>
            </w:pPr>
          </w:p>
        </w:tc>
        <w:tc>
          <w:tcPr/>
          <w:p>
            <w:pPr>
              <w:pStyle w:val="Compact"/>
            </w:pPr>
            <w:r>
              <w:t xml:space="preserve">likely</w:t>
            </w:r>
          </w:p>
        </w:tc>
        <w:tc>
          <w:tcPr/>
          <w:p>
            <w:pPr>
              <w:pStyle w:val="Compact"/>
            </w:pPr>
            <w:r>
              <w:t xml:space="preserve">0.50 &lt;= P_min &lt; 0.80</w:t>
            </w:r>
          </w:p>
        </w:tc>
      </w:tr>
      <w:tr>
        <w:tc>
          <w:tcPr/>
          <w:p>
            <w:pPr>
              <w:pStyle w:val="Compact"/>
            </w:pPr>
          </w:p>
        </w:tc>
        <w:tc>
          <w:tcPr/>
          <w:p>
            <w:pPr>
              <w:pStyle w:val="Compact"/>
            </w:pPr>
            <w:r>
              <w:t xml:space="preserve">almost certain</w:t>
            </w:r>
          </w:p>
        </w:tc>
        <w:tc>
          <w:tcPr/>
          <w:p>
            <w:pPr>
              <w:pStyle w:val="Compact"/>
            </w:pPr>
            <w:r>
              <w:t xml:space="preserve">P_min &gt;= 0.80</w:t>
            </w:r>
          </w:p>
        </w:tc>
      </w:tr>
      <w:tr>
        <w:tc>
          <w:tcPr/>
          <w:p>
            <w:pPr>
              <w:pStyle w:val="Compact"/>
            </w:pPr>
            <w:r>
              <w:t xml:space="preserve">Severity, from E[D]</w:t>
            </w:r>
          </w:p>
        </w:tc>
        <w:tc>
          <w:tcPr/>
          <w:p>
            <w:pPr>
              <w:pStyle w:val="Compact"/>
            </w:pPr>
            <w:r>
              <w:t xml:space="preserve">negligible</w:t>
            </w:r>
          </w:p>
        </w:tc>
        <w:tc>
          <w:tcPr/>
          <w:p>
            <w:pPr>
              <w:pStyle w:val="Compact"/>
            </w:pPr>
            <w:r>
              <w:t xml:space="preserve">E[D] &lt; 1 h</w:t>
            </w:r>
          </w:p>
        </w:tc>
      </w:tr>
      <w:tr>
        <w:tc>
          <w:tcPr/>
          <w:p>
            <w:pPr>
              <w:pStyle w:val="Compact"/>
            </w:pPr>
          </w:p>
        </w:tc>
        <w:tc>
          <w:tcPr/>
          <w:p>
            <w:pPr>
              <w:pStyle w:val="Compact"/>
            </w:pPr>
            <w:r>
              <w:t xml:space="preserve">brief</w:t>
            </w:r>
          </w:p>
        </w:tc>
        <w:tc>
          <w:tcPr/>
          <w:p>
            <w:pPr>
              <w:pStyle w:val="Compact"/>
            </w:pPr>
            <w:r>
              <w:t xml:space="preserve">1 &lt;= E[D] &lt; 6 h</w:t>
            </w:r>
          </w:p>
        </w:tc>
      </w:tr>
      <w:tr>
        <w:tc>
          <w:tcPr/>
          <w:p>
            <w:pPr>
              <w:pStyle w:val="Compact"/>
            </w:pPr>
          </w:p>
        </w:tc>
        <w:tc>
          <w:tcPr/>
          <w:p>
            <w:pPr>
              <w:pStyle w:val="Compact"/>
            </w:pPr>
            <w:r>
              <w:t xml:space="preserve">sustained</w:t>
            </w:r>
          </w:p>
        </w:tc>
        <w:tc>
          <w:tcPr/>
          <w:p>
            <w:pPr>
              <w:pStyle w:val="Compact"/>
            </w:pPr>
            <w:r>
              <w:t xml:space="preserve">6 &lt;= E[D] &lt; 12 h</w:t>
            </w:r>
          </w:p>
        </w:tc>
      </w:tr>
      <w:tr>
        <w:tc>
          <w:tcPr/>
          <w:p>
            <w:pPr>
              <w:pStyle w:val="Compact"/>
            </w:pPr>
          </w:p>
        </w:tc>
        <w:tc>
          <w:tcPr/>
          <w:p>
            <w:pPr>
              <w:pStyle w:val="Compact"/>
            </w:pPr>
            <w:r>
              <w:t xml:space="preserve">prolonged</w:t>
            </w:r>
          </w:p>
        </w:tc>
        <w:tc>
          <w:tcPr/>
          <w:p>
            <w:pPr>
              <w:pStyle w:val="Compact"/>
            </w:pPr>
            <w:r>
              <w:t xml:space="preserve">12 &lt;= E[D] &lt; 24 h</w:t>
            </w:r>
          </w:p>
        </w:tc>
      </w:tr>
      <w:tr>
        <w:tc>
          <w:tcPr/>
          <w:p>
            <w:pPr>
              <w:pStyle w:val="Compact"/>
            </w:pPr>
          </w:p>
        </w:tc>
        <w:tc>
          <w:tcPr/>
          <w:p>
            <w:pPr>
              <w:pStyle w:val="Compact"/>
            </w:pPr>
            <w:r>
              <w:t xml:space="preserve">persistent</w:t>
            </w:r>
          </w:p>
        </w:tc>
        <w:tc>
          <w:tcPr/>
          <w:p>
            <w:pPr>
              <w:pStyle w:val="Compact"/>
            </w:pPr>
            <w:r>
              <w:t xml:space="preserve">E[D] &gt;= 24 h (half the assessment window or more)</w:t>
            </w:r>
          </w:p>
        </w:tc>
      </w:tr>
      <w:tr>
        <w:tc>
          <w:tcPr/>
          <w:p>
            <w:pPr>
              <w:pStyle w:val="Compact"/>
            </w:pPr>
            <w:r>
              <w:t xml:space="preserve">Consequence, from demand</w:t>
            </w:r>
          </w:p>
        </w:tc>
        <w:tc>
          <w:tcPr/>
          <w:p>
            <w:pPr>
              <w:pStyle w:val="Compact"/>
            </w:pPr>
            <w:r>
              <w:t xml:space="preserve">non-consumer</w:t>
            </w:r>
          </w:p>
        </w:tc>
        <w:tc>
          <w:tcPr/>
          <w:p>
            <w:pPr>
              <w:pStyle w:val="Compact"/>
            </w:pPr>
            <w:r>
              <w:t xml:space="preserve">d = 0, a non-consumer junction</w:t>
            </w:r>
          </w:p>
        </w:tc>
      </w:tr>
      <w:tr>
        <w:tc>
          <w:tcPr/>
          <w:p>
            <w:pPr>
              <w:pStyle w:val="Compact"/>
            </w:pPr>
          </w:p>
        </w:tc>
        <w:tc>
          <w:tcPr/>
          <w:p>
            <w:pPr>
              <w:pStyle w:val="Compact"/>
            </w:pPr>
            <w:r>
              <w:t xml:space="preserve">minor</w:t>
            </w:r>
          </w:p>
        </w:tc>
        <w:tc>
          <w:tcPr/>
          <w:p>
            <w:pPr>
              <w:pStyle w:val="Compact"/>
            </w:pPr>
            <w:r>
              <w:t xml:space="preserve">0 &lt; d &lt;= 1.67 L/s</w:t>
            </w:r>
          </w:p>
        </w:tc>
      </w:tr>
      <w:tr>
        <w:tc>
          <w:tcPr/>
          <w:p>
            <w:pPr>
              <w:pStyle w:val="Compact"/>
            </w:pPr>
          </w:p>
        </w:tc>
        <w:tc>
          <w:tcPr/>
          <w:p>
            <w:pPr>
              <w:pStyle w:val="Compact"/>
            </w:pPr>
            <w:r>
              <w:t xml:space="preserve">moderate</w:t>
            </w:r>
          </w:p>
        </w:tc>
        <w:tc>
          <w:tcPr/>
          <w:p>
            <w:pPr>
              <w:pStyle w:val="Compact"/>
            </w:pPr>
            <w:r>
              <w:t xml:space="preserve">1.67 &lt; d &lt;= 4.38 L/s</w:t>
            </w:r>
          </w:p>
        </w:tc>
      </w:tr>
      <w:tr>
        <w:tc>
          <w:tcPr/>
          <w:p>
            <w:pPr>
              <w:pStyle w:val="Compact"/>
            </w:pPr>
          </w:p>
        </w:tc>
        <w:tc>
          <w:tcPr/>
          <w:p>
            <w:pPr>
              <w:pStyle w:val="Compact"/>
            </w:pPr>
            <w:r>
              <w:t xml:space="preserve">major</w:t>
            </w:r>
          </w:p>
        </w:tc>
        <w:tc>
          <w:tcPr/>
          <w:p>
            <w:pPr>
              <w:pStyle w:val="Compact"/>
            </w:pPr>
            <w:r>
              <w:t xml:space="preserve">d &gt; 4.38 L/s</w:t>
            </w:r>
          </w:p>
        </w:tc>
      </w:tr>
      <w:tr>
        <w:tc>
          <w:tcPr/>
          <w:p>
            <w:pPr>
              <w:pStyle w:val="Compact"/>
            </w:pPr>
            <w:r>
              <w:t xml:space="preserve">Risk band, from score</w:t>
            </w:r>
          </w:p>
        </w:tc>
        <w:tc>
          <w:tcPr/>
          <w:p>
            <w:pPr>
              <w:pStyle w:val="Compact"/>
            </w:pPr>
            <w:r>
              <w:t xml:space="preserve">not applicable</w:t>
            </w:r>
          </w:p>
        </w:tc>
        <w:tc>
          <w:tcPr/>
          <w:p>
            <w:pPr>
              <w:pStyle w:val="Compact"/>
            </w:pPr>
            <w:r>
              <w:t xml:space="preserve">score = 0</w:t>
            </w:r>
          </w:p>
        </w:tc>
      </w:tr>
      <w:tr>
        <w:tc>
          <w:tcPr/>
          <w:p>
            <w:pPr>
              <w:pStyle w:val="Compact"/>
            </w:pPr>
          </w:p>
        </w:tc>
        <w:tc>
          <w:tcPr/>
          <w:p>
            <w:pPr>
              <w:pStyle w:val="Compact"/>
            </w:pPr>
            <w:r>
              <w:t xml:space="preserve">low</w:t>
            </w:r>
          </w:p>
        </w:tc>
        <w:tc>
          <w:tcPr/>
          <w:p>
            <w:pPr>
              <w:pStyle w:val="Compact"/>
            </w:pPr>
            <w:r>
              <w:t xml:space="preserve">1 &lt;= score &lt;= 3</w:t>
            </w:r>
          </w:p>
        </w:tc>
      </w:tr>
      <w:tr>
        <w:tc>
          <w:tcPr/>
          <w:p>
            <w:pPr>
              <w:pStyle w:val="Compact"/>
            </w:pPr>
          </w:p>
        </w:tc>
        <w:tc>
          <w:tcPr/>
          <w:p>
            <w:pPr>
              <w:pStyle w:val="Compact"/>
            </w:pPr>
            <w:r>
              <w:t xml:space="preserve">medium</w:t>
            </w:r>
          </w:p>
        </w:tc>
        <w:tc>
          <w:tcPr/>
          <w:p>
            <w:pPr>
              <w:pStyle w:val="Compact"/>
            </w:pPr>
            <w:r>
              <w:t xml:space="preserve">4 &lt;= score &lt;= 6</w:t>
            </w:r>
          </w:p>
        </w:tc>
      </w:tr>
      <w:tr>
        <w:tc>
          <w:tcPr/>
          <w:p>
            <w:pPr>
              <w:pStyle w:val="Compact"/>
            </w:pPr>
          </w:p>
        </w:tc>
        <w:tc>
          <w:tcPr/>
          <w:p>
            <w:pPr>
              <w:pStyle w:val="Compact"/>
            </w:pPr>
            <w:r>
              <w:t xml:space="preserve">high</w:t>
            </w:r>
          </w:p>
        </w:tc>
        <w:tc>
          <w:tcPr/>
          <w:p>
            <w:pPr>
              <w:pStyle w:val="Compact"/>
            </w:pPr>
            <w:r>
              <w:t xml:space="preserve">7 &lt;= score &lt;= 9</w:t>
            </w:r>
          </w:p>
        </w:tc>
      </w:tr>
      <w:tr>
        <w:tc>
          <w:tcPr/>
          <w:p>
            <w:pPr>
              <w:pStyle w:val="Compact"/>
            </w:pPr>
          </w:p>
        </w:tc>
        <w:tc>
          <w:tcPr/>
          <w:p>
            <w:pPr>
              <w:pStyle w:val="Compact"/>
            </w:pPr>
            <w:r>
              <w:t xml:space="preserve">very high</w:t>
            </w:r>
          </w:p>
        </w:tc>
        <w:tc>
          <w:tcPr/>
          <w:p>
            <w:pPr>
              <w:pStyle w:val="Compact"/>
            </w:pPr>
            <w:r>
              <w:t xml:space="preserve">score &gt;= 10</w:t>
            </w:r>
          </w:p>
        </w:tc>
      </w:tr>
    </w:tbl>
    <w:p>
      <w:pPr>
        <w:pStyle w:val="BodyText"/>
      </w:pPr>
      <w:r>
        <w:t xml:space="preserve">Table H2. The complete risk register, all 92 junctions, ordered by expected cumulative deficit. Bands are defined in Table H1.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P min current</w:t>
            </w:r>
          </w:p>
        </w:tc>
        <w:tc>
          <w:tcPr/>
          <w:p>
            <w:pPr>
              <w:pStyle w:val="Compact"/>
            </w:pPr>
            <w:r>
              <w:t xml:space="preserve">P min heatwave</w:t>
            </w:r>
          </w:p>
        </w:tc>
        <w:tc>
          <w:tcPr/>
          <w:p>
            <w:pPr>
              <w:pStyle w:val="Compact"/>
            </w:pPr>
            <w:r>
              <w:t xml:space="preserve">P min heat ageing</w:t>
            </w:r>
          </w:p>
        </w:tc>
        <w:tc>
          <w:tcPr/>
          <w:p>
            <w:pPr>
              <w:pStyle w:val="Compact"/>
            </w:pPr>
            <w:r>
              <w:t xml:space="preserve">demand L s</w:t>
            </w:r>
          </w:p>
        </w:tc>
        <w:tc>
          <w:tcPr/>
          <w:p>
            <w:pPr>
              <w:pStyle w:val="Compact"/>
            </w:pPr>
            <w:r>
              <w:t xml:space="preserve">risk band severity</w:t>
            </w:r>
          </w:p>
        </w:tc>
        <w:tc>
          <w:tcPr/>
          <w:p>
            <w:pPr>
              <w:pStyle w:val="Compact"/>
            </w:pPr>
            <w:r>
              <w:t xml:space="preserve">risk band governing</w:t>
            </w:r>
          </w:p>
        </w:tc>
      </w:tr>
      <w:tr>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16.67</w:t>
            </w:r>
          </w:p>
        </w:tc>
        <w:tc>
          <w:tcPr/>
          <w:p>
            <w:pPr>
              <w:pStyle w:val="Compact"/>
            </w:pPr>
            <w:r>
              <w:t xml:space="preserve">very high</w:t>
            </w:r>
          </w:p>
        </w:tc>
        <w:tc>
          <w:tcPr/>
          <w:p>
            <w:pPr>
              <w:pStyle w:val="Compact"/>
            </w:pPr>
            <w:r>
              <w:t xml:space="preserve">very high</w:t>
            </w:r>
          </w:p>
        </w:tc>
      </w:tr>
      <w:tr>
        <w:tc>
          <w:tcPr/>
          <w:p>
            <w:pPr>
              <w:pStyle w:val="Compact"/>
            </w:pPr>
            <w:r>
              <w:t xml:space="preserve">151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9.75</w:t>
            </w:r>
          </w:p>
        </w:tc>
        <w:tc>
          <w:tcPr/>
          <w:p>
            <w:pPr>
              <w:pStyle w:val="Compact"/>
            </w:pPr>
            <w:r>
              <w:t xml:space="preserve">high</w:t>
            </w:r>
          </w:p>
        </w:tc>
        <w:tc>
          <w:tcPr/>
          <w:p>
            <w:pPr>
              <w:pStyle w:val="Compact"/>
            </w:pPr>
            <w:r>
              <w:t xml:space="preserve">very high</w:t>
            </w:r>
          </w:p>
        </w:tc>
      </w:tr>
      <w:tr>
        <w:tc>
          <w:tcPr/>
          <w:p>
            <w:pPr>
              <w:pStyle w:val="Compact"/>
            </w:pPr>
            <w:r>
              <w:t xml:space="preserve">247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4.75</w:t>
            </w:r>
          </w:p>
        </w:tc>
        <w:tc>
          <w:tcPr/>
          <w:p>
            <w:pPr>
              <w:pStyle w:val="Compact"/>
            </w:pPr>
            <w:r>
              <w:t xml:space="preserve">medium</w:t>
            </w:r>
          </w:p>
        </w:tc>
        <w:tc>
          <w:tcPr/>
          <w:p>
            <w:pPr>
              <w:pStyle w:val="Compact"/>
            </w:pPr>
            <w:r>
              <w:t xml:space="preserve">very high</w:t>
            </w:r>
          </w:p>
        </w:tc>
      </w:tr>
      <w:tr>
        <w:tc>
          <w:tcPr/>
          <w:p>
            <w:pPr>
              <w:pStyle w:val="Compact"/>
            </w:pPr>
            <w:r>
              <w:t xml:space="preserve">131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2.88</w:t>
            </w:r>
          </w:p>
        </w:tc>
        <w:tc>
          <w:tcPr/>
          <w:p>
            <w:pPr>
              <w:pStyle w:val="Compact"/>
            </w:pPr>
            <w:r>
              <w:t xml:space="preserve">very high</w:t>
            </w:r>
          </w:p>
        </w:tc>
        <w:tc>
          <w:tcPr/>
          <w:p>
            <w:pPr>
              <w:pStyle w:val="Compact"/>
            </w:pPr>
            <w:r>
              <w:t xml:space="preserve">very high</w:t>
            </w:r>
          </w:p>
        </w:tc>
      </w:tr>
      <w:tr>
        <w:tc>
          <w:tcPr/>
          <w:p>
            <w:pPr>
              <w:pStyle w:val="Compact"/>
            </w:pPr>
            <w:r>
              <w:t xml:space="preserve">145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1.86</w:t>
            </w:r>
          </w:p>
        </w:tc>
        <w:tc>
          <w:tcPr/>
          <w:p>
            <w:pPr>
              <w:pStyle w:val="Compact"/>
            </w:pPr>
            <w:r>
              <w:t xml:space="preserve">high</w:t>
            </w:r>
          </w:p>
        </w:tc>
        <w:tc>
          <w:tcPr/>
          <w:p>
            <w:pPr>
              <w:pStyle w:val="Compact"/>
            </w:pPr>
            <w:r>
              <w:t xml:space="preserve">very high</w:t>
            </w:r>
          </w:p>
        </w:tc>
      </w:tr>
      <w:tr>
        <w:tc>
          <w:tcPr/>
          <w:p>
            <w:pPr>
              <w:pStyle w:val="Compact"/>
            </w:pPr>
            <w:r>
              <w:t xml:space="preserve">149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1.83</w:t>
            </w:r>
          </w:p>
        </w:tc>
        <w:tc>
          <w:tcPr/>
          <w:p>
            <w:pPr>
              <w:pStyle w:val="Compact"/>
            </w:pPr>
            <w:r>
              <w:t xml:space="preserve">medium</w:t>
            </w:r>
          </w:p>
        </w:tc>
        <w:tc>
          <w:tcPr/>
          <w:p>
            <w:pPr>
              <w:pStyle w:val="Compact"/>
            </w:pPr>
            <w:r>
              <w:t xml:space="preserve">very high</w:t>
            </w:r>
          </w:p>
        </w:tc>
      </w:tr>
      <w:tr>
        <w:tc>
          <w:tcPr/>
          <w:p>
            <w:pPr>
              <w:pStyle w:val="Compact"/>
            </w:pPr>
            <w:r>
              <w:t xml:space="preserve">153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2.98</w:t>
            </w:r>
          </w:p>
        </w:tc>
        <w:tc>
          <w:tcPr/>
          <w:p>
            <w:pPr>
              <w:pStyle w:val="Compact"/>
            </w:pPr>
            <w:r>
              <w:t xml:space="preserve">high</w:t>
            </w:r>
          </w:p>
        </w:tc>
        <w:tc>
          <w:tcPr/>
          <w:p>
            <w:pPr>
              <w:pStyle w:val="Compact"/>
            </w:pPr>
            <w:r>
              <w:t xml:space="preserve">very high</w:t>
            </w:r>
          </w:p>
        </w:tc>
      </w:tr>
      <w:tr>
        <w:tc>
          <w:tcPr/>
          <w:p>
            <w:pPr>
              <w:pStyle w:val="Compact"/>
            </w:pPr>
            <w:r>
              <w:t xml:space="preserve">253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3.68</w:t>
            </w:r>
          </w:p>
        </w:tc>
        <w:tc>
          <w:tcPr/>
          <w:p>
            <w:pPr>
              <w:pStyle w:val="Compact"/>
            </w:pPr>
            <w:r>
              <w:t xml:space="preserve">medium</w:t>
            </w:r>
          </w:p>
        </w:tc>
        <w:tc>
          <w:tcPr/>
          <w:p>
            <w:pPr>
              <w:pStyle w:val="Compact"/>
            </w:pPr>
            <w:r>
              <w:t xml:space="preserve">very high</w:t>
            </w:r>
          </w:p>
        </w:tc>
      </w:tr>
      <w:tr>
        <w:tc>
          <w:tcPr/>
          <w:p>
            <w:pPr>
              <w:pStyle w:val="Compact"/>
            </w:pPr>
            <w:r>
              <w:t xml:space="preserve">255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2.73</w:t>
            </w:r>
          </w:p>
        </w:tc>
        <w:tc>
          <w:tcPr/>
          <w:p>
            <w:pPr>
              <w:pStyle w:val="Compact"/>
            </w:pPr>
            <w:r>
              <w:t xml:space="preserve">medium</w:t>
            </w:r>
          </w:p>
        </w:tc>
        <w:tc>
          <w:tcPr/>
          <w:p>
            <w:pPr>
              <w:pStyle w:val="Compact"/>
            </w:pPr>
            <w:r>
              <w:t xml:space="preserve">very high</w:t>
            </w:r>
          </w:p>
        </w:tc>
      </w:tr>
      <w:tr>
        <w:tc>
          <w:tcPr/>
          <w:p>
            <w:pPr>
              <w:pStyle w:val="Compact"/>
            </w:pPr>
            <w:r>
              <w:t xml:space="preserve">125</w:t>
            </w:r>
          </w:p>
        </w:tc>
        <w:tc>
          <w:tcPr/>
          <w:p>
            <w:pPr>
              <w:pStyle w:val="Compact"/>
            </w:pPr>
            <w:r>
              <w:t xml:space="preserve">0.998</w:t>
            </w:r>
          </w:p>
        </w:tc>
        <w:tc>
          <w:tcPr/>
          <w:p>
            <w:pPr>
              <w:pStyle w:val="Compact"/>
            </w:pPr>
            <w:r>
              <w:t xml:space="preserve">1.0</w:t>
            </w:r>
          </w:p>
        </w:tc>
        <w:tc>
          <w:tcPr/>
          <w:p>
            <w:pPr>
              <w:pStyle w:val="Compact"/>
            </w:pPr>
            <w:r>
              <w:t xml:space="preserve">1.0</w:t>
            </w:r>
          </w:p>
        </w:tc>
        <w:tc>
          <w:tcPr/>
          <w:p>
            <w:pPr>
              <w:pStyle w:val="Compact"/>
            </w:pPr>
            <w:r>
              <w:t xml:space="preserve">3.08</w:t>
            </w:r>
          </w:p>
        </w:tc>
        <w:tc>
          <w:tcPr/>
          <w:p>
            <w:pPr>
              <w:pStyle w:val="Compact"/>
            </w:pPr>
            <w:r>
              <w:t xml:space="preserve">high</w:t>
            </w:r>
          </w:p>
        </w:tc>
        <w:tc>
          <w:tcPr/>
          <w:p>
            <w:pPr>
              <w:pStyle w:val="Compact"/>
            </w:pPr>
            <w:r>
              <w:t xml:space="preserve">very high</w:t>
            </w:r>
          </w:p>
        </w:tc>
      </w:tr>
      <w:tr>
        <w:tc>
          <w:tcPr/>
          <w:p>
            <w:pPr>
              <w:pStyle w:val="Compact"/>
            </w:pPr>
            <w:r>
              <w:t xml:space="preserve">127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1.19</w:t>
            </w:r>
          </w:p>
        </w:tc>
        <w:tc>
          <w:tcPr/>
          <w:p>
            <w:pPr>
              <w:pStyle w:val="Compact"/>
            </w:pPr>
            <w:r>
              <w:t xml:space="preserve">medium</w:t>
            </w:r>
          </w:p>
        </w:tc>
        <w:tc>
          <w:tcPr/>
          <w:p>
            <w:pPr>
              <w:pStyle w:val="Compact"/>
            </w:pPr>
            <w:r>
              <w:t xml:space="preserve">medium</w:t>
            </w:r>
          </w:p>
        </w:tc>
      </w:tr>
      <w:tr>
        <w:tc>
          <w:tcPr/>
          <w:p>
            <w:pPr>
              <w:pStyle w:val="Compact"/>
            </w:pPr>
            <w:r>
              <w:t xml:space="preserve">139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w:t>
            </w:r>
          </w:p>
        </w:tc>
        <w:tc>
          <w:tcPr/>
          <w:p>
            <w:pPr>
              <w:pStyle w:val="Compact"/>
            </w:pPr>
            <w:r>
              <w:t xml:space="preserve">medium</w:t>
            </w:r>
          </w:p>
        </w:tc>
        <w:tc>
          <w:tcPr/>
          <w:p>
            <w:pPr>
              <w:pStyle w:val="Compact"/>
            </w:pPr>
            <w:r>
              <w:t xml:space="preserve">medium</w:t>
            </w:r>
          </w:p>
        </w:tc>
      </w:tr>
      <w:tr>
        <w:tc>
          <w:tcPr/>
          <w:p>
            <w:pPr>
              <w:pStyle w:val="Compact"/>
            </w:pPr>
            <w:r>
              <w:t xml:space="preserve">141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0.66</w:t>
            </w:r>
          </w:p>
        </w:tc>
        <w:tc>
          <w:tcPr/>
          <w:p>
            <w:pPr>
              <w:pStyle w:val="Compact"/>
            </w:pPr>
            <w:r>
              <w:t xml:space="preserve">medium</w:t>
            </w:r>
          </w:p>
        </w:tc>
        <w:tc>
          <w:tcPr/>
          <w:p>
            <w:pPr>
              <w:pStyle w:val="Compact"/>
            </w:pPr>
            <w:r>
              <w:t xml:space="preserve">medium</w:t>
            </w:r>
          </w:p>
        </w:tc>
      </w:tr>
      <w:tr>
        <w:tc>
          <w:tcPr/>
          <w:p>
            <w:pPr>
              <w:pStyle w:val="Compact"/>
            </w:pPr>
            <w:r>
              <w:t xml:space="preserve">143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0.42</w:t>
            </w:r>
          </w:p>
        </w:tc>
        <w:tc>
          <w:tcPr/>
          <w:p>
            <w:pPr>
              <w:pStyle w:val="Compact"/>
            </w:pPr>
            <w:r>
              <w:t xml:space="preserve">medium</w:t>
            </w:r>
          </w:p>
        </w:tc>
        <w:tc>
          <w:tcPr/>
          <w:p>
            <w:pPr>
              <w:pStyle w:val="Compact"/>
            </w:pPr>
            <w:r>
              <w:t xml:space="preserve">medium</w:t>
            </w:r>
          </w:p>
        </w:tc>
      </w:tr>
      <w:tr>
        <w:tc>
          <w:tcPr/>
          <w:p>
            <w:pPr>
              <w:pStyle w:val="Compact"/>
            </w:pPr>
            <w:r>
              <w:t xml:space="preserve">147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0.58</w:t>
            </w:r>
          </w:p>
        </w:tc>
        <w:tc>
          <w:tcPr/>
          <w:p>
            <w:pPr>
              <w:pStyle w:val="Compact"/>
            </w:pPr>
            <w:r>
              <w:t xml:space="preserve">low</w:t>
            </w:r>
          </w:p>
        </w:tc>
        <w:tc>
          <w:tcPr/>
          <w:p>
            <w:pPr>
              <w:pStyle w:val="Compact"/>
            </w:pPr>
            <w:r>
              <w:t xml:space="preserve">medium</w:t>
            </w:r>
          </w:p>
        </w:tc>
      </w:tr>
      <w:tr>
        <w:tc>
          <w:tcPr/>
          <w:p>
            <w:pPr>
              <w:pStyle w:val="Compact"/>
            </w:pPr>
            <w:r>
              <w:t xml:space="preserve">243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0.29</w:t>
            </w:r>
          </w:p>
        </w:tc>
        <w:tc>
          <w:tcPr/>
          <w:p>
            <w:pPr>
              <w:pStyle w:val="Compact"/>
            </w:pPr>
            <w:r>
              <w:t xml:space="preserve">medium</w:t>
            </w:r>
          </w:p>
        </w:tc>
        <w:tc>
          <w:tcPr/>
          <w:p>
            <w:pPr>
              <w:pStyle w:val="Compact"/>
            </w:pPr>
            <w:r>
              <w:t xml:space="preserve">medium</w:t>
            </w:r>
          </w:p>
        </w:tc>
      </w:tr>
      <w:tr>
        <w:tc>
          <w:tcPr/>
          <w:p>
            <w:pPr>
              <w:pStyle w:val="Compact"/>
            </w:pPr>
            <w:r>
              <w:t xml:space="preserve">251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1.63</w:t>
            </w:r>
          </w:p>
        </w:tc>
        <w:tc>
          <w:tcPr/>
          <w:p>
            <w:pPr>
              <w:pStyle w:val="Compact"/>
            </w:pPr>
            <w:r>
              <w:t xml:space="preserve">low</w:t>
            </w:r>
          </w:p>
        </w:tc>
        <w:tc>
          <w:tcPr/>
          <w:p>
            <w:pPr>
              <w:pStyle w:val="Compact"/>
            </w:pPr>
            <w:r>
              <w:t xml:space="preserve">medium</w:t>
            </w:r>
          </w:p>
        </w:tc>
      </w:tr>
      <w:tr>
        <w:tc>
          <w:tcPr/>
          <w:p>
            <w:pPr>
              <w:pStyle w:val="Compact"/>
            </w:pPr>
            <w:r>
              <w:t xml:space="preserve">35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108.39</w:t>
            </w:r>
          </w:p>
        </w:tc>
        <w:tc>
          <w:tcPr/>
          <w:p>
            <w:pPr>
              <w:pStyle w:val="Compact"/>
            </w:pPr>
            <w:r>
              <w:t xml:space="preserve">low</w:t>
            </w:r>
          </w:p>
        </w:tc>
        <w:tc>
          <w:tcPr/>
          <w:p>
            <w:pPr>
              <w:pStyle w:val="Compact"/>
            </w:pPr>
            <w:r>
              <w:t xml:space="preserve">low</w:t>
            </w:r>
          </w:p>
        </w:tc>
      </w:tr>
      <w:tr>
        <w:tc>
          <w:tcPr/>
          <w:p>
            <w:pPr>
              <w:pStyle w:val="Compact"/>
            </w:pPr>
            <w:r>
              <w:t xml:space="preserve">101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12.82</w:t>
            </w:r>
          </w:p>
        </w:tc>
        <w:tc>
          <w:tcPr/>
          <w:p>
            <w:pPr>
              <w:pStyle w:val="Compact"/>
            </w:pPr>
            <w:r>
              <w:t xml:space="preserve">low</w:t>
            </w:r>
          </w:p>
        </w:tc>
        <w:tc>
          <w:tcPr/>
          <w:p>
            <w:pPr>
              <w:pStyle w:val="Compact"/>
            </w:pPr>
            <w:r>
              <w:t xml:space="preserve">low</w:t>
            </w:r>
          </w:p>
        </w:tc>
      </w:tr>
      <w:tr>
        <w:tc>
          <w:tcPr/>
          <w:p>
            <w:pPr>
              <w:pStyle w:val="Compact"/>
            </w:pPr>
            <w:r>
              <w:t xml:space="preserve">103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8.99</w:t>
            </w:r>
          </w:p>
        </w:tc>
        <w:tc>
          <w:tcPr/>
          <w:p>
            <w:pPr>
              <w:pStyle w:val="Compact"/>
            </w:pPr>
            <w:r>
              <w:t xml:space="preserve">low</w:t>
            </w:r>
          </w:p>
        </w:tc>
        <w:tc>
          <w:tcPr/>
          <w:p>
            <w:pPr>
              <w:pStyle w:val="Compact"/>
            </w:pPr>
            <w:r>
              <w:t xml:space="preserve">low</w:t>
            </w:r>
          </w:p>
        </w:tc>
      </w:tr>
      <w:tr>
        <w:tc>
          <w:tcPr/>
          <w:p>
            <w:pPr>
              <w:pStyle w:val="Compact"/>
            </w:pPr>
            <w:r>
              <w:t xml:space="preserve">105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9.13</w:t>
            </w:r>
          </w:p>
        </w:tc>
        <w:tc>
          <w:tcPr/>
          <w:p>
            <w:pPr>
              <w:pStyle w:val="Compact"/>
            </w:pPr>
            <w:r>
              <w:t xml:space="preserve">low</w:t>
            </w:r>
          </w:p>
        </w:tc>
        <w:tc>
          <w:tcPr/>
          <w:p>
            <w:pPr>
              <w:pStyle w:val="Compact"/>
            </w:pPr>
            <w:r>
              <w:t xml:space="preserve">low</w:t>
            </w:r>
          </w:p>
        </w:tc>
      </w:tr>
      <w:tr>
        <w:tc>
          <w:tcPr/>
          <w:p>
            <w:pPr>
              <w:pStyle w:val="Compact"/>
            </w:pPr>
            <w:r>
              <w:t xml:space="preserve">109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15.61</w:t>
            </w:r>
          </w:p>
        </w:tc>
        <w:tc>
          <w:tcPr/>
          <w:p>
            <w:pPr>
              <w:pStyle w:val="Compact"/>
            </w:pPr>
            <w:r>
              <w:t xml:space="preserve">low</w:t>
            </w:r>
          </w:p>
        </w:tc>
        <w:tc>
          <w:tcPr/>
          <w:p>
            <w:pPr>
              <w:pStyle w:val="Compact"/>
            </w:pPr>
            <w:r>
              <w:t xml:space="preserve">low</w:t>
            </w:r>
          </w:p>
        </w:tc>
      </w:tr>
      <w:tr>
        <w:tc>
          <w:tcPr/>
          <w:p>
            <w:pPr>
              <w:pStyle w:val="Compact"/>
            </w:pPr>
            <w:r>
              <w:t xml:space="preserve">111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9.58</w:t>
            </w:r>
          </w:p>
        </w:tc>
        <w:tc>
          <w:tcPr/>
          <w:p>
            <w:pPr>
              <w:pStyle w:val="Compact"/>
            </w:pPr>
            <w:r>
              <w:t xml:space="preserve">low</w:t>
            </w:r>
          </w:p>
        </w:tc>
        <w:tc>
          <w:tcPr/>
          <w:p>
            <w:pPr>
              <w:pStyle w:val="Compact"/>
            </w:pPr>
            <w:r>
              <w:t xml:space="preserve">low</w:t>
            </w:r>
          </w:p>
        </w:tc>
      </w:tr>
      <w:tr>
        <w:tc>
          <w:tcPr/>
          <w:p>
            <w:pPr>
              <w:pStyle w:val="Compact"/>
            </w:pPr>
            <w:r>
              <w:t xml:space="preserve">117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7.94</w:t>
            </w:r>
          </w:p>
        </w:tc>
        <w:tc>
          <w:tcPr/>
          <w:p>
            <w:pPr>
              <w:pStyle w:val="Compact"/>
            </w:pPr>
            <w:r>
              <w:t xml:space="preserve">low</w:t>
            </w:r>
          </w:p>
        </w:tc>
        <w:tc>
          <w:tcPr/>
          <w:p>
            <w:pPr>
              <w:pStyle w:val="Compact"/>
            </w:pPr>
            <w:r>
              <w:t xml:space="preserve">low</w:t>
            </w:r>
          </w:p>
        </w:tc>
      </w:tr>
      <w:tr>
        <w:tc>
          <w:tcPr/>
          <w:p>
            <w:pPr>
              <w:pStyle w:val="Compact"/>
            </w:pPr>
            <w:r>
              <w:t xml:space="preserve">119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11.89</w:t>
            </w:r>
          </w:p>
        </w:tc>
        <w:tc>
          <w:tcPr/>
          <w:p>
            <w:pPr>
              <w:pStyle w:val="Compact"/>
            </w:pPr>
            <w:r>
              <w:t xml:space="preserve">low</w:t>
            </w:r>
          </w:p>
        </w:tc>
        <w:tc>
          <w:tcPr/>
          <w:p>
            <w:pPr>
              <w:pStyle w:val="Compact"/>
            </w:pPr>
            <w:r>
              <w:t xml:space="preserve">low</w:t>
            </w:r>
          </w:p>
        </w:tc>
      </w:tr>
      <w:tr>
        <w:tc>
          <w:tcPr/>
          <w:p>
            <w:pPr>
              <w:pStyle w:val="Compact"/>
            </w:pPr>
            <w:r>
              <w:t xml:space="preserve">123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75.32</w:t>
            </w:r>
          </w:p>
        </w:tc>
        <w:tc>
          <w:tcPr/>
          <w:p>
            <w:pPr>
              <w:pStyle w:val="Compact"/>
            </w:pPr>
            <w:r>
              <w:t xml:space="preserve">low</w:t>
            </w:r>
          </w:p>
        </w:tc>
        <w:tc>
          <w:tcPr/>
          <w:p>
            <w:pPr>
              <w:pStyle w:val="Compact"/>
            </w:pPr>
            <w:r>
              <w:t xml:space="preserve">low</w:t>
            </w:r>
          </w:p>
        </w:tc>
      </w:tr>
      <w:tr>
        <w:tc>
          <w:tcPr/>
          <w:p>
            <w:pPr>
              <w:pStyle w:val="Compact"/>
            </w:pPr>
            <w:r>
              <w:t xml:space="preserve">189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7.28</w:t>
            </w:r>
          </w:p>
        </w:tc>
        <w:tc>
          <w:tcPr/>
          <w:p>
            <w:pPr>
              <w:pStyle w:val="Compact"/>
            </w:pPr>
            <w:r>
              <w:t xml:space="preserve">low</w:t>
            </w:r>
          </w:p>
        </w:tc>
        <w:tc>
          <w:tcPr/>
          <w:p>
            <w:pPr>
              <w:pStyle w:val="Compact"/>
            </w:pPr>
            <w:r>
              <w:t xml:space="preserve">low</w:t>
            </w:r>
          </w:p>
        </w:tc>
      </w:tr>
      <w:tr>
        <w:tc>
          <w:tcPr/>
          <w:p>
            <w:pPr>
              <w:pStyle w:val="Compact"/>
            </w:pPr>
            <w:r>
              <w:t xml:space="preserve">191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5.53</w:t>
            </w:r>
          </w:p>
        </w:tc>
        <w:tc>
          <w:tcPr/>
          <w:p>
            <w:pPr>
              <w:pStyle w:val="Compact"/>
            </w:pPr>
            <w:r>
              <w:t xml:space="preserve">low</w:t>
            </w:r>
          </w:p>
        </w:tc>
        <w:tc>
          <w:tcPr/>
          <w:p>
            <w:pPr>
              <w:pStyle w:val="Compact"/>
            </w:pPr>
            <w:r>
              <w:t xml:space="preserve">low</w:t>
            </w:r>
          </w:p>
        </w:tc>
      </w:tr>
      <w:tr>
        <w:tc>
          <w:tcPr/>
          <w:p>
            <w:pPr>
              <w:pStyle w:val="Compact"/>
            </w:pPr>
            <w:r>
              <w:t xml:space="preserve">193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4.81</w:t>
            </w:r>
          </w:p>
        </w:tc>
        <w:tc>
          <w:tcPr/>
          <w:p>
            <w:pPr>
              <w:pStyle w:val="Compact"/>
            </w:pPr>
            <w:r>
              <w:t xml:space="preserve">low</w:t>
            </w:r>
          </w:p>
        </w:tc>
        <w:tc>
          <w:tcPr/>
          <w:p>
            <w:pPr>
              <w:pStyle w:val="Compact"/>
            </w:pPr>
            <w:r>
              <w:t xml:space="preserve">low</w:t>
            </w:r>
          </w:p>
        </w:tc>
      </w:tr>
      <w:tr>
        <w:tc>
          <w:tcPr/>
          <w:p>
            <w:pPr>
              <w:pStyle w:val="Compact"/>
            </w:pPr>
            <w:r>
              <w:t xml:space="preserve">199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8.05</w:t>
            </w:r>
          </w:p>
        </w:tc>
        <w:tc>
          <w:tcPr/>
          <w:p>
            <w:pPr>
              <w:pStyle w:val="Compact"/>
            </w:pPr>
            <w:r>
              <w:t xml:space="preserve">low</w:t>
            </w:r>
          </w:p>
        </w:tc>
        <w:tc>
          <w:tcPr/>
          <w:p>
            <w:pPr>
              <w:pStyle w:val="Compact"/>
            </w:pPr>
            <w:r>
              <w:t xml:space="preserve">low</w:t>
            </w:r>
          </w:p>
        </w:tc>
      </w:tr>
      <w:tr>
        <w:tc>
          <w:tcPr/>
          <w:p>
            <w:pPr>
              <w:pStyle w:val="Compact"/>
            </w:pPr>
            <w:r>
              <w:t xml:space="preserve">203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284.63</w:t>
            </w:r>
          </w:p>
        </w:tc>
        <w:tc>
          <w:tcPr/>
          <w:p>
            <w:pPr>
              <w:pStyle w:val="Compact"/>
            </w:pPr>
            <w:r>
              <w:t xml:space="preserve">low</w:t>
            </w:r>
          </w:p>
        </w:tc>
        <w:tc>
          <w:tcPr/>
          <w:p>
            <w:pPr>
              <w:pStyle w:val="Compact"/>
            </w:pPr>
            <w:r>
              <w:t xml:space="preserve">low</w:t>
            </w:r>
          </w:p>
        </w:tc>
      </w:tr>
      <w:tr>
        <w:tc>
          <w:tcPr/>
          <w:p>
            <w:pPr>
              <w:pStyle w:val="Compact"/>
            </w:pPr>
            <w:r>
              <w:t xml:space="preserve">205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4.41</w:t>
            </w:r>
          </w:p>
        </w:tc>
        <w:tc>
          <w:tcPr/>
          <w:p>
            <w:pPr>
              <w:pStyle w:val="Compact"/>
            </w:pPr>
            <w:r>
              <w:t xml:space="preserve">low</w:t>
            </w:r>
          </w:p>
        </w:tc>
        <w:tc>
          <w:tcPr/>
          <w:p>
            <w:pPr>
              <w:pStyle w:val="Compact"/>
            </w:pPr>
            <w:r>
              <w:t xml:space="preserve">low</w:t>
            </w:r>
          </w:p>
        </w:tc>
      </w:tr>
      <w:tr>
        <w:tc>
          <w:tcPr/>
          <w:p>
            <w:pPr>
              <w:pStyle w:val="Compact"/>
            </w:pPr>
            <w:r>
              <w:t xml:space="preserve">207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4.68</w:t>
            </w:r>
          </w:p>
        </w:tc>
        <w:tc>
          <w:tcPr/>
          <w:p>
            <w:pPr>
              <w:pStyle w:val="Compact"/>
            </w:pPr>
            <w:r>
              <w:t xml:space="preserve">low</w:t>
            </w:r>
          </w:p>
        </w:tc>
        <w:tc>
          <w:tcPr/>
          <w:p>
            <w:pPr>
              <w:pStyle w:val="Compact"/>
            </w:pPr>
            <w:r>
              <w:t xml:space="preserve">low</w:t>
            </w:r>
          </w:p>
        </w:tc>
      </w:tr>
      <w:tr>
        <w:tc>
          <w:tcPr/>
          <w:p>
            <w:pPr>
              <w:pStyle w:val="Compact"/>
            </w:pPr>
            <w:r>
              <w:t xml:space="preserve">215</w:t>
            </w:r>
          </w:p>
        </w:tc>
        <w:tc>
          <w:tcPr/>
          <w:p>
            <w:pPr>
              <w:pStyle w:val="Compact"/>
            </w:pPr>
            <w:r>
              <w:t xml:space="preserve">0.0</w:t>
            </w:r>
          </w:p>
        </w:tc>
        <w:tc>
          <w:tcPr/>
          <w:p>
            <w:pPr>
              <w:pStyle w:val="Compact"/>
            </w:pPr>
            <w:r>
              <w:t xml:space="preserve">0.023</w:t>
            </w:r>
          </w:p>
        </w:tc>
        <w:tc>
          <w:tcPr/>
          <w:p>
            <w:pPr>
              <w:pStyle w:val="Compact"/>
            </w:pPr>
            <w:r>
              <w:t xml:space="preserve">0.114</w:t>
            </w:r>
          </w:p>
        </w:tc>
        <w:tc>
          <w:tcPr/>
          <w:p>
            <w:pPr>
              <w:pStyle w:val="Compact"/>
            </w:pPr>
            <w:r>
              <w:t xml:space="preserve">6.22</w:t>
            </w:r>
          </w:p>
        </w:tc>
        <w:tc>
          <w:tcPr/>
          <w:p>
            <w:pPr>
              <w:pStyle w:val="Compact"/>
            </w:pPr>
            <w:r>
              <w:t xml:space="preserve">low</w:t>
            </w:r>
          </w:p>
        </w:tc>
        <w:tc>
          <w:tcPr/>
          <w:p>
            <w:pPr>
              <w:pStyle w:val="Compact"/>
            </w:pPr>
            <w:r>
              <w:t xml:space="preserve">low</w:t>
            </w:r>
          </w:p>
        </w:tc>
      </w:tr>
      <w:tr>
        <w:tc>
          <w:tcPr/>
          <w:p>
            <w:pPr>
              <w:pStyle w:val="Compact"/>
            </w:pPr>
            <w:r>
              <w:t xml:space="preserve">219</w:t>
            </w:r>
          </w:p>
        </w:tc>
        <w:tc>
          <w:tcPr/>
          <w:p>
            <w:pPr>
              <w:pStyle w:val="Compact"/>
            </w:pPr>
            <w:r>
              <w:t xml:space="preserve">0.011</w:t>
            </w:r>
          </w:p>
        </w:tc>
        <w:tc>
          <w:tcPr/>
          <w:p>
            <w:pPr>
              <w:pStyle w:val="Compact"/>
            </w:pPr>
            <w:r>
              <w:t xml:space="preserve">1.0</w:t>
            </w:r>
          </w:p>
        </w:tc>
        <w:tc>
          <w:tcPr/>
          <w:p>
            <w:pPr>
              <w:pStyle w:val="Compact"/>
            </w:pPr>
            <w:r>
              <w:t xml:space="preserve">1.0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3.69</w:t>
            </w:r>
          </w:p>
        </w:tc>
        <w:tc>
          <w:tcPr/>
          <w:p>
            <w:pPr>
              <w:pStyle w:val="Compact"/>
            </w:pPr>
            <w:r>
              <w:t xml:space="preserve">low</w:t>
            </w:r>
          </w:p>
        </w:tc>
        <w:tc>
          <w:tcPr/>
          <w:p>
            <w:pPr>
              <w:pStyle w:val="Compact"/>
            </w:pPr>
            <w:r>
              <w:t xml:space="preserve">low</w:t>
            </w:r>
          </w:p>
        </w:tc>
      </w:tr>
      <w:tr>
        <w:tc>
          <w:tcPr/>
          <w:p>
            <w:pPr>
              <w:pStyle w:val="Compact"/>
            </w:pPr>
            <w:r>
              <w:t xml:space="preserve">115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3.52</w:t>
            </w:r>
          </w:p>
        </w:tc>
        <w:tc>
          <w:tcPr/>
          <w:p>
            <w:pPr>
              <w:pStyle w:val="Compact"/>
            </w:pPr>
            <w:r>
              <w:t xml:space="preserve">low</w:t>
            </w:r>
          </w:p>
        </w:tc>
        <w:tc>
          <w:tcPr/>
          <w:p>
            <w:pPr>
              <w:pStyle w:val="Compact"/>
            </w:pPr>
            <w:r>
              <w:t xml:space="preserve">low</w:t>
            </w:r>
          </w:p>
        </w:tc>
      </w:tr>
      <w:tr>
        <w:tc>
          <w:tcPr/>
          <w:p>
            <w:pPr>
              <w:pStyle w:val="Compact"/>
            </w:pPr>
            <w:r>
              <w:t xml:space="preserve">121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2.81</w:t>
            </w:r>
          </w:p>
        </w:tc>
        <w:tc>
          <w:tcPr/>
          <w:p>
            <w:pPr>
              <w:pStyle w:val="Compact"/>
            </w:pPr>
            <w:r>
              <w:t xml:space="preserve">low</w:t>
            </w:r>
          </w:p>
        </w:tc>
        <w:tc>
          <w:tcPr/>
          <w:p>
            <w:pPr>
              <w:pStyle w:val="Compact"/>
            </w:pPr>
            <w:r>
              <w:t xml:space="preserve">low</w:t>
            </w:r>
          </w:p>
        </w:tc>
      </w:tr>
      <w:tr>
        <w:tc>
          <w:tcPr/>
          <w:p>
            <w:pPr>
              <w:pStyle w:val="Compact"/>
            </w:pPr>
            <w:r>
              <w:t xml:space="preserve">157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3.49</w:t>
            </w:r>
          </w:p>
        </w:tc>
        <w:tc>
          <w:tcPr/>
          <w:p>
            <w:pPr>
              <w:pStyle w:val="Compact"/>
            </w:pPr>
            <w:r>
              <w:t xml:space="preserve">low</w:t>
            </w:r>
          </w:p>
        </w:tc>
        <w:tc>
          <w:tcPr/>
          <w:p>
            <w:pPr>
              <w:pStyle w:val="Compact"/>
            </w:pPr>
            <w:r>
              <w:t xml:space="preserve">low</w:t>
            </w:r>
          </w:p>
        </w:tc>
      </w:tr>
      <w:tr>
        <w:tc>
          <w:tcPr/>
          <w:p>
            <w:pPr>
              <w:pStyle w:val="Compact"/>
            </w:pPr>
            <w:r>
              <w:t xml:space="preserve">159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2.65</w:t>
            </w:r>
          </w:p>
        </w:tc>
        <w:tc>
          <w:tcPr/>
          <w:p>
            <w:pPr>
              <w:pStyle w:val="Compact"/>
            </w:pPr>
            <w:r>
              <w:t xml:space="preserve">low</w:t>
            </w:r>
          </w:p>
        </w:tc>
        <w:tc>
          <w:tcPr/>
          <w:p>
            <w:pPr>
              <w:pStyle w:val="Compact"/>
            </w:pPr>
            <w:r>
              <w:t xml:space="preserve">low</w:t>
            </w:r>
          </w:p>
        </w:tc>
      </w:tr>
      <w:tr>
        <w:tc>
          <w:tcPr/>
          <w:p>
            <w:pPr>
              <w:pStyle w:val="Compact"/>
            </w:pPr>
            <w:r>
              <w:t xml:space="preserve">177</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3.93</w:t>
            </w:r>
          </w:p>
        </w:tc>
        <w:tc>
          <w:tcPr/>
          <w:p>
            <w:pPr>
              <w:pStyle w:val="Compact"/>
            </w:pPr>
            <w:r>
              <w:t xml:space="preserve">low</w:t>
            </w:r>
          </w:p>
        </w:tc>
        <w:tc>
          <w:tcPr/>
          <w:p>
            <w:pPr>
              <w:pStyle w:val="Compact"/>
            </w:pPr>
            <w:r>
              <w:t xml:space="preserve">low</w:t>
            </w:r>
          </w:p>
        </w:tc>
      </w:tr>
      <w:tr>
        <w:tc>
          <w:tcPr/>
          <w:p>
            <w:pPr>
              <w:pStyle w:val="Compact"/>
            </w:pPr>
            <w:r>
              <w:t xml:space="preserve">185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1.73</w:t>
            </w:r>
          </w:p>
        </w:tc>
        <w:tc>
          <w:tcPr/>
          <w:p>
            <w:pPr>
              <w:pStyle w:val="Compact"/>
            </w:pPr>
            <w:r>
              <w:t xml:space="preserve">low</w:t>
            </w:r>
          </w:p>
        </w:tc>
        <w:tc>
          <w:tcPr/>
          <w:p>
            <w:pPr>
              <w:pStyle w:val="Compact"/>
            </w:pPr>
            <w:r>
              <w:t xml:space="preserve">low</w:t>
            </w:r>
          </w:p>
        </w:tc>
      </w:tr>
      <w:tr>
        <w:tc>
          <w:tcPr/>
          <w:p>
            <w:pPr>
              <w:pStyle w:val="Compact"/>
            </w:pPr>
            <w:r>
              <w:t xml:space="preserve">201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4.33</w:t>
            </w:r>
          </w:p>
        </w:tc>
        <w:tc>
          <w:tcPr/>
          <w:p>
            <w:pPr>
              <w:pStyle w:val="Compact"/>
            </w:pPr>
            <w:r>
              <w:t xml:space="preserve">low</w:t>
            </w:r>
          </w:p>
        </w:tc>
        <w:tc>
          <w:tcPr/>
          <w:p>
            <w:pPr>
              <w:pStyle w:val="Compact"/>
            </w:pPr>
            <w:r>
              <w:t xml:space="preserve">low</w:t>
            </w:r>
          </w:p>
        </w:tc>
      </w:tr>
      <w:tr>
        <w:tc>
          <w:tcPr/>
          <w:p>
            <w:pPr>
              <w:pStyle w:val="Compact"/>
            </w:pPr>
            <w:r>
              <w:t xml:space="preserve">239</w:t>
            </w:r>
          </w:p>
        </w:tc>
        <w:tc>
          <w:tcPr/>
          <w:p>
            <w:pPr>
              <w:pStyle w:val="Compact"/>
            </w:pPr>
            <w:r>
              <w:t xml:space="preserve">0.0</w:t>
            </w:r>
          </w:p>
        </w:tc>
        <w:tc>
          <w:tcPr/>
          <w:p>
            <w:pPr>
              <w:pStyle w:val="Compact"/>
            </w:pPr>
            <w:r>
              <w:t xml:space="preserve">0.832</w:t>
            </w:r>
          </w:p>
        </w:tc>
        <w:tc>
          <w:tcPr/>
          <w:p>
            <w:pPr>
              <w:pStyle w:val="Compact"/>
            </w:pPr>
            <w:r>
              <w:t xml:space="preserve">0.986</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225</w:t>
            </w:r>
          </w:p>
        </w:tc>
        <w:tc>
          <w:tcPr/>
          <w:p>
            <w:pPr>
              <w:pStyle w:val="Compact"/>
            </w:pPr>
            <w:r>
              <w:t xml:space="preserve">0.03</w:t>
            </w:r>
          </w:p>
        </w:tc>
        <w:tc>
          <w:tcPr/>
          <w:p>
            <w:pPr>
              <w:pStyle w:val="Compact"/>
            </w:pPr>
            <w:r>
              <w:t xml:space="preserve">1.0</w:t>
            </w:r>
          </w:p>
        </w:tc>
        <w:tc>
          <w:tcPr/>
          <w:p>
            <w:pPr>
              <w:pStyle w:val="Compact"/>
            </w:pPr>
            <w:r>
              <w:t xml:space="preserve">1.0</w:t>
            </w:r>
          </w:p>
        </w:tc>
        <w:tc>
          <w:tcPr/>
          <w:p>
            <w:pPr>
              <w:pStyle w:val="Compact"/>
            </w:pPr>
            <w:r>
              <w:t xml:space="preserve">1.54</w:t>
            </w:r>
          </w:p>
        </w:tc>
        <w:tc>
          <w:tcPr/>
          <w:p>
            <w:pPr>
              <w:pStyle w:val="Compact"/>
            </w:pPr>
            <w:r>
              <w:t xml:space="preserve">low</w:t>
            </w:r>
          </w:p>
        </w:tc>
        <w:tc>
          <w:tcPr/>
          <w:p>
            <w:pPr>
              <w:pStyle w:val="Compact"/>
            </w:pPr>
            <w:r>
              <w:t xml:space="preserve">low</w:t>
            </w:r>
          </w:p>
        </w:tc>
      </w:tr>
      <w:tr>
        <w:tc>
          <w:tcPr/>
          <w:p>
            <w:pPr>
              <w:pStyle w:val="Compact"/>
            </w:pPr>
            <w:r>
              <w:t xml:space="preserve">231</w:t>
            </w:r>
          </w:p>
        </w:tc>
        <w:tc>
          <w:tcPr/>
          <w:p>
            <w:pPr>
              <w:pStyle w:val="Compact"/>
            </w:pPr>
            <w:r>
              <w:t xml:space="preserve">0.001</w:t>
            </w:r>
          </w:p>
        </w:tc>
        <w:tc>
          <w:tcPr/>
          <w:p>
            <w:pPr>
              <w:pStyle w:val="Compact"/>
            </w:pPr>
            <w:r>
              <w:t xml:space="preserve">1.0</w:t>
            </w:r>
          </w:p>
        </w:tc>
        <w:tc>
          <w:tcPr/>
          <w:p>
            <w:pPr>
              <w:pStyle w:val="Compact"/>
            </w:pPr>
            <w:r>
              <w:t xml:space="preserve">1.0</w:t>
            </w:r>
          </w:p>
        </w:tc>
        <w:tc>
          <w:tcPr/>
          <w:p>
            <w:pPr>
              <w:pStyle w:val="Compact"/>
            </w:pPr>
            <w:r>
              <w:t xml:space="preserve">1.11</w:t>
            </w:r>
          </w:p>
        </w:tc>
        <w:tc>
          <w:tcPr/>
          <w:p>
            <w:pPr>
              <w:pStyle w:val="Compact"/>
            </w:pPr>
            <w:r>
              <w:t xml:space="preserve">low</w:t>
            </w:r>
          </w:p>
        </w:tc>
        <w:tc>
          <w:tcPr/>
          <w:p>
            <w:pPr>
              <w:pStyle w:val="Compact"/>
            </w:pPr>
            <w:r>
              <w:t xml:space="preserve">low</w:t>
            </w:r>
          </w:p>
        </w:tc>
      </w:tr>
      <w:tr>
        <w:tc>
          <w:tcPr/>
          <w:p>
            <w:pPr>
              <w:pStyle w:val="Compact"/>
            </w:pPr>
            <w:r>
              <w:t xml:space="preserve">113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1.35</w:t>
            </w:r>
          </w:p>
        </w:tc>
        <w:tc>
          <w:tcPr/>
          <w:p>
            <w:pPr>
              <w:pStyle w:val="Compact"/>
            </w:pPr>
            <w:r>
              <w:t xml:space="preserve">low</w:t>
            </w:r>
          </w:p>
        </w:tc>
        <w:tc>
          <w:tcPr/>
          <w:p>
            <w:pPr>
              <w:pStyle w:val="Compact"/>
            </w:pPr>
            <w:r>
              <w:t xml:space="preserve">low</w:t>
            </w:r>
          </w:p>
        </w:tc>
      </w:tr>
      <w:tr>
        <w:tc>
          <w:tcPr/>
          <w:p>
            <w:pPr>
              <w:pStyle w:val="Compact"/>
            </w:pPr>
            <w:r>
              <w:t xml:space="preserve">161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1.07</w:t>
            </w:r>
          </w:p>
        </w:tc>
        <w:tc>
          <w:tcPr/>
          <w:p>
            <w:pPr>
              <w:pStyle w:val="Compact"/>
            </w:pPr>
            <w:r>
              <w:t xml:space="preserve">low</w:t>
            </w:r>
          </w:p>
        </w:tc>
        <w:tc>
          <w:tcPr/>
          <w:p>
            <w:pPr>
              <w:pStyle w:val="Compact"/>
            </w:pPr>
            <w:r>
              <w:t xml:space="preserve">low</w:t>
            </w:r>
          </w:p>
        </w:tc>
      </w:tr>
      <w:tr>
        <w:tc>
          <w:tcPr/>
          <w:p>
            <w:pPr>
              <w:pStyle w:val="Compact"/>
            </w:pPr>
            <w:r>
              <w:t xml:space="preserve">163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0.64</w:t>
            </w:r>
          </w:p>
        </w:tc>
        <w:tc>
          <w:tcPr/>
          <w:p>
            <w:pPr>
              <w:pStyle w:val="Compact"/>
            </w:pPr>
            <w:r>
              <w:t xml:space="preserve">low</w:t>
            </w:r>
          </w:p>
        </w:tc>
        <w:tc>
          <w:tcPr/>
          <w:p>
            <w:pPr>
              <w:pStyle w:val="Compact"/>
            </w:pPr>
            <w:r>
              <w:t xml:space="preserve">low</w:t>
            </w:r>
          </w:p>
        </w:tc>
      </w:tr>
      <w:tr>
        <w:tc>
          <w:tcPr/>
          <w:p>
            <w:pPr>
              <w:pStyle w:val="Compact"/>
            </w:pPr>
            <w:r>
              <w:t xml:space="preserve">166</w:t>
            </w:r>
          </w:p>
        </w:tc>
        <w:tc>
          <w:tcPr/>
          <w:p>
            <w:pPr>
              <w:pStyle w:val="Compact"/>
            </w:pPr>
            <w:r>
              <w:t xml:space="preserve">0.0</w:t>
            </w:r>
          </w:p>
        </w:tc>
        <w:tc>
          <w:tcPr/>
          <w:p>
            <w:pPr>
              <w:pStyle w:val="Compact"/>
            </w:pPr>
            <w:r>
              <w:t xml:space="preserve">0.483</w:t>
            </w:r>
          </w:p>
        </w:tc>
        <w:tc>
          <w:tcPr/>
          <w:p>
            <w:pPr>
              <w:pStyle w:val="Compact"/>
            </w:pPr>
            <w:r>
              <w:t xml:space="preserve">0.492</w:t>
            </w:r>
          </w:p>
        </w:tc>
        <w:tc>
          <w:tcPr/>
          <w:p>
            <w:pPr>
              <w:pStyle w:val="Compact"/>
            </w:pPr>
            <w:r>
              <w:t xml:space="preserve">0.18</w:t>
            </w:r>
          </w:p>
        </w:tc>
        <w:tc>
          <w:tcPr/>
          <w:p>
            <w:pPr>
              <w:pStyle w:val="Compact"/>
            </w:pPr>
            <w:r>
              <w:t xml:space="preserve">low</w:t>
            </w:r>
          </w:p>
        </w:tc>
        <w:tc>
          <w:tcPr/>
          <w:p>
            <w:pPr>
              <w:pStyle w:val="Compact"/>
            </w:pPr>
            <w:r>
              <w:t xml:space="preserve">low</w:t>
            </w:r>
          </w:p>
        </w:tc>
      </w:tr>
      <w:tr>
        <w:tc>
          <w:tcPr/>
          <w:p>
            <w:pPr>
              <w:pStyle w:val="Compact"/>
            </w:pPr>
            <w:r>
              <w:t xml:space="preserve">167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0.98</w:t>
            </w:r>
          </w:p>
        </w:tc>
        <w:tc>
          <w:tcPr/>
          <w:p>
            <w:pPr>
              <w:pStyle w:val="Compact"/>
            </w:pPr>
            <w:r>
              <w:t xml:space="preserve">low</w:t>
            </w:r>
          </w:p>
        </w:tc>
        <w:tc>
          <w:tcPr/>
          <w:p>
            <w:pPr>
              <w:pStyle w:val="Compact"/>
            </w:pPr>
            <w:r>
              <w:t xml:space="preserve">low</w:t>
            </w:r>
          </w:p>
        </w:tc>
      </w:tr>
      <w:tr>
        <w:tc>
          <w:tcPr/>
          <w:p>
            <w:pPr>
              <w:pStyle w:val="Compact"/>
            </w:pPr>
            <w:r>
              <w:t xml:space="preserve">197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1.15</w:t>
            </w:r>
          </w:p>
        </w:tc>
        <w:tc>
          <w:tcPr/>
          <w:p>
            <w:pPr>
              <w:pStyle w:val="Compact"/>
            </w:pPr>
            <w:r>
              <w:t xml:space="preserve">low</w:t>
            </w:r>
          </w:p>
        </w:tc>
        <w:tc>
          <w:tcPr/>
          <w:p>
            <w:pPr>
              <w:pStyle w:val="Compact"/>
            </w:pPr>
            <w:r>
              <w:t xml:space="preserve">low</w:t>
            </w:r>
          </w:p>
        </w:tc>
      </w:tr>
      <w:tr>
        <w:tc>
          <w:tcPr/>
          <w:p>
            <w:pPr>
              <w:pStyle w:val="Compact"/>
            </w:pPr>
            <w:r>
              <w:t xml:space="preserve">209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0.06</w:t>
            </w:r>
          </w:p>
        </w:tc>
        <w:tc>
          <w:tcPr/>
          <w:p>
            <w:pPr>
              <w:pStyle w:val="Compact"/>
            </w:pPr>
            <w:r>
              <w:t xml:space="preserve">low</w:t>
            </w:r>
          </w:p>
        </w:tc>
        <w:tc>
          <w:tcPr/>
          <w:p>
            <w:pPr>
              <w:pStyle w:val="Compact"/>
            </w:pPr>
            <w:r>
              <w:t xml:space="preserve">low</w:t>
            </w:r>
          </w:p>
        </w:tc>
      </w:tr>
      <w:tr>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0.59</w:t>
            </w:r>
          </w:p>
        </w:tc>
        <w:tc>
          <w:tcPr/>
          <w:p>
            <w:pPr>
              <w:pStyle w:val="Compact"/>
            </w:pPr>
            <w:r>
              <w:t xml:space="preserve">low</w:t>
            </w:r>
          </w:p>
        </w:tc>
        <w:tc>
          <w:tcPr/>
          <w:p>
            <w:pPr>
              <w:pStyle w:val="Compact"/>
            </w:pPr>
            <w:r>
              <w:t xml:space="preserve">low</w:t>
            </w:r>
          </w:p>
        </w:tc>
      </w:tr>
      <w:tr>
        <w:tc>
          <w:tcPr/>
          <w:p>
            <w:pPr>
              <w:pStyle w:val="Compact"/>
            </w:pPr>
            <w:r>
              <w:t xml:space="preserve">213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0.94</w:t>
            </w:r>
          </w:p>
        </w:tc>
        <w:tc>
          <w:tcPr/>
          <w:p>
            <w:pPr>
              <w:pStyle w:val="Compact"/>
            </w:pPr>
            <w:r>
              <w:t xml:space="preserve">low</w:t>
            </w:r>
          </w:p>
        </w:tc>
        <w:tc>
          <w:tcPr/>
          <w:p>
            <w:pPr>
              <w:pStyle w:val="Compact"/>
            </w:pPr>
            <w:r>
              <w:t xml:space="preserve">low</w:t>
            </w:r>
          </w:p>
        </w:tc>
      </w:tr>
      <w:tr>
        <w:tc>
          <w:tcPr/>
          <w:p>
            <w:pPr>
              <w:pStyle w:val="Compact"/>
            </w:pPr>
            <w:r>
              <w:t xml:space="preserve">217</w:t>
            </w:r>
          </w:p>
        </w:tc>
        <w:tc>
          <w:tcPr/>
          <w:p>
            <w:pPr>
              <w:pStyle w:val="Compact"/>
            </w:pPr>
            <w:r>
              <w:t xml:space="preserve">0.0</w:t>
            </w:r>
          </w:p>
        </w:tc>
        <w:tc>
          <w:tcPr/>
          <w:p>
            <w:pPr>
              <w:pStyle w:val="Compact"/>
            </w:pPr>
            <w:r>
              <w:t xml:space="preserve">0.403</w:t>
            </w:r>
          </w:p>
        </w:tc>
        <w:tc>
          <w:tcPr/>
          <w:p>
            <w:pPr>
              <w:pStyle w:val="Compact"/>
            </w:pPr>
            <w:r>
              <w:t xml:space="preserve">0.748</w:t>
            </w:r>
          </w:p>
        </w:tc>
        <w:tc>
          <w:tcPr/>
          <w:p>
            <w:pPr>
              <w:pStyle w:val="Compact"/>
            </w:pPr>
            <w:r>
              <w:t xml:space="preserve">1.63</w:t>
            </w:r>
          </w:p>
        </w:tc>
        <w:tc>
          <w:tcPr/>
          <w:p>
            <w:pPr>
              <w:pStyle w:val="Compact"/>
            </w:pPr>
            <w:r>
              <w:t xml:space="preserve">low</w:t>
            </w:r>
          </w:p>
        </w:tc>
        <w:tc>
          <w:tcPr/>
          <w:p>
            <w:pPr>
              <w:pStyle w:val="Compact"/>
            </w:pPr>
            <w:r>
              <w:t xml:space="preserve">low</w:t>
            </w:r>
          </w:p>
        </w:tc>
      </w:tr>
      <w:tr>
        <w:tc>
          <w:tcPr/>
          <w:p>
            <w:pPr>
              <w:pStyle w:val="Compact"/>
            </w:pPr>
            <w:r>
              <w:t xml:space="preserve">237</w:t>
            </w:r>
          </w:p>
        </w:tc>
        <w:tc>
          <w:tcPr/>
          <w:p>
            <w:pPr>
              <w:pStyle w:val="Compact"/>
            </w:pPr>
            <w:r>
              <w:t xml:space="preserve">0.0</w:t>
            </w:r>
          </w:p>
        </w:tc>
        <w:tc>
          <w:tcPr/>
          <w:p>
            <w:pPr>
              <w:pStyle w:val="Compact"/>
            </w:pPr>
            <w:r>
              <w:t xml:space="preserve">0.0</w:t>
            </w:r>
          </w:p>
        </w:tc>
        <w:tc>
          <w:tcPr/>
          <w:p>
            <w:pPr>
              <w:pStyle w:val="Compact"/>
            </w:pPr>
            <w:r>
              <w:t xml:space="preserve">0.001</w:t>
            </w:r>
          </w:p>
        </w:tc>
        <w:tc>
          <w:tcPr/>
          <w:p>
            <w:pPr>
              <w:pStyle w:val="Compact"/>
            </w:pPr>
            <w:r>
              <w:t xml:space="preserve">1.05</w:t>
            </w:r>
          </w:p>
        </w:tc>
        <w:tc>
          <w:tcPr/>
          <w:p>
            <w:pPr>
              <w:pStyle w:val="Compact"/>
            </w:pPr>
            <w:r>
              <w:t xml:space="preserve">low</w:t>
            </w:r>
          </w:p>
        </w:tc>
        <w:tc>
          <w:tcPr/>
          <w:p>
            <w:pPr>
              <w:pStyle w:val="Compact"/>
            </w:pPr>
            <w:r>
              <w:t xml:space="preserve">low</w:t>
            </w:r>
          </w:p>
        </w:tc>
      </w:tr>
      <w:tr>
        <w:tc>
          <w:tcPr/>
          <w:p>
            <w:pPr>
              <w:pStyle w:val="Compact"/>
            </w:pPr>
            <w:r>
              <w:t xml:space="preserve">20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50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40</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179</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183</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195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206</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208</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249</w:t>
            </w:r>
          </w:p>
        </w:tc>
        <w:tc>
          <w:tcPr/>
          <w:p>
            <w:pPr>
              <w:pStyle w:val="Compact"/>
            </w:pPr>
            <w:r>
              <w:t xml:space="preserve">0.0</w:t>
            </w:r>
          </w:p>
        </w:tc>
        <w:tc>
          <w:tcPr/>
          <w:p>
            <w:pPr>
              <w:pStyle w:val="Compact"/>
            </w:pPr>
            <w:r>
              <w:t xml:space="preserve">0.122</w:t>
            </w:r>
          </w:p>
        </w:tc>
        <w:tc>
          <w:tcPr/>
          <w:p>
            <w:pPr>
              <w:pStyle w:val="Compact"/>
            </w:pPr>
            <w:r>
              <w:t xml:space="preserve">0.533</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bl>
    <w:bookmarkEnd w:id="166"/>
    <w:bookmarkStart w:id="167" w:name="X514ef38f2df5d3fe48656593e9361161d514c31"/>
    <w:p>
      <w:pPr>
        <w:pStyle w:val="Heading2"/>
      </w:pPr>
      <w:r>
        <w:t xml:space="preserve">Appendix I. Section-to-script map and reproduction</w:t>
      </w:r>
    </w:p>
    <w:p>
      <w:pPr>
        <w:pStyle w:val="FirstParagraph"/>
      </w:pPr>
      <w:r>
        <w:t xml:space="preserve">The analysis code, the cached result artifacts and this paper’s figure and table generators are archived at</w:t>
      </w:r>
    </w:p>
    <w:p>
      <w:pPr>
        <w:pStyle w:val="BlockText"/>
      </w:pPr>
      <w:r>
        <w:rPr>
          <w:b/>
          <w:bCs/>
        </w:rPr>
        <w:t xml:space="preserve">[REPOSITORY URL AND RELEASE TAG TO BE INSERTED BEFORE SUBMISSION]</w:t>
      </w:r>
    </w:p>
    <w:p>
      <w:pPr>
        <w:pStyle w:val="FirstParagraph"/>
      </w:pPr>
      <w:r>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w:t>
      </w:r>
      <w:r>
        <w:t xml:space="preserve"> </w:t>
      </w:r>
      <w:r>
        <w:rPr>
          <w:rStyle w:val="VerbatimChar"/>
        </w:rPr>
        <w:t xml:space="preserve">provenance.py --check</w:t>
      </w:r>
      <w:r>
        <w:t xml:space="preserve"> </w:t>
      </w:r>
      <w:r>
        <w:t xml:space="preserve">confirms that the environment matches the one that produced the cached results, and</w:t>
      </w:r>
      <w:r>
        <w:t xml:space="preserve"> </w:t>
      </w:r>
      <w:r>
        <w:rPr>
          <w:rStyle w:val="VerbatimChar"/>
        </w:rPr>
        <w:t xml:space="preserve">validate_artifacts.py</w:t>
      </w:r>
      <w:r>
        <w:t xml:space="preserve"> </w:t>
      </w:r>
      <w:r>
        <w:t xml:space="preserve">cross-checks the written numbers against the artifacts.</w:t>
      </w:r>
    </w:p>
    <w:p>
      <w:pPr>
        <w:pStyle w:val="BodyText"/>
      </w:pPr>
      <w:r>
        <w:t xml:space="preserve">Each script writes</w:t>
      </w:r>
      <w:r>
        <w:t xml:space="preserve"> </w:t>
      </w:r>
      <w:r>
        <w:rPr>
          <w:rStyle w:val="VerbatimChar"/>
        </w:rPr>
        <w:t xml:space="preserve">Net3/baseline_cache/&lt;script name&gt;.json</w:t>
      </w:r>
      <w:r>
        <w:t xml:space="preserve">, so the artifact column that would</w:t>
      </w:r>
      <w:r>
        <w:t xml:space="preserve"> </w:t>
      </w:r>
      <w:r>
        <w:t xml:space="preserve">otherwise repeat this table is omitted. Five entries depart from that naming rule.</w:t>
      </w:r>
      <w:r>
        <w:t xml:space="preserve"> </w:t>
      </w:r>
      <w:r>
        <w:rPr>
          <w:rStyle w:val="VerbatimChar"/>
        </w:rPr>
        <w:t xml:space="preserve">step1_freeze_baseline.py</w:t>
      </w:r>
      <w:r>
        <w:t xml:space="preserve"> </w:t>
      </w:r>
      <w:r>
        <w:t xml:space="preserve">writes</w:t>
      </w:r>
      <w:r>
        <w:t xml:space="preserve"> </w:t>
      </w:r>
      <w:r>
        <w:rPr>
          <w:rStyle w:val="VerbatimChar"/>
        </w:rPr>
        <w:t xml:space="preserve">baseline_meta.json</w:t>
      </w:r>
      <w:r>
        <w:t xml:space="preserve"> </w:t>
      </w:r>
      <w:r>
        <w:t xml:space="preserve">and</w:t>
      </w:r>
      <w:r>
        <w:t xml:space="preserve"> </w:t>
      </w:r>
      <w:r>
        <w:rPr>
          <w:rStyle w:val="VerbatimChar"/>
        </w:rPr>
        <w:t xml:space="preserve">baseline.npz</w:t>
      </w:r>
      <w:r>
        <w:t xml:space="preserve">;</w:t>
      </w:r>
      <w:r>
        <w:t xml:space="preserve"> </w:t>
      </w:r>
      <w:r>
        <w:rPr>
          <w:rStyle w:val="VerbatimChar"/>
        </w:rPr>
        <w:t xml:space="preserve">step3_threshold_sensitivity.py</w:t>
      </w:r>
      <w:r>
        <w:t xml:space="preserve"> </w:t>
      </w:r>
      <w:r>
        <w:t xml:space="preserve">writes</w:t>
      </w:r>
      <w:r>
        <w:t xml:space="preserve"> </w:t>
      </w:r>
      <w:r>
        <w:rPr>
          <w:rStyle w:val="VerbatimChar"/>
        </w:rPr>
        <w:t xml:space="preserve">step3_threshold.json</w:t>
      </w:r>
      <w:r>
        <w:t xml:space="preserve">;</w:t>
      </w:r>
      <w:r>
        <w:t xml:space="preserve"> </w:t>
      </w:r>
      <w:r>
        <w:rPr>
          <w:rStyle w:val="VerbatimChar"/>
        </w:rPr>
        <w:t xml:space="preserve">step12_scenarios.py</w:t>
      </w:r>
      <w:r>
        <w:t xml:space="preserve"> </w:t>
      </w:r>
      <w:r>
        <w:t xml:space="preserve">also writes</w:t>
      </w:r>
      <w:r>
        <w:t xml:space="preserve"> </w:t>
      </w:r>
      <w:r>
        <w:rPr>
          <w:rStyle w:val="VerbatimChar"/>
        </w:rPr>
        <w:t xml:space="preserve">step12_risk_register.csv</w:t>
      </w:r>
      <w:r>
        <w:t xml:space="preserve">;</w:t>
      </w:r>
      <w:r>
        <w:t xml:space="preserve"> </w:t>
      </w:r>
      <w:r>
        <w:rPr>
          <w:rStyle w:val="VerbatimChar"/>
        </w:rPr>
        <w:t xml:space="preserve">paper_figs.py</w:t>
      </w:r>
      <w:r>
        <w:t xml:space="preserve"> </w:t>
      </w:r>
      <w:r>
        <w:t xml:space="preserve">and</w:t>
      </w:r>
      <w:r>
        <w:t xml:space="preserve"> </w:t>
      </w:r>
      <w:r>
        <w:rPr>
          <w:rStyle w:val="VerbatimChar"/>
        </w:rPr>
        <w:t xml:space="preserve">appendix_tables.py</w:t>
      </w:r>
      <w:r>
        <w:t xml:space="preserve"> </w:t>
      </w:r>
      <w:r>
        <w:t xml:space="preserve">write into</w:t>
      </w:r>
      <w:r>
        <w:t xml:space="preserve"> </w:t>
      </w:r>
      <w:r>
        <w:rPr>
          <w:rStyle w:val="VerbatimChar"/>
        </w:rPr>
        <w:t xml:space="preserve">Net3/Figures/paper/</w:t>
      </w:r>
      <w:r>
        <w:t xml:space="preserve">; and</w:t>
      </w:r>
      <w:r>
        <w:t xml:space="preserve"> </w:t>
      </w:r>
      <w:r>
        <w:rPr>
          <w:rStyle w:val="VerbatimChar"/>
        </w:rPr>
        <w:t xml:space="preserve">provenance.py</w:t>
      </w:r>
      <w:r>
        <w:t xml:space="preserve"> </w:t>
      </w:r>
      <w:r>
        <w:t xml:space="preserve">writes</w:t>
      </w:r>
      <w:r>
        <w:t xml:space="preserve"> </w:t>
      </w:r>
      <w:r>
        <w:rPr>
          <w:rStyle w:val="VerbatimChar"/>
        </w:rPr>
        <w:t xml:space="preserve">cache_manifest.json</w:t>
      </w:r>
      <w:r>
        <w:t xml:space="preserve">, which</w:t>
      </w:r>
      <w:r>
        <w:t xml:space="preserve"> </w:t>
      </w:r>
      <w:r>
        <w:rPr>
          <w:rStyle w:val="VerbatimChar"/>
        </w:rPr>
        <w:t xml:space="preserve">validate_artifacts.py</w:t>
      </w:r>
      <w:r>
        <w:t xml:space="preserve"> </w:t>
      </w:r>
      <w:r>
        <w:t xml:space="preserve">reads without writing an artifact of its own.</w:t>
      </w:r>
    </w:p>
    <w:p>
      <w:pPr>
        <w:pStyle w:val="BodyText"/>
      </w:pPr>
      <w:r>
        <w:t xml:space="preserve">One dependency crosses sections and is easy to miss when reproducing a single result. Every</w:t>
      </w:r>
      <w:r>
        <w:t xml:space="preserve"> </w:t>
      </w:r>
      <w:r>
        <w:t xml:space="preserve">displacement reported in baseline posterior standard deviations is divided by the median</w:t>
      </w:r>
      <w:r>
        <w:t xml:space="preserve"> </w:t>
      </w:r>
      <w:r>
        <w:t xml:space="preserve">posterior standard deviation over 30 noise realisations at the baseline noise level, which</w:t>
      </w:r>
      <w:r>
        <w:t xml:space="preserve"> </w:t>
      </w:r>
      <w:r>
        <w:rPr>
          <w:rStyle w:val="VerbatimChar"/>
        </w:rPr>
        <w:t xml:space="preserve">step6_noise_sensitivity.py</w:t>
      </w:r>
      <w:r>
        <w:t xml:space="preserve"> </w:t>
      </w:r>
      <w:r>
        <w:t xml:space="preserve">writes, and not by the standard deviation of the run being reported.</w:t>
      </w:r>
    </w:p>
    <w:tbl>
      <w:tblPr>
        <w:tblStyle w:val="Table"/>
        <w:tblW w:type="pct" w:w="5000"/>
        <w:tblLayout w:type="fixed"/>
        <w:tblLook w:firstRow="1" w:lastRow="0" w:firstColumn="0" w:lastColumn="0" w:noHBand="0" w:noVBand="0" w:val="0020"/>
      </w:tblPr>
      <w:tblGrid>
        <w:gridCol w:w="2169"/>
        <w:gridCol w:w="5750"/>
      </w:tblGrid>
      <w:tr>
        <w:trPr>
          <w:tblHeader w:val="on"/>
        </w:trPr>
        <w:tc>
          <w:tcPr/>
          <w:p>
            <w:pPr>
              <w:pStyle w:val="Compact"/>
            </w:pPr>
            <w:r>
              <w:t xml:space="preserve">Paper section</w:t>
            </w:r>
          </w:p>
        </w:tc>
        <w:tc>
          <w:tcPr/>
          <w:p>
            <w:pPr>
              <w:pStyle w:val="Compact"/>
            </w:pPr>
            <w:r>
              <w:t xml:space="preserve">Script</w:t>
            </w:r>
          </w:p>
        </w:tc>
      </w:tr>
      <w:tr>
        <w:tc>
          <w:tcPr/>
          <w:p>
            <w:pPr>
              <w:pStyle w:val="Compact"/>
            </w:pPr>
            <w:r>
              <w:t xml:space="preserve">2.2.2, Appendix A</w:t>
            </w:r>
          </w:p>
        </w:tc>
        <w:tc>
          <w:tcPr/>
          <w:p>
            <w:pPr>
              <w:pStyle w:val="Compact"/>
            </w:pPr>
            <w:r>
              <w:rPr>
                <w:rStyle w:val="VerbatimChar"/>
              </w:rPr>
              <w:t xml:space="preserve">step0_warmup_convergence.py</w:t>
            </w:r>
          </w:p>
        </w:tc>
      </w:tr>
      <w:tr>
        <w:tc>
          <w:tcPr/>
          <w:p>
            <w:pPr>
              <w:pStyle w:val="Compact"/>
            </w:pPr>
            <w:r>
              <w:t xml:space="preserve">2.2.4, Appendix B</w:t>
            </w:r>
          </w:p>
        </w:tc>
        <w:tc>
          <w:tcPr/>
          <w:p>
            <w:pPr>
              <w:pStyle w:val="Compact"/>
            </w:pPr>
            <w:r>
              <w:rPr>
                <w:rStyle w:val="VerbatimChar"/>
              </w:rPr>
              <w:t xml:space="preserve">step13_known_answer.py</w:t>
            </w:r>
            <w:r>
              <w:t xml:space="preserve">,</w:t>
            </w:r>
            <w:r>
              <w:t xml:space="preserve"> </w:t>
            </w:r>
            <w:r>
              <w:rPr>
                <w:rStyle w:val="VerbatimChar"/>
              </w:rPr>
              <w:t xml:space="preserve">step15_unit_equivalence.py</w:t>
            </w:r>
          </w:p>
        </w:tc>
      </w:tr>
      <w:tr>
        <w:tc>
          <w:tcPr/>
          <w:p>
            <w:pPr>
              <w:pStyle w:val="Compact"/>
            </w:pPr>
            <w:r>
              <w:t xml:space="preserve">2.3, 3.2.1</w:t>
            </w:r>
          </w:p>
        </w:tc>
        <w:tc>
          <w:tcPr/>
          <w:p>
            <w:pPr>
              <w:pStyle w:val="Compact"/>
            </w:pPr>
            <w:r>
              <w:rPr>
                <w:rStyle w:val="VerbatimChar"/>
              </w:rPr>
              <w:t xml:space="preserve">step1_freeze_baseline.py</w:t>
            </w:r>
          </w:p>
        </w:tc>
      </w:tr>
      <w:tr>
        <w:tc>
          <w:tcPr/>
          <w:p>
            <w:pPr>
              <w:pStyle w:val="Compact"/>
            </w:pPr>
            <w:r>
              <w:t xml:space="preserve">3.2.2, Appendix C</w:t>
            </w:r>
          </w:p>
        </w:tc>
        <w:tc>
          <w:tcPr/>
          <w:p>
            <w:pPr>
              <w:pStyle w:val="Compact"/>
            </w:pPr>
            <w:r>
              <w:rPr>
                <w:rStyle w:val="VerbatimChar"/>
              </w:rPr>
              <w:t xml:space="preserve">step3_threshold_sensitivity.py</w:t>
            </w:r>
            <w:r>
              <w:t xml:space="preserve">,</w:t>
            </w:r>
            <w:r>
              <w:t xml:space="preserve"> </w:t>
            </w:r>
            <w:r>
              <w:rPr>
                <w:rStyle w:val="VerbatimChar"/>
              </w:rPr>
              <w:t xml:space="preserve">step4d_displaced_robust.py</w:t>
            </w:r>
          </w:p>
        </w:tc>
      </w:tr>
      <w:tr>
        <w:tc>
          <w:tcPr/>
          <w:p>
            <w:pPr>
              <w:pStyle w:val="Compact"/>
            </w:pPr>
            <w:r>
              <w:t xml:space="preserve">2.4.3, 3.3.3, Appendix D</w:t>
            </w:r>
          </w:p>
        </w:tc>
        <w:tc>
          <w:tcPr/>
          <w:p>
            <w:pPr>
              <w:pStyle w:val="Compact"/>
            </w:pPr>
            <w:r>
              <w:rPr>
                <w:rStyle w:val="VerbatimChar"/>
              </w:rPr>
              <w:t xml:space="preserve">step7_fisher.py</w:t>
            </w:r>
          </w:p>
        </w:tc>
      </w:tr>
      <w:tr>
        <w:tc>
          <w:tcPr/>
          <w:p>
            <w:pPr>
              <w:pStyle w:val="Compact"/>
            </w:pPr>
            <w:r>
              <w:t xml:space="preserve">2.4.4, 3.2.3</w:t>
            </w:r>
          </w:p>
        </w:tc>
        <w:tc>
          <w:tcPr/>
          <w:p>
            <w:pPr>
              <w:pStyle w:val="Compact"/>
            </w:pPr>
            <w:r>
              <w:rPr>
                <w:rStyle w:val="VerbatimChar"/>
              </w:rPr>
              <w:t xml:space="preserve">step7b_profile.py</w:t>
            </w:r>
          </w:p>
        </w:tc>
      </w:tr>
      <w:tr>
        <w:tc>
          <w:tcPr/>
          <w:p>
            <w:pPr>
              <w:pStyle w:val="Compact"/>
            </w:pPr>
            <w:r>
              <w:t xml:space="preserve">2.5.1, 3.3.1, and the standardising denominator for 3.3.2, 3.4 and 3.6.2</w:t>
            </w:r>
          </w:p>
        </w:tc>
        <w:tc>
          <w:tcPr/>
          <w:p>
            <w:pPr>
              <w:pStyle w:val="Compact"/>
            </w:pPr>
            <w:r>
              <w:rPr>
                <w:rStyle w:val="VerbatimChar"/>
              </w:rPr>
              <w:t xml:space="preserve">step6_noise_sensitivity.py</w:t>
            </w:r>
          </w:p>
        </w:tc>
      </w:tr>
      <w:tr>
        <w:tc>
          <w:tcPr/>
          <w:p>
            <w:pPr>
              <w:pStyle w:val="Compact"/>
            </w:pPr>
            <w:r>
              <w:t xml:space="preserve">2.5.2, 3.3.1</w:t>
            </w:r>
          </w:p>
        </w:tc>
        <w:tc>
          <w:tcPr/>
          <w:p>
            <w:pPr>
              <w:pStyle w:val="Compact"/>
            </w:pPr>
            <w:r>
              <w:rPr>
                <w:rStyle w:val="VerbatimChar"/>
              </w:rPr>
              <w:t xml:space="preserve">step7c_ar1.py</w:t>
            </w:r>
            <w:r>
              <w:t xml:space="preserve">,</w:t>
            </w:r>
            <w:r>
              <w:t xml:space="preserve"> </w:t>
            </w:r>
            <w:r>
              <w:rPr>
                <w:rStyle w:val="VerbatimChar"/>
              </w:rPr>
              <w:t xml:space="preserve">step7c_profile_ar1.py</w:t>
            </w:r>
          </w:p>
        </w:tc>
      </w:tr>
      <w:tr>
        <w:tc>
          <w:tcPr/>
          <w:p>
            <w:pPr>
              <w:pStyle w:val="Compact"/>
            </w:pPr>
            <w:r>
              <w:t xml:space="preserve">2.5.3, 3.3.2, 3.6.2, Appendix F</w:t>
            </w:r>
          </w:p>
        </w:tc>
        <w:tc>
          <w:tcPr/>
          <w:p>
            <w:pPr>
              <w:pStyle w:val="Compact"/>
            </w:pPr>
            <w:r>
              <w:rPr>
                <w:rStyle w:val="VerbatimChar"/>
              </w:rPr>
              <w:t xml:space="preserve">step8_sensor_bias.py</w:t>
            </w:r>
            <w:r>
              <w:t xml:space="preserve">,</w:t>
            </w:r>
            <w:r>
              <w:t xml:space="preserve"> </w:t>
            </w:r>
            <w:r>
              <w:rPr>
                <w:rStyle w:val="VerbatimChar"/>
              </w:rPr>
              <w:t xml:space="preserve">step8c_bias_bynode.py</w:t>
            </w:r>
            <w:r>
              <w:t xml:space="preserve">,</w:t>
            </w:r>
            <w:r>
              <w:t xml:space="preserve"> </w:t>
            </w:r>
            <w:r>
              <w:rPr>
                <w:rStyle w:val="VerbatimChar"/>
              </w:rPr>
              <w:t xml:space="preserve">step8d_sensor_drift.py</w:t>
            </w:r>
          </w:p>
        </w:tc>
      </w:tr>
      <w:tr>
        <w:tc>
          <w:tcPr/>
          <w:p>
            <w:pPr>
              <w:pStyle w:val="Compact"/>
            </w:pPr>
            <w:r>
              <w:t xml:space="preserve">2.5.5, 3.3.3, 3.6.2</w:t>
            </w:r>
          </w:p>
        </w:tc>
        <w:tc>
          <w:tcPr/>
          <w:p>
            <w:pPr>
              <w:pStyle w:val="Compact"/>
            </w:pPr>
            <w:r>
              <w:rPr>
                <w:rStyle w:val="VerbatimChar"/>
              </w:rPr>
              <w:t xml:space="preserve">step8b_kb_sensitivity.py</w:t>
            </w:r>
          </w:p>
        </w:tc>
      </w:tr>
      <w:tr>
        <w:tc>
          <w:tcPr/>
          <w:p>
            <w:pPr>
              <w:pStyle w:val="Compact"/>
            </w:pPr>
            <w:r>
              <w:t xml:space="preserve">2.6, 3.4, Appendix E</w:t>
            </w:r>
          </w:p>
        </w:tc>
        <w:tc>
          <w:tcPr/>
          <w:p>
            <w:pPr>
              <w:pStyle w:val="Compact"/>
            </w:pPr>
            <w:r>
              <w:rPr>
                <w:rStyle w:val="VerbatimChar"/>
              </w:rPr>
              <w:t xml:space="preserve">step5_structural_error.py</w:t>
            </w:r>
            <w:r>
              <w:t xml:space="preserve">,</w:t>
            </w:r>
            <w:r>
              <w:t xml:space="preserve"> </w:t>
            </w:r>
            <w:r>
              <w:rPr>
                <w:rStyle w:val="VerbatimChar"/>
              </w:rPr>
              <w:t xml:space="preserve">step5c_jitter_sweep.py</w:t>
            </w:r>
            <w:r>
              <w:t xml:space="preserve">,</w:t>
            </w:r>
            <w:r>
              <w:t xml:space="preserve"> </w:t>
            </w:r>
            <w:r>
              <w:rPr>
                <w:rStyle w:val="VerbatimChar"/>
              </w:rPr>
              <w:t xml:space="preserve">step5d_structured.py</w:t>
            </w:r>
          </w:p>
        </w:tc>
      </w:tr>
      <w:tr>
        <w:tc>
          <w:tcPr/>
          <w:p>
            <w:pPr>
              <w:pStyle w:val="Compact"/>
            </w:pPr>
            <w:r>
              <w:t xml:space="preserve">2.7, 3.5</w:t>
            </w:r>
          </w:p>
        </w:tc>
        <w:tc>
          <w:tcPr/>
          <w:p>
            <w:pPr>
              <w:pStyle w:val="Compact"/>
            </w:pPr>
            <w:r>
              <w:rPr>
                <w:rStyle w:val="VerbatimChar"/>
              </w:rPr>
              <w:t xml:space="preserve">step11_loo.py</w:t>
            </w:r>
          </w:p>
        </w:tc>
      </w:tr>
      <w:tr>
        <w:tc>
          <w:tcPr/>
          <w:p>
            <w:pPr>
              <w:pStyle w:val="Compact"/>
            </w:pPr>
            <w:r>
              <w:t xml:space="preserve">2.8, 3.6, Appendices G and H</w:t>
            </w:r>
          </w:p>
        </w:tc>
        <w:tc>
          <w:tcPr/>
          <w:p>
            <w:pPr>
              <w:pStyle w:val="Compact"/>
            </w:pPr>
            <w:r>
              <w:rPr>
                <w:rStyle w:val="VerbatimChar"/>
              </w:rPr>
              <w:t xml:space="preserve">step10_risk_metrics.py</w:t>
            </w:r>
            <w:r>
              <w:t xml:space="preserve">,</w:t>
            </w:r>
            <w:r>
              <w:t xml:space="preserve"> </w:t>
            </w:r>
            <w:r>
              <w:rPr>
                <w:rStyle w:val="VerbatimChar"/>
              </w:rPr>
              <w:t xml:space="preserve">step12_scenarios.py</w:t>
            </w:r>
          </w:p>
        </w:tc>
      </w:tr>
      <w:tr>
        <w:tc>
          <w:tcPr/>
          <w:p>
            <w:pPr>
              <w:pStyle w:val="Compact"/>
            </w:pPr>
            <w:r>
              <w:t xml:space="preserve">3.2.3 (repeated-noise calibration)</w:t>
            </w:r>
          </w:p>
        </w:tc>
        <w:tc>
          <w:tcPr/>
          <w:p>
            <w:pPr>
              <w:pStyle w:val="Compact"/>
            </w:pPr>
            <w:r>
              <w:rPr>
                <w:rStyle w:val="VerbatimChar"/>
              </w:rPr>
              <w:t xml:space="preserve">step14_repeated_noise.py</w:t>
            </w:r>
          </w:p>
        </w:tc>
      </w:tr>
      <w:tr>
        <w:tc>
          <w:tcPr/>
          <w:p>
            <w:pPr>
              <w:pStyle w:val="Compact"/>
            </w:pPr>
            <w:r>
              <w:t xml:space="preserve">Figures 1 to 7, Tables 1 and 3 to 5</w:t>
            </w:r>
          </w:p>
        </w:tc>
        <w:tc>
          <w:tcPr/>
          <w:p>
            <w:pPr>
              <w:pStyle w:val="Compact"/>
            </w:pPr>
            <w:r>
              <w:rPr>
                <w:rStyle w:val="VerbatimChar"/>
              </w:rPr>
              <w:t xml:space="preserve">paper_figs.py</w:t>
            </w:r>
          </w:p>
        </w:tc>
      </w:tr>
      <w:tr>
        <w:tc>
          <w:tcPr/>
          <w:p>
            <w:pPr>
              <w:pStyle w:val="Compact"/>
            </w:pPr>
            <w:r>
              <w:t xml:space="preserve">Appendix tables</w:t>
            </w:r>
          </w:p>
        </w:tc>
        <w:tc>
          <w:tcPr/>
          <w:p>
            <w:pPr>
              <w:pStyle w:val="Compact"/>
            </w:pPr>
            <w:r>
              <w:rPr>
                <w:rStyle w:val="VerbatimChar"/>
              </w:rPr>
              <w:t xml:space="preserve">appendix_tables.py</w:t>
            </w:r>
          </w:p>
        </w:tc>
      </w:tr>
      <w:tr>
        <w:tc>
          <w:tcPr/>
          <w:p>
            <w:pPr>
              <w:pStyle w:val="Compact"/>
            </w:pPr>
            <w:r>
              <w:t xml:space="preserve">Provenance and verification</w:t>
            </w:r>
          </w:p>
        </w:tc>
        <w:tc>
          <w:tcPr/>
          <w:p>
            <w:pPr>
              <w:pStyle w:val="Compact"/>
            </w:pPr>
            <w:r>
              <w:rPr>
                <w:rStyle w:val="VerbatimChar"/>
              </w:rPr>
              <w:t xml:space="preserve">provenance.py</w:t>
            </w:r>
            <w:r>
              <w:t xml:space="preserve">,</w:t>
            </w:r>
            <w:r>
              <w:t xml:space="preserve"> </w:t>
            </w:r>
            <w:r>
              <w:rPr>
                <w:rStyle w:val="VerbatimChar"/>
              </w:rPr>
              <w:t xml:space="preserve">validate_artifacts.py</w:t>
            </w:r>
          </w:p>
        </w:tc>
      </w:tr>
    </w:tbl>
    <w:bookmarkEnd w:id="167"/>
    <w:bookmarkEnd w:id="168"/>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hyperlink" Id="rId106" Target="https://claude.ai" TargetMode="External" /><Relationship Type="http://schemas.openxmlformats.org/officeDocument/2006/relationships/hyperlink" Id="rId110" Target="https://doi.org/10.1002/hyp.10082" TargetMode="External" /><Relationship Type="http://schemas.openxmlformats.org/officeDocument/2006/relationships/hyperlink" Id="rId108" Target="https://doi.org/10.1002/hyp.3360060305" TargetMode="External" /><Relationship Type="http://schemas.openxmlformats.org/officeDocument/2006/relationships/hyperlink" Id="rId150" Target="https://doi.org/10.1002/j.1551-8833.1997.tb08259.x" TargetMode="External" /><Relationship Type="http://schemas.openxmlformats.org/officeDocument/2006/relationships/hyperlink" Id="rId132" Target="https://doi.org/10.1006/jcom.1998.0487" TargetMode="External" /><Relationship Type="http://schemas.openxmlformats.org/officeDocument/2006/relationships/hyperlink" Id="rId146" Target="https://doi.org/10.1016/0041-5553(67)90144-9" TargetMode="External" /><Relationship Type="http://schemas.openxmlformats.org/officeDocument/2006/relationships/hyperlink" Id="rId116" Target="https://doi.org/10.1016/S0043-1354(02)00056-8" TargetMode="External" /><Relationship Type="http://schemas.openxmlformats.org/officeDocument/2006/relationships/hyperlink" Id="rId118" Target="https://doi.org/10.1016/S0043-1354(98)00519-3" TargetMode="External" /><Relationship Type="http://schemas.openxmlformats.org/officeDocument/2006/relationships/hyperlink" Id="rId136" Target="https://doi.org/10.1016/S0043-1354(99)00097-4" TargetMode="External" /><Relationship Type="http://schemas.openxmlformats.org/officeDocument/2006/relationships/hyperlink" Id="rId124" Target="https://doi.org/10.1016/j.envsoft.2017.06.022" TargetMode="External" /><Relationship Type="http://schemas.openxmlformats.org/officeDocument/2006/relationships/hyperlink" Id="rId126" Target="https://doi.org/10.1016/j.jhydrol.2006.04.046" TargetMode="External" /><Relationship Type="http://schemas.openxmlformats.org/officeDocument/2006/relationships/hyperlink" Id="rId134" Target="https://doi.org/10.1016/j.mex.2019.03.008" TargetMode="External" /><Relationship Type="http://schemas.openxmlformats.org/officeDocument/2006/relationships/hyperlink" Id="rId130" Target="https://doi.org/10.1016/j.proeng.2014.02.135" TargetMode="External" /><Relationship Type="http://schemas.openxmlformats.org/officeDocument/2006/relationships/hyperlink" Id="rId112" Target="https://doi.org/10.1029/2000WR900350" TargetMode="External" /><Relationship Type="http://schemas.openxmlformats.org/officeDocument/2006/relationships/hyperlink" Id="rId148" Target="https://doi.org/10.1029/2008WR006822" TargetMode="External" /><Relationship Type="http://schemas.openxmlformats.org/officeDocument/2006/relationships/hyperlink" Id="rId143" Target="https://doi.org/10.1061/(ASCE)0733-9372(1994)120:4(803)" TargetMode="External" /><Relationship Type="http://schemas.openxmlformats.org/officeDocument/2006/relationships/hyperlink" Id="rId128" Target="https://doi.org/10.1061/(ASCE)0733-9496(2003)129:2(124)" TargetMode="External" /><Relationship Type="http://schemas.openxmlformats.org/officeDocument/2006/relationships/hyperlink" Id="rId120" Target="https://doi.org/10.1061/(ASCE)WR.1943-5452.0000325" TargetMode="External" /><Relationship Type="http://schemas.openxmlformats.org/officeDocument/2006/relationships/hyperlink" Id="rId138" Target="https://doi.org/10.1061/(ASCE)WR.1943-5452.0001118" TargetMode="External" /><Relationship Type="http://schemas.openxmlformats.org/officeDocument/2006/relationships/hyperlink" Id="rId140" Target="https://doi.org/10.1093/bioinformatics/btp358" TargetMode="External" /><Relationship Type="http://schemas.openxmlformats.org/officeDocument/2006/relationships/hyperlink" Id="rId122" Target="https://doi.org/10.15131/shef.data.29921225" TargetMode="External" /><Relationship Type="http://schemas.openxmlformats.org/officeDocument/2006/relationships/hyperlink" Id="rId104" Target="https://doi.org/10.3390/engproc2024069144" TargetMode="External" /><Relationship Type="http://schemas.openxmlformats.org/officeDocument/2006/relationships/hyperlink" Id="rId114" Target="https://doi.org/10.3390/pr11030676" TargetMode="External" /><Relationship Type="http://schemas.openxmlformats.org/officeDocument/2006/relationships/hyperlink" Id="rId154" Target="https://doi.org/10.5194/hess-26-1203-2022" TargetMode="External" /><Relationship Type="http://schemas.openxmlformats.org/officeDocument/2006/relationships/hyperlink" Id="rId152" Target="https://usepa.github.io/WNTR/units.html" TargetMode="External" /></Relationships>
</file>

<file path=word/_rels/footnotes.xml.rels><?xml version="1.0" encoding="UTF-8"?><Relationships xmlns="http://schemas.openxmlformats.org/package/2006/relationships"><Relationship Type="http://schemas.openxmlformats.org/officeDocument/2006/relationships/hyperlink" Id="rId106" Target="https://claude.ai" TargetMode="External" /><Relationship Type="http://schemas.openxmlformats.org/officeDocument/2006/relationships/hyperlink" Id="rId110" Target="https://doi.org/10.1002/hyp.10082" TargetMode="External" /><Relationship Type="http://schemas.openxmlformats.org/officeDocument/2006/relationships/hyperlink" Id="rId108" Target="https://doi.org/10.1002/hyp.3360060305" TargetMode="External" /><Relationship Type="http://schemas.openxmlformats.org/officeDocument/2006/relationships/hyperlink" Id="rId150" Target="https://doi.org/10.1002/j.1551-8833.1997.tb08259.x" TargetMode="External" /><Relationship Type="http://schemas.openxmlformats.org/officeDocument/2006/relationships/hyperlink" Id="rId132" Target="https://doi.org/10.1006/jcom.1998.0487" TargetMode="External" /><Relationship Type="http://schemas.openxmlformats.org/officeDocument/2006/relationships/hyperlink" Id="rId146" Target="https://doi.org/10.1016/0041-5553(67)90144-9" TargetMode="External" /><Relationship Type="http://schemas.openxmlformats.org/officeDocument/2006/relationships/hyperlink" Id="rId116" Target="https://doi.org/10.1016/S0043-1354(02)00056-8" TargetMode="External" /><Relationship Type="http://schemas.openxmlformats.org/officeDocument/2006/relationships/hyperlink" Id="rId118" Target="https://doi.org/10.1016/S0043-1354(98)00519-3" TargetMode="External" /><Relationship Type="http://schemas.openxmlformats.org/officeDocument/2006/relationships/hyperlink" Id="rId136" Target="https://doi.org/10.1016/S0043-1354(99)00097-4" TargetMode="External" /><Relationship Type="http://schemas.openxmlformats.org/officeDocument/2006/relationships/hyperlink" Id="rId124" Target="https://doi.org/10.1016/j.envsoft.2017.06.022" TargetMode="External" /><Relationship Type="http://schemas.openxmlformats.org/officeDocument/2006/relationships/hyperlink" Id="rId126" Target="https://doi.org/10.1016/j.jhydrol.2006.04.046" TargetMode="External" /><Relationship Type="http://schemas.openxmlformats.org/officeDocument/2006/relationships/hyperlink" Id="rId134" Target="https://doi.org/10.1016/j.mex.2019.03.008" TargetMode="External" /><Relationship Type="http://schemas.openxmlformats.org/officeDocument/2006/relationships/hyperlink" Id="rId130" Target="https://doi.org/10.1016/j.proeng.2014.02.135" TargetMode="External" /><Relationship Type="http://schemas.openxmlformats.org/officeDocument/2006/relationships/hyperlink" Id="rId112" Target="https://doi.org/10.1029/2000WR900350" TargetMode="External" /><Relationship Type="http://schemas.openxmlformats.org/officeDocument/2006/relationships/hyperlink" Id="rId148" Target="https://doi.org/10.1029/2008WR006822" TargetMode="External" /><Relationship Type="http://schemas.openxmlformats.org/officeDocument/2006/relationships/hyperlink" Id="rId143" Target="https://doi.org/10.1061/(ASCE)0733-9372(1994)120:4(803)" TargetMode="External" /><Relationship Type="http://schemas.openxmlformats.org/officeDocument/2006/relationships/hyperlink" Id="rId128" Target="https://doi.org/10.1061/(ASCE)0733-9496(2003)129:2(124)" TargetMode="External" /><Relationship Type="http://schemas.openxmlformats.org/officeDocument/2006/relationships/hyperlink" Id="rId120" Target="https://doi.org/10.1061/(ASCE)WR.1943-5452.0000325" TargetMode="External" /><Relationship Type="http://schemas.openxmlformats.org/officeDocument/2006/relationships/hyperlink" Id="rId138" Target="https://doi.org/10.1061/(ASCE)WR.1943-5452.0001118" TargetMode="External" /><Relationship Type="http://schemas.openxmlformats.org/officeDocument/2006/relationships/hyperlink" Id="rId140" Target="https://doi.org/10.1093/bioinformatics/btp358" TargetMode="External" /><Relationship Type="http://schemas.openxmlformats.org/officeDocument/2006/relationships/hyperlink" Id="rId122" Target="https://doi.org/10.15131/shef.data.29921225" TargetMode="External" /><Relationship Type="http://schemas.openxmlformats.org/officeDocument/2006/relationships/hyperlink" Id="rId104" Target="https://doi.org/10.3390/engproc2024069144" TargetMode="External" /><Relationship Type="http://schemas.openxmlformats.org/officeDocument/2006/relationships/hyperlink" Id="rId114" Target="https://doi.org/10.3390/pr11030676" TargetMode="External" /><Relationship Type="http://schemas.openxmlformats.org/officeDocument/2006/relationships/hyperlink" Id="rId154" Target="https://doi.org/10.5194/hess-26-1203-2022" TargetMode="External" /><Relationship Type="http://schemas.openxmlformats.org/officeDocument/2006/relationships/hyperlink" Id="rId152" Target="https://usepa.github.io/WNTR/unit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dc:language>en-GB</dc:language>
  <cp:keywords/>
  <dcterms:created xsi:type="dcterms:W3CDTF">2026-08-12T13:29:30Z</dcterms:created>
  <dcterms:modified xsi:type="dcterms:W3CDTF">2026-08-12T13:29:30Z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