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8.png" ContentType="image/png"/>
  <Override PartName="/word/media/rId85.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estimator spreads 1.04 to 1.12 times the</w:t>
      </w:r>
      <w:r>
        <w:t xml:space="preserve"> </w:t>
      </w:r>
      <w:r>
        <w:t xml:space="preserve">Cramér–Rao bound. Systematic sensor error, bulk-decay misspecification and length-structured</w:t>
      </w:r>
      <w:r>
        <w:t xml:space="preserve"> </w:t>
      </w:r>
      <w:r>
        <w:t xml:space="preserve">heterogeneity displaced coefficients by up to six posterior standard deviations while aggregate</w:t>
      </w:r>
      <w:r>
        <w:t xml:space="preserve"> </w:t>
      </w:r>
      <w:r>
        <w:t xml:space="preserve">fit remained at the noise floor. Yet a withheld zone’s coefficient could revert entirely to its</w:t>
      </w:r>
      <w:r>
        <w:t xml:space="preserve"> </w:t>
      </w:r>
      <w:r>
        <w:t xml:space="preserve">prior with held-out prediction unchanged, and displacements of several standard deviations</w:t>
      </w:r>
      <w:r>
        <w:t xml:space="preserve"> </w:t>
      </w:r>
      <w:r>
        <w:t xml:space="preserve">largely preserved whole-network rank order, with Spearman rank correlation of 0.93 to 0.98 under bulk-decay misspecification, 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to identify</w:t>
      </w:r>
      <w:r>
        <w:t xml:space="preserve"> </w:t>
      </w:r>
      <w:r>
        <w:t xml:space="preserve">areas susceptible to low residuals, and to support monitoring or control decisions. A</w:t>
      </w:r>
      <w:r>
        <w:t xml:space="preserve"> </w:t>
      </w:r>
      <w:r>
        <w:t xml:space="preserve">calibration may therefore fail at several distinct levels. It may recover its parameters poorly, predict poorly, or give an unstable operational prioritisation, and these 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Random measurement noise and temporal</w:t>
      </w:r>
      <w:r>
        <w:t xml:space="preserve"> </w:t>
      </w:r>
      <w:r>
        <w:t xml:space="preserve">dependence reduce the effective information in monitored series. Systematic sensor offsets or</w:t>
      </w:r>
      <w:r>
        <w:t xml:space="preserve"> </w:t>
      </w:r>
      <w:r>
        <w:t xml:space="preserve">drift can bias inferred parameters while remaining difficult to diagnose from fit quality.</w:t>
      </w:r>
      <w:r>
        <w:t xml:space="preserve"> </w:t>
      </w:r>
      <w:r>
        <w:t xml:space="preserve">Readings at a reporting boundary are censored rather than exact. Bulk decay is often estimated</w:t>
      </w:r>
      <w:r>
        <w:t xml:space="preserve"> </w:t>
      </w:r>
      <w:r>
        <w:t xml:space="preserve">separately and then held fixed during wall-decay calibration, so an error in it can be absorbed</w:t>
      </w:r>
      <w:r>
        <w:t xml:space="preserve"> </w:t>
      </w:r>
      <w:r>
        <w:t xml:space="preserve">by the wall coefficients. And any grouped representation is an approximation when reactivity</w:t>
      </w:r>
      <w:r>
        <w:t xml:space="preserve"> </w:t>
      </w:r>
      <w:r>
        <w:t xml:space="preserve">varies between individual pipes. A close fit to monitored concentrations therefore does not by</w:t>
      </w:r>
      <w:r>
        <w:t xml:space="preserve"> </w:t>
      </w:r>
      <w:r>
        <w:t xml:space="preserve">itself establish that the inferred coefficients represent the underlying reaction process.</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additionally concerns whether the finite, noisy observations actually available</w:t>
      </w:r>
      <w:r>
        <w:t xml:space="preserve"> </w:t>
      </w:r>
      <w:r>
        <w:t xml:space="preserve">constrain the parameters sufficiently, for which profile likelihood gives a direct</w:t>
      </w:r>
      <w:r>
        <w:t xml:space="preserve"> </w:t>
      </w:r>
      <w:r>
        <w:t xml:space="preserve">likelihood-based diagnostic</w:t>
      </w:r>
      <w:r>
        <w:t xml:space="preserve"> </w:t>
      </w:r>
      <w:r>
        <w:t xml:space="preserve">(Raue</w:t>
      </w:r>
      <w:r>
        <w:t xml:space="preserve"> </w:t>
      </w:r>
      <w:r>
        <w:rPr>
          <w:i/>
          <w:iCs/>
        </w:rPr>
        <w:t xml:space="preserve">et al.</w:t>
      </w:r>
      <w:r>
        <w:t xml:space="preserve">, 2009)</w:t>
      </w:r>
      <w:r>
        <w:t xml:space="preserve">; repeated-sampling experiments can then test whether the</w:t>
      </w:r>
      <w:r>
        <w:t xml:space="preserve"> </w:t>
      </w:r>
      <w:r>
        <w:t xml:space="preserve">resulting intervals show the bias and coverage the assumed model implies.</w:t>
      </w:r>
    </w:p>
    <w:p>
      <w:pPr>
        <w:pStyle w:val="BodyText"/>
      </w:pPr>
      <w:r>
        <w:t xml:space="preserve">No single diagnostic suffices, and the reasons differ. A posterior mean close to the truth may</w:t>
      </w:r>
      <w:r>
        <w:t xml:space="preserve"> </w:t>
      </w:r>
      <w:r>
        <w:t xml:space="preserve">simply reflect favourable prior placement. A narrow posterior may instead reflect a restrictive</w:t>
      </w:r>
      <w:r>
        <w:t xml:space="preserve"> </w:t>
      </w:r>
      <w:r>
        <w:t xml:space="preserve">prior or a misspecified likelihood, and so does not establish physical correctness. And good</w:t>
      </w:r>
      <w:r>
        <w:t xml:space="preserve"> </w:t>
      </w:r>
      <w:r>
        <w:t xml:space="preserve">prediction establishes neither, when the predicted concentration is only weakly sensitive to the</w:t>
      </w:r>
      <w:r>
        <w:t xml:space="preserve"> </w:t>
      </w:r>
      <w:r>
        <w:t xml:space="preserve">parameter concerned.</w:t>
      </w:r>
    </w:p>
    <w:p>
      <w:pPr>
        <w:pStyle w:val="BodyText"/>
      </w:pPr>
      <w:r>
        <w:t xml:space="preserve">Uncertainty surviving calibration must finally be propagated to whatever decision the model</w:t>
      </w:r>
      <w:r>
        <w:t xml:space="preserve"> </w:t>
      </w:r>
      <w:r>
        <w:t xml:space="preserve">supports, where stability is again not a single property: preservation of the whole-network</w:t>
      </w:r>
      <w:r>
        <w:t xml:space="preserve"> </w:t>
      </w:r>
      <w:r>
        <w:t xml:space="preserve">spatial ranking, of a small operational shortlist, and of the absolute severity assigned to</w:t>
      </w:r>
      <w:r>
        <w:t xml:space="preserve"> </w:t>
      </w:r>
      <w:r>
        <w:t xml:space="preserve">those locations are different questions, and stability at one scale does not imply stability at</w:t>
      </w:r>
      <w:r>
        <w:t xml:space="preserve"> </w:t>
      </w:r>
      <w:r>
        <w:t xml:space="preserve">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&amp;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&amp; Todini, 2006; Stedinger</w:t>
      </w:r>
      <w:r>
        <w:t xml:space="preserve"> </w:t>
      </w:r>
      <w:r>
        <w:rPr>
          <w:i/>
          <w:iCs/>
        </w:rPr>
        <w:t xml:space="preserve">et al.</w:t>
      </w:r>
      <w:r>
        <w:t xml:space="preserve">, 2008)</w:t>
      </w:r>
      <w:r>
        <w:t xml:space="preserve">. The controlled setting used here sidesteps that broader debate rather than</w:t>
      </w:r>
      <w:r>
        <w:t xml:space="preserve"> </w:t>
      </w:r>
      <w:r>
        <w:t xml:space="preserve">resolving it: because the synthetic observation model is known, the specific informal weighting</w:t>
      </w:r>
      <w:r>
        <w:t xml:space="preserve"> </w:t>
      </w:r>
      <w:r>
        <w:t xml:space="preserve">previously applied to this system can be compared directly with the corresponding formal</w:t>
      </w:r>
      <w:r>
        <w:t xml:space="preserve"> </w:t>
      </w:r>
      <w:r>
        <w:t xml:space="preserve">likelihood on identical observations and candidate draws, separating limitations of the data</w:t>
      </w:r>
      <w:r>
        <w:t xml:space="preserve"> </w:t>
      </w:r>
      <w:r>
        <w:t xml:space="preserve">from effects of the weighting rule.</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w:t>
      </w:r>
      <w:r>
        <w:t xml:space="preserve"> </w:t>
      </w:r>
      <w:r>
        <w:t xml:space="preserve">Measurement precision, temporal dependence, systematic sensor error, bulk-decay uncertainty and</w:t>
      </w:r>
      <w:r>
        <w:t xml:space="preserve"> </w:t>
      </w:r>
      <w:r>
        <w:t xml:space="preserve">within-group heterogeneity act on the inverse problem in different ways, so their effects need to be distinguished, separating loss of precision from displacement of the estimate, and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by itself establish that the parameter governing a</w:t>
      </w:r>
      <w:r>
        <w:t xml:space="preserve"> </w:t>
      </w:r>
      <w:r>
        <w:t xml:space="preserve">physical process has been identified, and a high whole-network rank correlation cannot establish</w:t>
      </w:r>
      <w:r>
        <w:t xml:space="preserve"> </w:t>
      </w:r>
      <w:r>
        <w:t xml:space="preserve">that a small hot-spot set is unchanged. A controlled experiment with a known truth tests</w:t>
      </w:r>
      <w:r>
        <w:t xml:space="preserve"> </w:t>
      </w:r>
      <w:r>
        <w:t xml:space="preserve">directly when these diagnostics agree and when they diverge.</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six monitors are used; and no field observations enter the analysis. The temperature,</w:t>
      </w:r>
      <w:r>
        <w:t xml:space="preserve"> </w:t>
      </w:r>
      <w:r>
        <w:t xml:space="preserve">ageing and dosing analyses are calibration-conditioned stress tests under stated assumptions,</w:t>
      </w:r>
      <w:r>
        <w:t xml:space="preserve"> </w:t>
      </w:r>
      <w:r>
        <w:t xml:space="preserve">not forecasts of field behaviour.</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and recirculation make the chlorine field approach its repeating diurnal</w:t>
      </w:r>
      <w:r>
        <w:t xml:space="preserve"> </w:t>
      </w:r>
      <w:r>
        <w:t xml:space="preserve">behaviour only gradually, the warm-up was assessed by an explicit cyclostationarity test rather</w:t>
      </w:r>
      <w:r>
        <w:t xml:space="preserve"> </w:t>
      </w:r>
      <w:r>
        <w:t xml:space="preserve">than chosen by convention. Demands and pump operation are 24 h periodic, so each 24 h cycle was</w:t>
      </w:r>
      <w:r>
        <w:t xml:space="preserve"> </w:t>
      </w:r>
      <w:r>
        <w:t xml:space="preserve">compared directly with its successor.</w:t>
      </w:r>
    </w:p>
    <w:p>
      <w:pPr>
        <w:pStyle w:val="BodyText"/>
      </w:pPr>
      <w:r>
        <w:t xml:space="preserve">Six diagnostics were evaluated, each with a tolerance declared in advance, covering chlorine at</w:t>
      </w:r>
      <w:r>
        <w:t xml:space="preserve"> </w:t>
      </w:r>
      <w:r>
        <w:t xml:space="preserve">the monitors, across the network and in the tanks, tank level, water age and the network-mean</w:t>
      </w:r>
      <w:r>
        <w:t xml:space="preserve"> </w:t>
      </w:r>
      <w:r>
        <w:t xml:space="preserve">cumulative chlorine deficit. Each was evaluated at the synthetic truth and at both corners of the</w:t>
      </w:r>
      <w:r>
        <w:t xml:space="preserve"> </w:t>
      </w:r>
      <w:r>
        <w:t xml:space="preserve">prior box. Definitions, tolerances and per-cycle values are given in Appendix A.</w:t>
      </w:r>
    </w:p>
    <w:p>
      <w:pPr>
        <w:pStyle w:val="BodyText"/>
      </w:pPr>
      <w:r>
        <w:t xml:space="preserve">The pre-defined rule required every diagnostic to pass, and no cycle pair satisfied it within</w:t>
      </w:r>
      <w:r>
        <w:t xml:space="preserve"> </w:t>
      </w:r>
      <w:r>
        <w:t xml:space="preserve">the 168 h model horizon. Because the inverse analyses depend directly on the chlorine field, a</w:t>
      </w:r>
      <w:r>
        <w:t xml:space="preserve"> </w:t>
      </w:r>
      <w:r>
        <w:t xml:space="preserve">pragmatic 120 h warm-up was adopted instead, as the earliest point at which all three</w:t>
      </w:r>
      <w:r>
        <w:t xml:space="preserve"> </w:t>
      </w:r>
      <w:r>
        <w:t xml:space="preserve">chlorine-concentration diagnostics were satisfied across the tested parameter sets. The</w:t>
      </w:r>
      <w:r>
        <w:t xml:space="preserve"> </w:t>
      </w:r>
      <w:r>
        <w:t xml:space="preserve">assessment window is therefore 120–168 h, comprising 49 hourly reporting points and 48 one-hour</w:t>
      </w:r>
      <w:r>
        <w:t xml:space="preserve"> </w:t>
      </w:r>
      <w:r>
        <w:t xml:space="preserve">intervals. Which diagnostics remain unmet under this finite horizon, and what that bounds, is</w:t>
      </w:r>
      <w:r>
        <w:t xml:space="preserve"> </w:t>
      </w:r>
      <w:r>
        <w:t xml:space="preserve">reported in Section 3.1.2 rather than treated here as evidence of full periodic convergence.</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all three prior midpoints were moved by one prior standard</w:t>
      </w:r>
      <w:r>
        <w:t xml:space="preserve"> </w:t>
      </w:r>
      <w:r>
        <w:t xml:space="preserve">deviation towards stronger decay. In the OLDUP design only the old-zone prior changed direction,</w:t>
      </w:r>
      <w:r>
        <w:t xml:space="preserve"> </w:t>
      </w:r>
      <w:r>
        <w:t xml:space="preserve">towards weaker decay, while the average and new priors kept their DOWN positions; OLDUP is</w:t>
      </w:r>
      <w:r>
        <w:t xml:space="preserve"> </w:t>
      </w:r>
      <w:r>
        <w:t xml:space="preserve">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w:t>
      </w:r>
      <w:r>
        <w:t xml:space="preserve"> </w:t>
      </w:r>
      <w:r>
        <w:t xml:space="preserve">non-positive decay domain, reduced its realised midpoint displacement to about 0.92 prior</w:t>
      </w:r>
      <w:r>
        <w:t xml:space="preserve"> </w:t>
      </w:r>
      <w:r>
        <w:t xml:space="preserve">standard deviations.</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A priori local identifiability was assessed from the sensitivity Jacobian of the 294 monitored</w:t>
      </w:r>
      <w:r>
        <w:t xml:space="preserve"> </w:t>
      </w:r>
      <w:r>
        <w:t xml:space="preserve">values with respect to the parameters. 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The Jacobian was evaluated at the synthetic truth using coefficient-specific central finite</w:t>
      </w:r>
      <w:r>
        <w:t xml:space="preserve"> </w:t>
      </w:r>
      <w:r>
        <w:t xml:space="preserve">differences. This calculation assumes independent Gaussian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w:t>
      </w:r>
      <w:r>
        <w:t xml:space="preserve"> </w:t>
      </w:r>
      <w:r>
        <w:t xml:space="preserve">does</w:t>
      </w:r>
      <w:r>
        <w:t xml:space="preserve"> </w:t>
      </w:r>
      <w:r>
        <w:rPr>
          <w:b/>
          <w:bCs/>
        </w:rPr>
        <w:t xml:space="preserve">not</w:t>
      </w:r>
      <w:r>
        <w:t xml:space="preserve"> </w:t>
      </w:r>
      <w:r>
        <w:t xml:space="preserve">include the censoring correction, so it serves as a local information benchmark</w:t>
      </w:r>
      <w:r>
        <w:t xml:space="preserve"> </w:t>
      </w:r>
      <w:r>
        <w:t xml:space="preserve">rather than as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cases B and C the nuisance parameters were</w:t>
      </w:r>
      <w:r>
        <w:t xml:space="preserve"> </w:t>
      </w:r>
      <w:r>
        <w:t xml:space="preserve">marginalised, and the marginal Cramér–Rao standard deviations were normalised by the</w:t>
      </w:r>
      <w:r>
        <w:t xml:space="preserve"> </w:t>
      </w:r>
      <w:r>
        <w:t xml:space="preserve">corresponding prior standard deviation, with a ratio below one adopted as the diagnostic</w:t>
      </w:r>
      <w:r>
        <w:t xml:space="preserve"> </w:t>
      </w:r>
      <w:r>
        <w:t xml:space="preserve">criterion for local practical identifiability. This is a study-specific benchmark relative to the</w:t>
      </w:r>
      <w:r>
        <w:t xml:space="preserve"> </w:t>
      </w:r>
      <w:r>
        <w:t xml:space="preserve">chosen prior scale, not a universal identifiability threshold. The marginalisation and the</w:t>
      </w:r>
      <w:r>
        <w:t xml:space="preserve"> </w:t>
      </w:r>
      <w:r>
        <w:t xml:space="preserve">step-size convergence check are given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first at old-zone monitor 15 and then separately at each of the six monitors, giving 24</w:t>
      </w:r>
      <w:r>
        <w:t xml:space="preserve"> </w:t>
      </w:r>
      <w:r>
        <w:t xml:space="preserve">arms of 30 noise realisations each. Candidate predictions were unchanged because only the</w:t>
      </w:r>
      <w:r>
        <w:t xml:space="preserve"> </w:t>
      </w:r>
      <w:r>
        <w:t xml:space="preserve">observations are perturbed. The offsets tested and the per-arm results are in Appendix F.</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120–168 h window, so the sensor is correct at the start and off by</w:t>
      </w:r>
      <w:r>
        <w:t xml:space="preserve"> </w:t>
      </w:r>
      <m:oMath>
        <m:r>
          <m:t>D</m:t>
        </m:r>
      </m:oMath>
      <w:r>
        <w:t xml:space="preserve"> </w:t>
      </w:r>
      <w:r>
        <w:t xml:space="preserve">at the end. Each ramp was</w:t>
      </w:r>
      <w:r>
        <w:t xml:space="preserve"> </w:t>
      </w:r>
      <w:r>
        <w:t xml:space="preserve">paired, under identical noise, with two</w:t>
      </w:r>
      <w:r>
        <w:t xml:space="preserve"> </w:t>
      </w:r>
      <w:r>
        <w:t xml:space="preserve">constant-offset controls:</w:t>
      </w:r>
      <w:r>
        <w:t xml:space="preserve"> </w:t>
      </w:r>
      <m:oMath>
        <m:r>
          <m:t>b</m:t>
        </m:r>
        <m:r>
          <m:rPr>
            <m:sty m:val="p"/>
          </m:rPr>
          <m:t>=</m:t>
        </m:r>
        <m:r>
          <m:t>D</m:t>
        </m:r>
        <m:r>
          <m:rPr>
            <m:sty m:val="p"/>
          </m:rPr>
          <m:t>/</m:t>
        </m:r>
        <m:r>
          <m:t>2</m:t>
        </m:r>
      </m:oMath>
      <w:r>
        <w:t xml:space="preserve">, its mean offset, and</w:t>
      </w:r>
      <w:r>
        <w:t xml:space="preserve"> </w:t>
      </w:r>
      <m:oMath>
        <m:r>
          <m:t>b</m:t>
        </m:r>
        <m:r>
          <m:rPr>
            <m:sty m:val="p"/>
          </m:rPr>
          <m:t>=</m:t>
        </m:r>
        <m:r>
          <m:t>D</m:t>
        </m:r>
      </m:oMath>
      <w:r>
        <w:t xml:space="preserve">, its endpoint offset. This</w:t>
      </w:r>
      <w:r>
        <w:t xml:space="preserve"> </w:t>
      </w:r>
      <w:r>
        <w:t xml:space="preserve">separates the effect of the drift’s temporal shape from that of its mean magnitude.</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Four quantities are reported because they answer different questions, and Table 2 defines them.</w:t>
      </w:r>
      <w:r>
        <w:t xml:space="preserve"> </w:t>
      </w:r>
      <w:r>
        <w:t xml:space="preserve">The raw bias measures the fitted coefficient against the arithmetic mean of the heterogeneous</w:t>
      </w:r>
      <w:r>
        <w:t xml:space="preserve"> </w:t>
      </w:r>
      <w:r>
        <w:t xml:space="preserve">truth. For paired experiments the structural contribution is isolated by subtracting the offset</w:t>
      </w:r>
      <w:r>
        <w:t xml:space="preserve"> </w:t>
      </w:r>
      <w:r>
        <w:t xml:space="preserve">the same rule produces on a homogeneous truth under the same noise realisation, and that paired</w:t>
      </w:r>
      <w:r>
        <w:t xml:space="preserve"> </w:t>
      </w:r>
      <w:r>
        <w:t xml:space="preserve">shift is standardised on the scale of Section 2.5 using the repeated-baseline denominator rather</w:t>
      </w:r>
      <w:r>
        <w:t xml:space="preserve"> </w:t>
      </w:r>
      <w:r>
        <w:t xml:space="preserve">than the structured run’s own posterior standard deviation.</w:t>
      </w:r>
    </w:p>
    <w:p>
      <w:pPr>
        <w:pStyle w:val="BodyText"/>
      </w:pPr>
      <w:r>
        <w:t xml:space="preserve">For the 30-realisation amplitude sweep, the displacement fraction gives the position of the fit between the two candidate targets, so 0 is the arithmetic mean and 1 the length-weighted reference. Appendix E sets the four quantities out together and gives the per-design results. Unlike the standardised displacement, this</w:t>
      </w:r>
      <w:r>
        <w:t xml:space="preserve"> </w:t>
      </w:r>
      <w:r>
        <w:t xml:space="preserve">fraction is</w:t>
      </w:r>
      <w:r>
        <w:t xml:space="preserve"> </w:t>
      </w:r>
      <w:r>
        <w:rPr>
          <w:b/>
          <w:bCs/>
        </w:rPr>
        <w:t xml:space="preserve">raw rather than control-adjusted</w:t>
      </w:r>
      <w:r>
        <w:t xml:space="preserve">, and is summarised by its median and 5–95%</w:t>
      </w:r>
      <w:r>
        <w:t xml:space="preserve"> </w:t>
      </w:r>
      <w:r>
        <w:t xml:space="preserve">range across realisations. At</w:t>
      </w:r>
      <w:r>
        <w:t xml:space="preserve"> </w:t>
      </w:r>
      <m:oMath>
        <m:r>
          <m:t>λ</m:t>
        </m:r>
        <m:r>
          <m:rPr>
            <m:sty m:val="p"/>
          </m:rPr>
          <m:t>=</m:t>
        </m:r>
        <m:r>
          <m:t>0</m:t>
        </m:r>
      </m:oMath>
      <w:r>
        <w:t xml:space="preserve"> </w:t>
      </w:r>
      <w:r>
        <w:t xml:space="preserve">the two means coincide and</w:t>
      </w:r>
      <w:r>
        <w:t xml:space="preserve"> </w:t>
      </w:r>
      <m:oMath>
        <m:r>
          <m:t>f</m:t>
        </m:r>
      </m:oMath>
      <w:r>
        <w:t xml:space="preserve"> </w:t>
      </w:r>
      <w:r>
        <w:t xml:space="preserve">is undefined, so that arm serves only as the control.</w:t>
      </w:r>
    </w:p>
    <w:bookmarkEnd w:id="43"/>
    <w:bookmarkEnd w:id="44"/>
    <w:bookmarkStart w:id="45" w:name="prediction-validation"/>
    <w:p>
      <w:pPr>
        <w:pStyle w:val="Heading2"/>
      </w:pPr>
      <w:r>
        <w:t xml:space="preserve">2.7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mean absolute relative error and coverage.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p>
    <w:bookmarkEnd w:id="46"/>
    <w:bookmarkStart w:id="47" w:name="water-age-and-demand-weighting"/>
    <w:p>
      <w:pPr>
        <w:pStyle w:val="Heading3"/>
      </w:pPr>
      <w:r>
        <w:t xml:space="preserve">2.8.2 Water age and demand weighting</w:t>
      </w:r>
    </w:p>
    <w:p>
      <w:pPr>
        <w:pStyle w:val="FirstParagraph"/>
      </w:pPr>
      <w:r>
        <w:t xml:space="preserve">Water age was computed over the same assessment window from the same hydraulic model as a</w:t>
      </w:r>
      <w:r>
        <w:t xml:space="preserve"> </w:t>
      </w:r>
      <w:r>
        <w:t xml:space="preserve">reaction-independent diagnostic, and its spatial association with expected duration and</w:t>
      </w:r>
      <w:r>
        <w:t xml:space="preserve"> </w:t>
      </w:r>
      <w:r>
        <w:t xml:space="preserve">cumulative deficit described by Spearman rank correlation. Because the 92 junctions share pipes,</w:t>
      </w:r>
      <w:r>
        <w:t xml:space="preserve"> </w:t>
      </w:r>
      <w:r>
        <w:t xml:space="preserve">tanks, flow paths and demand patterns they are not independent samples, so no junction-level</w:t>
      </w:r>
      <w:r>
        <w:t xml:space="preserve"> </w:t>
      </w:r>
      <w:r>
        <w:t xml:space="preserve">p-value is reported. For the duration association only, a descriptive width was obtained by</w:t>
      </w:r>
      <w:r>
        <w:t xml:space="preserve"> </w:t>
      </w:r>
      <w:r>
        <w:t xml:space="preserve">resampling whole spatial blocks rather than individual junctions. It is a descriptive width, not</w:t>
      </w:r>
      <w:r>
        <w:t xml:space="preserve"> </w:t>
      </w:r>
      <w:r>
        <w:t xml:space="preserve">a significance interval. The resampling design is given in Appendix G.</w:t>
      </w:r>
    </w:p>
    <w:p>
      <w:pPr>
        <w:pStyle w:val="BodyText"/>
      </w:pPr>
      <w:r>
        <w:t xml:space="preserve">Network summaries were reported unweighted over all 92 junctions, unweighted over the 59</w:t>
      </w:r>
      <w:r>
        <w:t xml:space="preserve"> </w:t>
      </w:r>
      <w:r>
        <w:t xml:space="preserve">junctions with non-zero demand, and demand-weighted using the pattern-aware average expected</w:t>
      </w:r>
      <w:r>
        <w:t xml:space="preserve"> </w:t>
      </w:r>
      <w:r>
        <w:t xml:space="preserve">demand,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for bulk and wall reaction, and a</w:t>
      </w:r>
      <w:r>
        <w:t xml:space="preserve"> </w:t>
      </w:r>
      <w:r>
        <w:t xml:space="preserve">temperature deviation added to each scenario mean, were drawn from truncated normals constrained</w:t>
      </w:r>
      <w:r>
        <w:t xml:space="preserve"> </w:t>
      </w:r>
      <w:r>
        <w:t xml:space="preserve">to keep simulated temperatures within the stated 8–24 °C validity range. The distributions and</w:t>
      </w:r>
      <w:r>
        <w:t xml:space="preserve"> </w:t>
      </w:r>
      <w:r>
        <w:t xml:space="preserve">the realised ranges are given in Appendix G. The</w:t>
      </w:r>
      <w:r>
        <w:t xml:space="preserve"> </w:t>
      </w:r>
      <w:r>
        <w:t xml:space="preserve">scenarios were: (A) 12 °C baseline; (B) 16 °C; (C) 20 °C heatwave; and (D) 20 °C with</w:t>
      </w:r>
      <w:r>
        <w:t xml:space="preserve"> </w:t>
      </w:r>
      <w:r>
        <w:t xml:space="preserve">illustrative ageing multipliers of 1.00, 1.35 and 1.85 for the new, average and old zones, with</w:t>
      </w:r>
      <w:r>
        <w:t xml:space="preserve"> </w:t>
      </w:r>
      <w:r>
        <w:t xml:space="preserve">mild and severe multiplier sets retained as sensitivities.</w:t>
      </w:r>
    </w:p>
    <w:p>
      <w:pPr>
        <w:pStyle w:val="BodyText"/>
      </w:pPr>
      <w:r>
        <w:t xml:space="preserve">Activation-energy and temperature draws were assigned once per retained member and reused across</w:t>
      </w:r>
      <w:r>
        <w:t xml:space="preserve"> </w:t>
      </w:r>
      <w:r>
        <w:t xml:space="preserve">scenarios, so that pairwise differences are not contaminated by independent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with weights renormalised and the discarded mass recorded; this is a numerical</w:t>
      </w:r>
      <w:r>
        <w:t xml:space="preserve"> </w:t>
      </w:r>
      <w:r>
        <w:t xml:space="preserve">truncation, not a behavioural acceptance threshold. Corrective dosing was evaluated under Scenario C, the 20 °C heatwave</w:t>
      </w:r>
      <w:r>
        <w:t xml:space="preserve"> </w:t>
      </w:r>
      <w:r>
        <w:rPr>
          <w:i/>
          <w:iCs/>
        </w:rPr>
        <w:t xml:space="preserve">without</w:t>
      </w:r>
      <w:r>
        <w:t xml:space="preserve"> </w:t>
      </w:r>
      <w:r>
        <w:t xml:space="preserve">ageing: reservoir source chlorine was raised from 1.00 to 1.15 and 1.30 mg L</w:t>
      </w:r>
      <w:r>
        <w:rPr>
          <w:vertAlign w:val="superscript"/>
        </w:rPr>
        <w:t xml:space="preserve">-1</w:t>
      </w:r>
      <w:r>
        <w:t xml:space="preserve">, 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2"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Six cyclostationarity criteria were declared in advance, each comparing a 24 h cycle with its</w:t>
      </w:r>
      <w:r>
        <w:t xml:space="preserve"> </w:t>
      </w:r>
      <w:r>
        <w:t xml:space="preserve">successor; tank level converged first, within 24 h. The three concentration criteria, at the</w:t>
      </w:r>
      <w:r>
        <w:t xml:space="preserve"> </w:t>
      </w:r>
      <w:r>
        <w:t xml:space="preserve">monitors, in the network 95th percentile and in the tanks, were all first satisfied at 120 h,</w:t>
      </w:r>
      <w:r>
        <w:t xml:space="preserve"> </w:t>
      </w:r>
      <w:r>
        <w:t xml:space="preserve">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against a 1 h tolerance, and the</w:t>
      </w:r>
      <w:r>
        <w:t xml:space="preserve"> </w:t>
      </w:r>
      <w:r>
        <w:t xml:space="preserve">network-mean cumulative deficit by as much as 5.1% against a 2% tolerance. The hotspot pattern</w:t>
      </w:r>
      <w:r>
        <w:t xml:space="preserve"> </w:t>
      </w:r>
      <w:r>
        <w:t xml:space="preserve">moves with it. Over the same comparison the top-10 cumulative-deficit sets at the truth had a</w:t>
      </w:r>
      <w:r>
        <w:t xml:space="preserve"> </w:t>
      </w:r>
      <w:r>
        <w:t xml:space="preserve">Jaccard overlap of 0.818, one node in ten differing. The horizon could not be extended without</w:t>
      </w:r>
      <w:r>
        <w:t xml:space="preserve"> </w:t>
      </w:r>
      <w:r>
        <w:t xml:space="preserve">modifying the model, because the existing pump controls are specified only within the 168 h</w:t>
      </w:r>
      <w:r>
        <w:t xml:space="preserve"> </w:t>
      </w:r>
      <w:r>
        <w:t xml:space="preserve">simulation period (Appendix A). Parameter inference is therefore supported by a</w:t>
      </w:r>
      <w:r>
        <w:t xml:space="preserve"> </w:t>
      </w:r>
      <w:r>
        <w:t xml:space="preserve">concentration-stable window, whereas absolute water ages, absolute risk severities and some</w:t>
      </w:r>
      <w:r>
        <w:t xml:space="preserve"> </w:t>
      </w:r>
      <w:r>
        <w:t xml:space="preserve">hotspot-boundary decisions in Section 3.6 inherit a residual dependence on the 120–168 h horizon.</w:t>
      </w:r>
      <w:r>
        <w:t xml:space="preserve"> </w:t>
      </w:r>
      <w:r>
        <w:t xml:space="preserve">Those are used for comparison between conditions rather than as calibrated 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 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actually extract. It also motivates, without establishing, the</w:t>
      </w:r>
      <w:r>
        <w:t xml:space="preserve"> </w:t>
      </w:r>
      <w:r>
        <w:t xml:space="preserve">precise-but-biased case of Section 3.4, where good residual fit survives a structurally</w:t>
      </w:r>
      <w:r>
        <w:t xml:space="preserve"> </w:t>
      </w:r>
      <w:r>
        <w:t xml:space="preserve">displaced coefficient.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low-residual part of the network, the</w:t>
      </w:r>
      <w:r>
        <w:t xml:space="preserve"> </w:t>
      </w:r>
      <w:r>
        <w:t xml:space="preserve">region most relevant to the threshold-based risk analysis that follows, and is handled</w:t>
      </w:r>
      <w:r>
        <w:t xml:space="preserve"> </w:t>
      </w:r>
      <w:r>
        <w:t xml:space="preserve">explicitly in the primary likelihood.</w:t>
      </w:r>
    </w:p>
    <w:p>
      <w:pPr>
        <w:pStyle w:val="CaptionedFigure"/>
      </w:pPr>
      <w:r>
        <w:drawing>
          <wp:inline>
            <wp:extent cx="5472649" cy="2245894"/>
            <wp:effectExtent b="0" l="0" r="0" t="0"/>
            <wp:docPr descr="Figure 1. Study system and forward baseline. (A) Net3 with pipes coloured by synthetic reaction zone, and the six monitors, sources and tanks.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and the six monitors, sources and tanks.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Four weighting rules applied to the same 294 residuals and the same 8192 Sobol candidates. SD retained is the posterior standard deviation as a percentage of the prior.</w:t>
      </w:r>
    </w:p>
    <w:p>
      <w:pPr>
        <w:pStyle w:val="CaptionedFigure"/>
      </w:pPr>
      <w:r>
        <w:drawing>
          <wp:inline>
            <wp:extent cx="4661377" cy="3840938"/>
            <wp:effectExtent b="0" l="0" r="0" t="0"/>
            <wp:docPr descr="Figure 2. Inference formulation determines apparent identifiability. Weighted densities under the uniform prior, the primary censored likelihood and the informal score at two thresholds, with dashed rules at the true values. Bars give the posterior standard deviation as a percentage of the prior."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under the uniform prior, the primary censored likelihood and the informal score at two thresholds, with dashed rules at the true values. Bars give the posterior standard deviation as a percentage of the prior.</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If the informal distributions are wide because too many poor candidates survive, a stricter</w:t>
      </w:r>
      <w:r>
        <w:t xml:space="preserve"> </w:t>
      </w:r>
      <w:r>
        <w:t xml:space="preserve">threshold should close the gap. It does not. Tightening the cut-off from 0.120 to 0.107 mg L</w:t>
      </w:r>
      <w:r>
        <w:rPr>
          <w:vertAlign w:val="superscript"/>
        </w:rPr>
        <w:t xml:space="preserve">-1</w:t>
      </w:r>
      <w:r>
        <w:t xml:space="preserve"> </w:t>
      </w:r>
      <w:r>
        <w:t xml:space="preserve">removed a third of the behavioural set, from 7084 to 4786 members, yet the retained prior</w:t>
      </w:r>
      <w:r>
        <w:t xml:space="preserve"> </w:t>
      </w:r>
      <w:r>
        <w:t xml:space="preserve">standard deviations fell only to 71.1%, 91.8% and 88.2%, still two to three times the formal values. A cut-off discards candidates that fit badly; it cannot restore the factor</w:t>
      </w:r>
      <w:r>
        <w:t xml:space="preserve"> </w:t>
      </w:r>
      <m:oMath>
        <m:r>
          <m:t>N</m:t>
        </m:r>
      </m:oMath>
      <w:r>
        <w:t xml:space="preserve"> </w:t>
      </w:r>
      <w:r>
        <w:t xml:space="preserve">the</w:t>
      </w:r>
      <w:r>
        <w:t xml:space="preserve"> </w:t>
      </w:r>
      <w:r>
        <w:t xml:space="preserve">weighting omits.</w:t>
      </w:r>
    </w:p>
    <w:p>
      <w:pPr>
        <w:pStyle w:val="BodyText"/>
      </w:pPr>
      <w:r>
        <w:t xml:space="preserve">A complementary concern is that the formal contraction might reflect a prior centred near the</w:t>
      </w:r>
      <w:r>
        <w:t xml:space="preserve"> </w:t>
      </w:r>
      <w:r>
        <w:t xml:space="preserve">truth rather than genuine learning. All three priors were therefore displaced downward by one</w:t>
      </w:r>
      <w:r>
        <w:t xml:space="preserve"> </w:t>
      </w:r>
      <w:r>
        <w:t xml:space="preserve">prior standard deviation and the calibration repeated over 30 noise realisations. The formal</w:t>
      </w:r>
      <w:r>
        <w:t xml:space="preserve"> </w:t>
      </w:r>
      <w:r>
        <w:t xml:space="preserve">likelihood recovered a median of 88%, 95% and 96% of the imposed displacement for old, average</w:t>
      </w:r>
      <w:r>
        <w:t xml:space="preserve"> </w:t>
      </w:r>
      <w:r>
        <w:t xml:space="preserve">and new, while retaining only 27.1%, 28.9% and 28.4% of the displaced prior’s standard deviation. This is the same contraction as at baseline, now achieved from a prior centred away from the truth.</w:t>
      </w:r>
      <w:r>
        <w:t xml:space="preserve"> </w:t>
      </w:r>
      <w:r>
        <w:t xml:space="preserve">The prior width was held fixed and each displaced box still contains the true value, so this</w:t>
      </w:r>
      <w:r>
        <w:t xml:space="preserve"> </w:t>
      </w:r>
      <w:r>
        <w:t xml:space="preserve">tests sensitivity to prior centring rather than recovery from a prior that excludes the truth.</w:t>
      </w:r>
      <w:r>
        <w:t xml:space="preserve"> </w:t>
      </w:r>
      <w:r>
        <w:t xml:space="preserve">The informal comparator recovered 27.5%, 43.5% and 78.0% at a threshold of</w:t>
      </w:r>
      <w:r>
        <w:t xml:space="preserve"> </w:t>
      </w:r>
      <w:r>
        <w:t xml:space="preserve">0.107, and 9.4%, 14.5% and 22.9% at 0.120.</w:t>
      </w:r>
    </w:p>
    <w:p>
      <w:pPr>
        <w:pStyle w:val="BodyText"/>
      </w:pPr>
      <w:r>
        <w:t xml:space="preserve">A second displacement was then applied to the old coefficient alone, upward towards weaker</w:t>
      </w:r>
      <w:r>
        <w:t xml:space="preserve"> </w:t>
      </w:r>
      <w:r>
        <w:t xml:space="preserve">decay, with the average and new priors left at their downward positions; this arm is a direction</w:t>
      </w:r>
      <w:r>
        <w:t xml:space="preserve"> </w:t>
      </w:r>
      <w:r>
        <w:t xml:space="preserve">check for old rather than a second three-parameter test, and the non-positivity constraint</w:t>
      </w:r>
      <w:r>
        <w:t xml:space="preserve"> </w:t>
      </w:r>
      <w:r>
        <w:t xml:space="preserve">truncated the realised shift to about 0.92 prior standard deviations. Formal recovery for old</w:t>
      </w:r>
      <w:r>
        <w:t xml:space="preserve"> </w:t>
      </w:r>
      <w:r>
        <w:t xml:space="preserve">was 88% downward and 112% upward, symmetric within the noise, whereas informal recovery moved</w:t>
      </w:r>
      <w:r>
        <w:t xml:space="preserve"> </w:t>
      </w:r>
      <w:r>
        <w:t xml:space="preserve">from 27.5% to 84.9% at a threshold of 0.107 and from 9.4% to 61.1% at 0.120. Its answer</w:t>
      </w:r>
      <w:r>
        <w:t xml:space="preserve"> </w:t>
      </w:r>
      <w:r>
        <w:t xml:space="preserve">therefore depends on the direction of displacement, a property of the score rather than of the</w:t>
      </w:r>
      <w:r>
        <w:t xml:space="preserve"> </w:t>
      </w:r>
      <w:r>
        <w:t xml:space="preserve">observations.</w:t>
      </w:r>
    </w:p>
    <w:p>
      <w:pPr>
        <w:pStyle w:val="BodyText"/>
      </w:pPr>
      <w:r>
        <w:t xml:space="preserve">One conclusion of the original analysis does not survive. The pronounced identifiability</w:t>
      </w:r>
      <w:r>
        <w:t xml:space="preserve"> </w:t>
      </w:r>
      <w:r>
        <w:t xml:space="preserve">gradient it reported, in which old appears far better constrained than average or new, is</w:t>
      </w:r>
      <w:r>
        <w:t xml:space="preserve"> </w:t>
      </w:r>
      <w:r>
        <w:t xml:space="preserve">visible only under the informal weighting; the formal rule contracts the three comparably and</w:t>
      </w:r>
      <w:r>
        <w:t xml:space="preserve"> </w:t>
      </w:r>
      <w:r>
        <w:t xml:space="preserve">recovers all three from a common-direction displaced prior. The gradient was a feature of the</w:t>
      </w:r>
      <w:r>
        <w:t xml:space="preserve"> </w:t>
      </w:r>
      <w:r>
        <w:t xml:space="preserve">weighting rule, not a ranking of what the monitoring array can resolve. Full threshold and</w:t>
      </w:r>
      <w:r>
        <w:t xml:space="preserve"> </w:t>
      </w:r>
      <w:r>
        <w:t xml:space="preserve">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4b1afce4ef9407d46c1f973b1a42fc08f62282a"/>
    <w:p>
      <w:pPr>
        <w:pStyle w:val="Heading3"/>
      </w:pPr>
      <w:r>
        <w:t xml:space="preserve">3.3.2 Systematic sensor error dominates random uncertainty</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coefficient is affected more modestly, whereas the average and new</w:t>
      </w:r>
      <w:r>
        <w:t xml:space="preserve"> </w:t>
      </w:r>
      <w:r>
        <w:t xml:space="preserve">coefficients lose roughly half their information to the bulk term.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These displacements are large in parameter terms, but Section 3.6 shows that they do not</w:t>
      </w:r>
      <w:r>
        <w:t xml:space="preserve"> </w:t>
      </w:r>
      <w:r>
        <w:t xml:space="preserve">translate into proportionate changes in the network-wide risk pattern, and that whether an</w:t>
      </w:r>
      <w:r>
        <w:t xml:space="preserve"> </w:t>
      </w:r>
      <w:r>
        <w:t xml:space="preserve">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w:t>
      </w:r>
    </w:p>
    <w:tbl>
      <w:tblPr>
        <w:tblStyle w:val="Table"/>
        <w:tblW w:type="pct" w:w="5000"/>
        <w:tblLayout w:type="fixed"/>
        <w:tblLook w:firstRow="1" w:lastRow="0" w:firstColumn="0" w:lastColumn="0" w:noHBand="0" w:noVBand="0" w:val="0020"/>
      </w:tblPr>
      <w:tblGrid>
        <w:gridCol w:w="1131"/>
        <w:gridCol w:w="1508"/>
        <w:gridCol w:w="1508"/>
        <w:gridCol w:w="1508"/>
        <w:gridCol w:w="1131"/>
        <w:gridCol w:w="1131"/>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2" w:name="X5c6fbb3654315815bfb725b2f40781d28e6ad47"/>
    <w:p>
      <w:pPr>
        <w:pStyle w:val="Heading2"/>
      </w:pPr>
      <w:r>
        <w:t xml:space="preserve">3.4 Structural heterogeneity and grouped effective parameters</w:t>
      </w:r>
    </w:p>
    <w:bookmarkStart w:id="76" w:name="Xa43c37939fe66a3a2a13d01c117c575e424ba6a"/>
    <w:p>
      <w:pPr>
        <w:pStyle w:val="Heading3"/>
      </w:pPr>
      <w:r>
        <w:t xml:space="preserve">3.4.1 Symmetric within-zone heterogeneity averages out</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Symmetric +/-20%</w:t>
      </w:r>
      <w:r>
        <w:t xml:space="preserve"> </w:t>
      </w:r>
      <w:r>
        <w:t xml:space="preserve">heterogeneity therefore produced no detectable systematic bias in this controlled case, but</w:t>
      </w:r>
      <w:r>
        <w:t xml:space="preserve"> </w:t>
      </w:r>
      <w:r>
        <w:t xml:space="preserve">establishing that required a paired control and replication over fields.</w:t>
      </w:r>
    </w:p>
    <w:bookmarkEnd w:id="76"/>
    <w:bookmarkStart w:id="77"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at amplitude</w:t>
      </w:r>
      <w:r>
        <w:t xml:space="preserve"> </w:t>
      </w:r>
      <m:oMath>
        <m:r>
          <m:t>λ</m:t>
        </m:r>
        <m:r>
          <m:rPr>
            <m:sty m:val="p"/>
          </m:rPr>
          <m:t>=</m:t>
        </m:r>
        <m:r>
          <m:t>0.50</m:t>
        </m:r>
      </m:oMath>
      <w:r>
        <w:t xml:space="preserve">, while holding each zone’s arithmetic</w:t>
      </w:r>
      <w:r>
        <w:t xml:space="preserve"> </w:t>
      </w:r>
      <w:r>
        <w:t xml:space="preserve">mean fixed, separates two candidate targets for a homogeneous grouped fit: the arithmetic mean</w:t>
      </w:r>
      <w:r>
        <w:t xml:space="preserve"> </w:t>
      </w:r>
      <w:r>
        <w:t xml:space="preserve">and a length-weighted mean, the latter shifted to −1.240, −0.124 and −0.066 m day</w:t>
      </w:r>
      <w:r>
        <w:rPr>
          <w:vertAlign w:val="superscript"/>
        </w:rPr>
        <w:t xml:space="preserve">-1</w:t>
      </w:r>
      <w:r>
        <w:t xml:space="preserve"> </w:t>
      </w:r>
      <w:r>
        <w:t xml:space="preserve">for old,</w:t>
      </w:r>
      <w:r>
        <w:t xml:space="preserve"> </w:t>
      </w:r>
      <w:r>
        <w:t xml:space="preserve">average and new.</w:t>
      </w:r>
    </w:p>
    <w:p>
      <w:pPr>
        <w:pStyle w:val="BodyText"/>
      </w:pPr>
      <w:r>
        <w:t xml:space="preserve">In the paired reference realisation, subtracting the corresponding homogeneous-control offset</w:t>
      </w:r>
      <w:r>
        <w:t xml:space="preserve"> </w:t>
      </w:r>
      <w:r>
        <w:t xml:space="preserve">gives displacements of −1.55, −1.89 and −1.65 baseline posterior standard deviations for old, average and new, comparable in magnitude across all three coefficients, while the fit remains at the noise floor, with a best RMSE of 0.0968 against a realised noise RMSE of 0.0973.</w:t>
      </w:r>
    </w:p>
    <w:p>
      <w:pPr>
        <w:pStyle w:val="BodyText"/>
      </w:pPr>
      <w:r>
        <w:t xml:space="preserve">A separate sensitivity test over 30 noise realisations then asked whether that displacement is a</w:t>
      </w:r>
      <w:r>
        <w:t xml:space="preserve"> </w:t>
      </w:r>
      <w:r>
        <w:t xml:space="preserve">property of the imposed structure or of the particular noise draw. This test reports the raw</w:t>
      </w:r>
      <w:r>
        <w:t xml:space="preserve"> </w:t>
      </w:r>
      <w:r>
        <w:t xml:space="preserve">fraction of the arithmetic-to-length-weighted gap travelled, without the paired control</w:t>
      </w:r>
      <w:r>
        <w:t xml:space="preserve"> </w:t>
      </w:r>
      <w:r>
        <w:t xml:space="preserve">adjustment. At an amplitude of</w:t>
      </w:r>
      <w:r>
        <w:t xml:space="preserve"> </w:t>
      </w:r>
      <m:oMath>
        <m:r>
          <m:t>λ</m:t>
        </m:r>
        <m:r>
          <m:rPr>
            <m:sty m:val="p"/>
          </m:rPr>
          <m:t>=</m:t>
        </m:r>
        <m:r>
          <m:t>0.50</m:t>
        </m:r>
      </m:oMath>
      <w:r>
        <w:t xml:space="preserve"> </w:t>
      </w:r>
      <w:r>
        <w:t xml:space="preserve">the median fractions were 0.86, 1.12 and 0.92</w:t>
      </w:r>
      <w:r>
        <w:t xml:space="preserve"> </w:t>
      </w:r>
      <w:r>
        <w:t xml:space="preserve">for old, average and new, and they lay between 0.74 and 1.26 for every zone at every non-zero</w:t>
      </w:r>
      <w:r>
        <w:t xml:space="preserve"> </w:t>
      </w:r>
      <w:r>
        <w:t xml:space="preserve">amplitude tested; at</w:t>
      </w:r>
      <w:r>
        <w:t xml:space="preserve"> </w:t>
      </w:r>
      <m:oMath>
        <m:r>
          <m:t>λ</m:t>
        </m:r>
        <m:r>
          <m:rPr>
            <m:sty m:val="p"/>
          </m:rPr>
          <m:t>=</m:t>
        </m:r>
        <m:r>
          <m:t>0</m:t>
        </m:r>
      </m:oMath>
      <w:r>
        <w:t xml:space="preserve"> </w:t>
      </w:r>
      <w:r>
        <w:t xml:space="preserve">the two targets coincide and the fraction is undefined. The</w:t>
      </w:r>
      <w:r>
        <w:t xml:space="preserve"> </w:t>
      </w:r>
      <w:r>
        <w:t xml:space="preserve">5th-to-95th ranges are wide and overlap heavily across zones, at [0.12, 1.46] for old, [−0.07, 2.43] for average and [−0.03, 1.78] for new. All three contain unity, so the coefficients</w:t>
      </w:r>
      <w:r>
        <w:t xml:space="preserve"> </w:t>
      </w:r>
      <w:r>
        <w:t xml:space="preserve">cannot be ordered against one another. The representative realisation shown in Figure 5C places</w:t>
      </w:r>
      <w:r>
        <w:t xml:space="preserve"> </w:t>
      </w:r>
      <w:r>
        <w:t xml:space="preserve">the average-zone estimate beyond the length-weighted value, but that apparent overshoot is not</w:t>
      </w:r>
      <w:r>
        <w:t xml:space="preserve"> </w:t>
      </w:r>
      <w:r>
        <w:t xml:space="preserve">stable: across noise realisations the interval spans both sides of unity. At</w:t>
      </w:r>
      <w:r>
        <w:t xml:space="preserve"> </w:t>
      </w:r>
      <m:oMath>
        <m:r>
          <m:t>λ</m:t>
        </m:r>
        <m:r>
          <m:rPr>
            <m:sty m:val="p"/>
          </m:rPr>
          <m:t>=</m:t>
        </m:r>
        <m:r>
          <m:t>0.75</m:t>
        </m:r>
      </m:oMath>
      <w:r>
        <w:t xml:space="preserve"> </w:t>
      </w:r>
      <w:r>
        <w:t xml:space="preserve">all three intervals exclude zero, so the displacement away from the arithmetic mean in the</w:t>
      </w:r>
      <w:r>
        <w:t xml:space="preserve"> </w:t>
      </w:r>
      <w:r>
        <w:t xml:space="preserve">length-weighted direction is resolved at the tested noise level, even though its size is not.</w:t>
      </w:r>
    </w:p>
    <w:p>
      <w:pPr>
        <w:pStyle w:val="BodyText"/>
      </w:pPr>
      <w:r>
        <w:t xml:space="preserve">The informal comparator attenuates the effect substantially and consistently. Its median</w:t>
      </w:r>
      <w:r>
        <w:t xml:space="preserve"> </w:t>
      </w:r>
      <w:r>
        <w:t xml:space="preserve">fraction for the old zone is 0.65, 0.43 and 0.34 at</w:t>
      </w:r>
      <w:r>
        <w:t xml:space="preserve"> </w:t>
      </w:r>
      <m:oMath>
        <m:r>
          <m:t>λ</m:t>
        </m:r>
        <m:r>
          <m:rPr>
            <m:sty m:val="p"/>
          </m:rPr>
          <m:t>=</m:t>
        </m:r>
        <m:r>
          <m:t>0.25</m:t>
        </m:r>
      </m:oMath>
      <w:r>
        <w:t xml:space="preserve">, 0.50 and 0.75, against formal medians of 1.10, 0.86 and 0.74, that is between 0.46 and 0.59 of the formal value at every strength. Both rules report a falling fraction as</w:t>
      </w:r>
      <w:r>
        <w:t xml:space="preserve"> </w:t>
      </w:r>
      <m:oMath>
        <m:r>
          <m:t>λ</m:t>
        </m:r>
      </m:oMath>
      <w:r>
        <w:t xml:space="preserve"> </w:t>
      </w:r>
      <w:r>
        <w:t xml:space="preserve">grows, but because the gap itself</w:t>
      </w:r>
      <w:r>
        <w:t xml:space="preserve"> </w:t>
      </w:r>
      <w:r>
        <w:t xml:space="preserve">widens the absolute displacement rises under both; the informal weighting simply recovers about</w:t>
      </w:r>
      <w:r>
        <w:t xml:space="preserve"> </w:t>
      </w:r>
      <w:r>
        <w:t xml:space="preserve">half as much of it. A score that is nearly flat inside its behavioural set cannot follow a</w:t>
      </w:r>
      <w:r>
        <w:t xml:space="preserve"> </w:t>
      </w:r>
      <w:r>
        <w:t xml:space="preserve">systematic displacement, so a study relying on it would materially understate how far structural</w:t>
      </w:r>
      <w:r>
        <w:t xml:space="preserve"> </w:t>
      </w:r>
      <w:r>
        <w:t xml:space="preserve">misspecification moves a grouped coefficient.</w:t>
      </w:r>
    </w:p>
    <w:bookmarkEnd w:id="77"/>
    <w:bookmarkStart w:id="81" w:name="what-a-grouped-coefficient-represents"/>
    <w:p>
      <w:pPr>
        <w:pStyle w:val="Heading3"/>
      </w:pPr>
      <w:r>
        <w:t xml:space="preserve">3.4.3 What a grouped coefficient represents</w:t>
      </w:r>
    </w:p>
    <w:p>
      <w:pPr>
        <w:pStyle w:val="FirstParagraph"/>
      </w:pPr>
      <w:r>
        <w:t xml:space="preserve">Length was chosen because it cleanly separates the two candidate targets, not because it is the</w:t>
      </w:r>
      <w:r>
        <w:t xml:space="preserve"> </w:t>
      </w:r>
      <w:r>
        <w:t xml:space="preserve">physically correct weighting. The reaction weight of a pipe depends on its flow, direction,</w:t>
      </w:r>
      <w:r>
        <w:t xml:space="preserve"> </w:t>
      </w:r>
      <w:r>
        <w:t xml:space="preserve">diameter and residence time, and on how strongly the six monitors see it. A sensitivity- or Jacobian-weighted effective mean, which would identify what the fit actually estimates, was not computed here and remains open work.</w:t>
      </w:r>
    </w:p>
    <w:p>
      <w:pPr>
        <w:pStyle w:val="BodyText"/>
      </w:pPr>
      <w:r>
        <w:t xml:space="preserve">Two consequences follow. A grouped calibrated coefficient is a model- and observation-dependent</w:t>
      </w:r>
      <w:r>
        <w:t xml:space="preserve"> </w:t>
      </w:r>
      <w:r>
        <w:t xml:space="preserve">effective parameter rather than a physical average of its pipes, so using it to infer the</w:t>
      </w:r>
      <w:r>
        <w:t xml:space="preserve"> </w:t>
      </w:r>
      <w:r>
        <w:t xml:space="preserve">condition of individual assets is not supported here. And unlike the measurement errors of</w:t>
      </w:r>
      <w:r>
        <w:t xml:space="preserve"> </w:t>
      </w:r>
      <w:r>
        <w:t xml:space="preserve">Section 3.3, this discrepancy cannot be removed by improving sensor precision, because its</w:t>
      </w:r>
      <w:r>
        <w:t xml:space="preserve"> </w:t>
      </w:r>
      <w:r>
        <w:t xml:space="preserve">source is the grouped model rather than the observation process, though better instruments would make it easier to detect.</w:t>
      </w:r>
    </w:p>
    <w:p>
      <w:pPr>
        <w:pStyle w:val="CaptionedFigure"/>
      </w:pPr>
      <w:r>
        <w:drawing>
          <wp:inline>
            <wp:extent cx="5753100" cy="1462293"/>
            <wp:effectExtent b="0" l="0" r="0" t="0"/>
            <wp:docPr descr="Figure 5. Symmetric and structured within-zone heterogeneity. (A) Structural increment over 25 independent +/-20% fields, in baseline posterior standard deviations. (B) One field against the 25-field mean, showing sign reversal. (C) Raw displacement fraction f_j, median and 5–95% range over 30 noise realisations, with the single control-adjusted reference realisation marked faintly. (D) Structural residual against the largest standardised displacement." title="" id="79" name="Picture"/>
            <a:graphic>
              <a:graphicData uri="http://schemas.openxmlformats.org/drawingml/2006/picture">
                <pic:pic>
                  <pic:nvPicPr>
                    <pic:cNvPr descr="figures/paper/fig5_symmetric_vs_structured.png" id="80" name="Picture"/>
                    <pic:cNvPicPr>
                      <a:picLocks noChangeArrowheads="1" noChangeAspect="1"/>
                    </pic:cNvPicPr>
                  </pic:nvPicPr>
                  <pic:blipFill>
                    <a:blip r:embed="rId78"/>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(A) Structural increment over 25 independent +/-20% fields, in baseline posterior standard deviations. (B) One field against the 25-field mean, showing sign reversal. (C) Raw displacement fraction</w:t>
      </w:r>
      <w:r>
        <w:t xml:space="preserve"> </w:t>
      </w:r>
      <m:oMath>
        <m:sSub>
          <m:e>
            <m:r>
              <m:t>f</m:t>
            </m:r>
          </m:e>
          <m:sub>
            <m:r>
              <m:t>j</m:t>
            </m:r>
          </m:sub>
        </m:sSub>
      </m:oMath>
      <w:r>
        <w:t xml:space="preserve">, median and 5–95% range over 30 noise realisations, with the single control-adjusted reference realisation marked faintly. (D) Structural residual against the largest standardised displacement.</w:t>
      </w:r>
    </w:p>
    <w:bookmarkEnd w:id="81"/>
    <w:bookmarkEnd w:id="82"/>
    <w:bookmarkStart w:id="89" w:name="X44cb885e018a13507da67f983d6df8610da438a"/>
    <w:p>
      <w:pPr>
        <w:pStyle w:val="Heading2"/>
      </w:pPr>
      <w:r>
        <w:t xml:space="preserve">3.5 Predictive accuracy is not parameter identification</w:t>
      </w:r>
    </w:p>
    <w:bookmarkStart w:id="83" w:name="leaving-out-one-monitor"/>
    <w:p>
      <w:pPr>
        <w:pStyle w:val="Heading3"/>
      </w:pPr>
      <w:r>
        <w:t xml:space="preserve">3.5.1 Leaving out one monitor</w:t>
      </w:r>
    </w:p>
    <w:p>
      <w:pPr>
        <w:pStyle w:val="FirstParagraph"/>
      </w:pPr>
      <w:r>
        <w:t xml:space="preserve">If a calibrated model predicts well at a sensor it never saw, the calibration is often taken to</w:t>
      </w:r>
      <w:r>
        <w:t xml:space="preserve"> </w:t>
      </w:r>
      <w:r>
        <w:t xml:space="preserve">be validated. Withholding each of the six monitors in turn and refitting gives held-out RMSEs</w:t>
      </w:r>
      <w:r>
        <w:t xml:space="preserve"> </w:t>
      </w:r>
      <w:r>
        <w:t xml:space="preserve">between 0.092 and 0.103 mg L</w:t>
      </w:r>
      <w:r>
        <w:rPr>
          <w:vertAlign w:val="superscript"/>
        </w:rPr>
        <w:t xml:space="preserve">-1</w:t>
      </w:r>
      <w:r>
        <w:t xml:space="preserve"> </w:t>
      </w:r>
      <w:r>
        <w:t xml:space="preserve">against an observation noise standard deviation of 0.1, with</w:t>
      </w:r>
      <w:r>
        <w:t xml:space="preserve"> </w:t>
      </w:r>
      <w:r>
        <w:t xml:space="preserve">90% predictive interval coverage between 0.90 and 0.94 (Table 5). Taken at face value, these</w:t>
      </w:r>
      <w:r>
        <w:t xml:space="preserve"> </w:t>
      </w:r>
      <w:r>
        <w:t xml:space="preserve">diagnostics indicate good held-out predictive performance at all six monitors.</w:t>
      </w:r>
    </w:p>
    <w:p>
      <w:pPr>
        <w:pStyle w:val="BodyText"/>
      </w:pPr>
      <w:r>
        <w:t xml:space="preserve">Two observations qualify that reading. First, each zone retains its second monitor throughout,</w:t>
      </w:r>
      <w:r>
        <w:t xml:space="preserve"> </w:t>
      </w:r>
      <w:r>
        <w:t xml:space="preserve">so the test establishes prediction at an unseen monitor while its reaction zone remains locally</w:t>
      </w:r>
      <w:r>
        <w:t xml:space="preserve"> </w:t>
      </w:r>
      <w:r>
        <w:t xml:space="preserve">observed; it does not test whether that zone’s coefficient can be identified without local</w:t>
      </w:r>
      <w:r>
        <w:t xml:space="preserve"> </w:t>
      </w:r>
      <w:r>
        <w:t xml:space="preserve">monitoring. Second, the informal comparator achieved almost the same held-out RMSE, 0.092 to</w:t>
      </w:r>
      <w:r>
        <w:t xml:space="preserve"> </w:t>
      </w:r>
      <w:r>
        <w:t xml:space="preserve">0.102 mg L</w:t>
      </w:r>
      <w:r>
        <w:rPr>
          <w:vertAlign w:val="superscript"/>
        </w:rPr>
        <w:t xml:space="preserve">-1</w:t>
      </w:r>
      <w:r>
        <w:t xml:space="preserve">, despite producing the much broader and more prior-sensitive parameter</w:t>
      </w:r>
      <w:r>
        <w:t xml:space="preserve"> </w:t>
      </w:r>
      <w:r>
        <w:t xml:space="preserve">distributions of Section 3.2. A weighting rule can therefore extract very little parameter</w:t>
      </w:r>
      <w:r>
        <w:t xml:space="preserve"> </w:t>
      </w:r>
      <w:r>
        <w:t xml:space="preserve">information and still predict concentrations about as well, which is a first indication that</w:t>
      </w:r>
      <w:r>
        <w:t xml:space="preserve"> </w:t>
      </w:r>
      <w:r>
        <w:t xml:space="preserve">predictive adequacy and parameter identification are distinct properties.</w:t>
      </w:r>
    </w:p>
    <w:bookmarkEnd w:id="83"/>
    <w:bookmarkStart w:id="84" w:name="leaving-out-a-whole-zone"/>
    <w:p>
      <w:pPr>
        <w:pStyle w:val="Heading3"/>
      </w:pPr>
      <w:r>
        <w:t xml:space="preserve">3.5.2 Leaving out a whole zone</w:t>
      </w:r>
    </w:p>
    <w:p>
      <w:pPr>
        <w:pStyle w:val="FirstParagraph"/>
      </w:pPr>
      <w:r>
        <w:t xml:space="preserve">Withholding both monitors of a zone removes that local information. The old-zone coefficient</w:t>
      </w:r>
      <w:r>
        <w:t xml:space="preserve"> </w:t>
      </w:r>
      <w:r>
        <w:t xml:space="preserve">then returns to −0.851 and the average-zone coefficient to −0.120, the midpoints of their priors</w:t>
      </w:r>
      <w:r>
        <w:t xml:space="preserve"> </w:t>
      </w:r>
      <w:r>
        <w:t xml:space="preserve">to three decimal places, and both retain 100% of the prior standard deviation: the observations</w:t>
      </w:r>
      <w:r>
        <w:t xml:space="preserve"> </w:t>
      </w:r>
      <w:r>
        <w:t xml:space="preserve">provide effectively no update beyond the prior for those two coefficients. The new-zone</w:t>
      </w:r>
      <w:r>
        <w:t xml:space="preserve"> </w:t>
      </w:r>
      <w:r>
        <w:t xml:space="preserve">coefficient behaves differently, retaining about 57% of its prior standard deviation, which is</w:t>
      </w:r>
      <w:r>
        <w:t xml:space="preserve"> </w:t>
      </w:r>
      <w:r>
        <w:t xml:space="preserve">consistent with the upstream position of the new zone and with the cross-zone sensitivity</w:t>
      </w:r>
      <w:r>
        <w:t xml:space="preserve"> </w:t>
      </w:r>
      <w:r>
        <w:t xml:space="preserve">visible in the Fisher analysis of Section 3.3.3.</w:t>
      </w:r>
    </w:p>
    <w:p>
      <w:pPr>
        <w:pStyle w:val="BodyText"/>
      </w:pPr>
      <w:r>
        <w:t xml:space="preserve">Predictive performance barely notices. Held-out RMSE at the dropped monitors is 0.0999, 0.0988 and 0.1006 mg L</w:t>
      </w:r>
      <w:r>
        <w:rPr>
          <w:vertAlign w:val="superscript"/>
        </w:rPr>
        <w:t xml:space="preserve">-1</w:t>
      </w:r>
      <w:r>
        <w:t xml:space="preserve">, comparable to the leave-one-monitor-out values and to the observation-noise scale, with coverage between 0.90 and 0.96 (Figure 6). Repeating</w:t>
      </w:r>
      <w:r>
        <w:t xml:space="preserve"> </w:t>
      </w:r>
      <w:r>
        <w:t xml:space="preserve">leave-one-zone-out under +/-20% per-pipe heterogeneity across eight independent fields changes</w:t>
      </w:r>
      <w:r>
        <w:t xml:space="preserve"> </w:t>
      </w:r>
      <w:r>
        <w:t xml:space="preserve">little: coefficient errors relative to each field’s own arithmetic mean are +0.139, −0.020 and</w:t>
      </w:r>
      <w:r>
        <w:t xml:space="preserve"> </w:t>
      </w:r>
      <w:r>
        <w:t xml:space="preserve">+0.012 m day</w:t>
      </w:r>
      <w:r>
        <w:rPr>
          <w:vertAlign w:val="superscript"/>
        </w:rPr>
        <w:t xml:space="preserve">-1</w:t>
      </w:r>
      <w:r>
        <w:t xml:space="preserve">, and errors at unmonitored junctions remain between 0.8% and 1.2%. As a</w:t>
      </w:r>
      <w:r>
        <w:t xml:space="preserve"> </w:t>
      </w:r>
      <w:r>
        <w:t xml:space="preserve">separate spatial validation using all six monitors, predictions at twenty junctions that never</w:t>
      </w:r>
      <w:r>
        <w:t xml:space="preserve"> </w:t>
      </w:r>
      <w:r>
        <w:t xml:space="preserve">entered any calibration had a median mean-absolute relative error of 0.83% under the primary</w:t>
      </w:r>
      <w:r>
        <w:t xml:space="preserve"> </w:t>
      </w:r>
      <w:r>
        <w:t xml:space="preserve">likelihood, with an interquartile range of 0.41% to 1.45% across junctions and noise</w:t>
      </w:r>
      <w:r>
        <w:t xml:space="preserve"> </w:t>
      </w:r>
      <w:r>
        <w:t xml:space="preserve">realisations; the median is well inside one per cent but the upper quartile is not.</w:t>
      </w:r>
    </w:p>
    <w:p>
      <w:pPr>
        <w:pStyle w:val="BodyText"/>
      </w:pPr>
      <w:r>
        <w:t xml:space="preserve">The predictive bands at those same junctions are a less flattering result and are reported here</w:t>
      </w:r>
      <w:r>
        <w:t xml:space="preserve"> </w:t>
      </w:r>
      <w:r>
        <w:t xml:space="preserve">for that reason. Against a nominal 90%, the median pointwise coverage was 1.00 for both the</w:t>
      </w:r>
      <w:r>
        <w:t xml:space="preserve"> </w:t>
      </w:r>
      <w:r>
        <w:t xml:space="preserve">normal-approximation and the weighted-quantile band, under the formal rule as well as the</w:t>
      </w:r>
      <w:r>
        <w:t xml:space="preserve"> </w:t>
      </w:r>
      <w:r>
        <w:t xml:space="preserve">informal comparator. That is over-coverage: the bands are conservative rather than calibrated,</w:t>
      </w:r>
      <w:r>
        <w:t xml:space="preserve"> </w:t>
      </w:r>
      <w:r>
        <w:t xml:space="preserve">which is exactly what an inflated parameter spread produces, and it is flattered further because</w:t>
      </w:r>
      <w:r>
        <w:t xml:space="preserve"> </w:t>
      </w:r>
      <w:r>
        <w:t xml:space="preserve">the targets were generated by the same hydraulic and reaction model that produced the</w:t>
      </w:r>
      <w:r>
        <w:t xml:space="preserve"> </w:t>
      </w:r>
      <w:r>
        <w:t xml:space="preserve">predictions. Coverage at these junctions therefore does not establish that the reported</w:t>
      </w:r>
      <w:r>
        <w:t xml:space="preserve"> </w:t>
      </w:r>
      <w:r>
        <w:t xml:space="preserve">uncertainty is correctly sized, and the same caution applies to the nominally well-calibrated</w:t>
      </w:r>
      <w:r>
        <w:t xml:space="preserve"> </w:t>
      </w:r>
      <w:r>
        <w:t xml:space="preserve">coverage of the held-out monitor designs.</w:t>
      </w:r>
    </w:p>
    <w:p>
      <w:pPr>
        <w:pStyle w:val="BodyText"/>
      </w:pPr>
      <w:r>
        <w:t xml:space="preserve">The mechanism differs by zone, and it is not mutual compensation between coefficients: when one</w:t>
      </w:r>
      <w:r>
        <w:t xml:space="preserve"> </w:t>
      </w:r>
      <w:r>
        <w:t xml:space="preserve">zone is withheld the other two coefficients barely move, changing by less than 0.005 m day</w:t>
      </w:r>
      <w:r>
        <w:rPr>
          <w:vertAlign w:val="superscript"/>
        </w:rPr>
        <w:t xml:space="preserve">-1</w:t>
      </w:r>
      <w:r>
        <w:t xml:space="preserve"> </w:t>
      </w:r>
      <w:r>
        <w:t xml:space="preserve">from their six-monitor values. For old and average, the prior midpoints already lie close enough</w:t>
      </w:r>
      <w:r>
        <w:t xml:space="preserve"> </w:t>
      </w:r>
      <w:r>
        <w:t xml:space="preserve">to the imposed truths that a prior-dominated coefficient still produces concentrations whose</w:t>
      </w:r>
      <w:r>
        <w:t xml:space="preserve"> </w:t>
      </w:r>
      <w:r>
        <w:t xml:space="preserve">discrepancies are small relative to the 0.1 mg L</w:t>
      </w:r>
      <w:r>
        <w:rPr>
          <w:vertAlign w:val="superscript"/>
        </w:rPr>
        <w:t xml:space="preserve">-1</w:t>
      </w:r>
      <w:r>
        <w:t xml:space="preserve"> </w:t>
      </w:r>
      <w:r>
        <w:t xml:space="preserve">observation noise. The new coefficient is</w:t>
      </w:r>
      <w:r>
        <w:t xml:space="preserve"> </w:t>
      </w:r>
      <w:r>
        <w:t xml:space="preserve">different in kind, retaining genuine information from monitors outside its own zone. A zone</w:t>
      </w:r>
      <w:r>
        <w:t xml:space="preserve"> </w:t>
      </w:r>
      <w:r>
        <w:t xml:space="preserve">coefficient can therefore remain effectively at its prior while predictions at the withheld</w:t>
      </w:r>
      <w:r>
        <w:t xml:space="preserve"> </w:t>
      </w:r>
      <w:r>
        <w:t xml:space="preserve">monitors of that same zone stay close to the observation-noise scale.</w:t>
      </w:r>
    </w:p>
    <w:bookmarkEnd w:id="84"/>
    <w:bookmarkStart w:id="88" w:name="X68f19514e01396656c07c61bd9e2aff5b14a223"/>
    <w:p>
      <w:pPr>
        <w:pStyle w:val="Heading3"/>
      </w:pPr>
      <w:r>
        <w:t xml:space="preserve">3.5.3 What predictive validation does and does not license</w:t>
      </w:r>
    </w:p>
    <w:p>
      <w:pPr>
        <w:pStyle w:val="FirstParagraph"/>
      </w:pPr>
      <w:r>
        <w:t xml:space="preserve">The two claims support different uses. 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 passes. A model adequate for</w:t>
      </w:r>
      <w:r>
        <w:t xml:space="preserve"> </w:t>
      </w:r>
      <w:r>
        <w:t xml:space="preserve">concentration screening may still be inadequate for asset diagnosis.</w:t>
      </w:r>
    </w:p>
    <w:p>
      <w:pPr>
        <w:pStyle w:val="BodyText"/>
      </w:pPr>
      <w:r>
        <w:t xml:space="preserve">Nor is this an external validation. Even the heterogeneous-truth extension retains the same</w:t>
      </w:r>
      <w:r>
        <w:t xml:space="preserve"> </w:t>
      </w:r>
      <w:r>
        <w:t xml:space="preserve">underlying hydraulics, the same first-order reaction family and the same solver, and no field</w:t>
      </w:r>
      <w:r>
        <w:t xml:space="preserve"> </w:t>
      </w:r>
      <w:r>
        <w:t xml:space="preserve">observations are used. The exercise establishes internal predictive consistency, not</w:t>
      </w:r>
      <w:r>
        <w:t xml:space="preserve"> </w:t>
      </w:r>
      <w:r>
        <w:t xml:space="preserve">real-network validity.</w:t>
      </w:r>
    </w:p>
    <w:p>
      <w:pPr>
        <w:pStyle w:val="CaptionedFigure"/>
      </w:pPr>
      <w:r>
        <w:drawing>
          <wp:inline>
            <wp:extent cx="5753100" cy="2077667"/>
            <wp:effectExtent b="0" l="0" r="0" t="0"/>
            <wp:docPr descr="Figure 6. A zone coefficient can remain at its prior while prediction stays near the noise scale. For each withheld zone, the median inferred coefficient over 30 realisations with a 90% width, against prior support, prior midpoint and truth. Right, held-out RMSE at the dropped monitors against the noise level." title="" id="86" name="Picture"/>
            <a:graphic>
              <a:graphicData uri="http://schemas.openxmlformats.org/drawingml/2006/picture">
                <pic:pic>
                  <pic:nvPicPr>
                    <pic:cNvPr descr="figures/paper/fig6_prediction_without_identification.png" id="87" name="Picture"/>
                    <pic:cNvPicPr>
                      <a:picLocks noChangeArrowheads="1" noChangeAspect="1"/>
                    </pic:cNvPicPr>
                  </pic:nvPicPr>
                  <pic:blipFill>
                    <a:blip r:embed="rId85"/>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A zone coefficient can remain at its prior while prediction stays near the noise scale.</w:t>
      </w:r>
      <w:r>
        <w:t xml:space="preserve"> </w:t>
      </w:r>
      <w:r>
        <w:t xml:space="preserve">For each withheld zone, the median inferred coefficient over 30 realisations with a 90% width, against prior support, prior midpoint and truth. Right, held-out RMSE at the dropped monitors against the noise level.</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Leave-one-monitor-out rows withhold a single sensor, leave-one-zone-out rows both sensors of a zone. Own-coefficient error is measured against the true zone value.</w:t>
      </w:r>
    </w:p>
    <w:bookmarkEnd w:id="88"/>
    <w:bookmarkEnd w:id="89"/>
    <w:bookmarkStart w:id="96" w:name="X18a78fb24137a841c027c2d5aa826b00ca777e2"/>
    <w:p>
      <w:pPr>
        <w:pStyle w:val="Heading2"/>
      </w:pPr>
      <w:r>
        <w:t xml:space="preserve">3.6 Propagation to operational low-chlorine risk</w:t>
      </w:r>
    </w:p>
    <w:bookmarkStart w:id="90" w:name="Xc055e23747760d795e741d8a0b84e2d3ce1b6f3"/>
    <w:p>
      <w:pPr>
        <w:pStyle w:val="Heading3"/>
      </w:pPr>
      <w:r>
        <w:t xml:space="preserve">3.6.1 Duration, depth and hydraulic interpretation</w:t>
      </w:r>
    </w:p>
    <w:p>
      <w:pPr>
        <w:pStyle w:val="FirstParagraph"/>
      </w:pPr>
      <w:r>
        <w:t xml:space="preserve">Calibration uncertainty matters operationally when it changes estimated risk or the</w:t>
      </w:r>
      <w:r>
        <w:t xml:space="preserve"> </w:t>
      </w:r>
      <w:r>
        <w:t xml:space="preserve">prioritisation of locations for action, so the ensemble was propagated to the network and</w:t>
      </w:r>
      <w:r>
        <w:t xml:space="preserve"> </w:t>
      </w:r>
      <w:r>
        <w:t xml:space="preserve">summarised with several metrics rather than one.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deficit combines persistence with depth, and</w:t>
      </w:r>
      <w:r>
        <w:t xml:space="preserve"> </w:t>
      </w:r>
      <w:r>
        <w:t xml:space="preserve">the two therefore rank the network 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90"/>
    <w:bookmarkStart w:id="91"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1"/>
    <w:bookmarkStart w:id="95"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Scenario A reproduces the 12 degree Celsius baseline but</w:t>
      </w:r>
      <w:r>
        <w:t xml:space="preserve"> </w:t>
      </w:r>
      <w:r>
        <w:t xml:space="preserve">includes the prescribed temperature uncertainty around that reference, shifting the network-mean</w:t>
      </w:r>
      <w:r>
        <w:t xml:space="preserve"> </w:t>
      </w:r>
      <w:r>
        <w:t xml:space="preserve">cumulative deficit from the fixed-temperature 0.218 mg L</w:t>
      </w:r>
      <w:r>
        <w:rPr>
          <w:vertAlign w:val="superscript"/>
        </w:rPr>
        <w:t xml:space="preserve">-1</w:t>
      </w:r>
      <w:r>
        <w:t xml:space="preserve"> </w:t>
      </w:r>
      <w:r>
        <w:t xml:space="preserve">h of Section 3.6.1 to 0.222 while</w:t>
      </w:r>
      <w:r>
        <w:t xml:space="preserve"> </w:t>
      </w:r>
      <w:r>
        <w:t xml:space="preserve">leaving the 21-junction breach count and 55.4 L s</w:t>
      </w:r>
      <w:r>
        <w:rPr>
          <w:vertAlign w:val="superscript"/>
        </w:rPr>
        <w:t xml:space="preserve">-1</w:t>
      </w:r>
      <w:r>
        <w:t xml:space="preserve"> </w:t>
      </w:r>
      <w:r>
        <w:t xml:space="preserve">of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Dosing improves the continuous severity metrics without restoring the baseline</w:t>
      </w:r>
      <w:r>
        <w:t xml:space="preserve"> </w:t>
      </w:r>
      <w:r>
        <w:t xml:space="preserve">demand-at-risk level; the identical figure at both doses is a plateau of the binary</w:t>
      </w:r>
      <w:r>
        <w:t xml:space="preserve"> </w:t>
      </w:r>
      <w:r>
        <w:t xml:space="preserve">classification, not evidence 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each perturbation, both metrics. (C) Expected duration against deficit for all 92 junctions." title="" id="93" name="Picture"/>
            <a:graphic>
              <a:graphicData uri="http://schemas.openxmlformats.org/drawingml/2006/picture">
                <pic:pic>
                  <pic:nvPicPr>
                    <pic:cNvPr descr="figures/paper/fig7_metric_specific_risk.png" id="94" name="Picture"/>
                    <pic:cNvPicPr>
                      <a:picLocks noChangeArrowheads="1" noChangeAspect="1"/>
                    </pic:cNvPicPr>
                  </pic:nvPicPr>
                  <pic:blipFill>
                    <a:blip r:embed="rId92"/>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each perturbation, both metrics. (C) Expected duration against deficit for all 92 junctions.</w:t>
      </w:r>
    </w:p>
    <w:bookmarkEnd w:id="95"/>
    <w:bookmarkEnd w:id="96"/>
    <w:bookmarkStart w:id="101"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7"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the fit apparently precise.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displacements of several</w:t>
      </w:r>
      <w:r>
        <w:t xml:space="preserve"> </w:t>
      </w:r>
      <w:r>
        <w:t xml:space="preserve">posterior standard deviations often left the leading set ranked by cumulative deficit unchanged</w:t>
      </w:r>
      <w:r>
        <w:t xml:space="preserve"> </w:t>
      </w:r>
      <w:r>
        <w:t xml:space="preserve">while the ranking by time-averaged breach probability was 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7"/>
    <w:bookmarkStart w:id="98" w:name="methodological-implications"/>
    <w:p>
      <w:pPr>
        <w:pStyle w:val="Heading3"/>
      </w:pPr>
      <w:r>
        <w:t xml:space="preserve">3.7.2 Methodological implications</w:t>
      </w:r>
    </w:p>
    <w:p>
      <w:pPr>
        <w:pStyle w:val="FirstParagraph"/>
      </w:pPr>
      <w:r>
        <w:t xml:space="preserve">Four safeguards proved necessary, each following from a result above rather than from general</w:t>
      </w:r>
      <w:r>
        <w:t xml:space="preserve"> </w:t>
      </w:r>
      <w:r>
        <w:t xml:space="preserve">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8"/>
    <w:bookmarkStart w:id="99"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9"/>
    <w:bookmarkStart w:id="100"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100"/>
    <w:bookmarkEnd w:id="101"/>
    <w:bookmarkEnd w:id="102"/>
    <w:bookmarkStart w:id="103"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an independent Fisher bound, a continuous profile</w:t>
      </w:r>
      <w:r>
        <w:t xml:space="preserve"> </w:t>
      </w:r>
      <w:r>
        <w:t xml:space="preserve">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and structured within-zone heterogeneity instead displace the estimate by several</w:t>
      </w:r>
      <w:r>
        <w:t xml:space="preserve"> </w:t>
      </w:r>
      <w:r>
        <w:t xml:space="preserve">posterior standard deviations while aggregate fit remains at the noise floor, so in the cases</w:t>
      </w:r>
      <w:r>
        <w:t xml:space="preserve"> </w:t>
      </w:r>
      <w:r>
        <w:t xml:space="preserve">tested here neither was revealed by the aggregate residual statistic used. Bulk-decay</w:t>
      </w:r>
      <w:r>
        <w:t xml:space="preserve"> </w:t>
      </w:r>
      <w:r>
        <w:t xml:space="preserve">uncertainty does both and falls disproportionately on the two weakly decaying zones; under the</w:t>
      </w:r>
      <w:r>
        <w:t xml:space="preserve"> </w:t>
      </w:r>
      <w:r>
        <w:t xml:space="preserve">local Fisher analysis and the study-specific criterion that the Cramér–Rao bound stay below the</w:t>
      </w:r>
      <w:r>
        <w:t xml:space="preserve"> </w:t>
      </w:r>
      <w:r>
        <w:t xml:space="preserve">prior standard deviation, those two coefficients cease to be practically identifiable from this</w:t>
      </w:r>
      <w:r>
        <w:t xml:space="preserve"> </w:t>
      </w:r>
      <w:r>
        <w:t xml:space="preserve">six-monitor design once bulk decay and monitor-specific offsets are treated as unknown together.</w:t>
      </w:r>
      <w:r>
        <w:t xml:space="preserve"> </w:t>
      </w:r>
      <w:r>
        <w:t xml:space="preserve">Structured heterogeneity displaced all three coefficients comparably, although the zones</w:t>
      </w:r>
      <w:r>
        <w:t xml:space="preserve"> </w:t>
      </w:r>
      <w:r>
        <w:t xml:space="preserve">could not be ordered against one another across noise realisations, and the length-weighted</w:t>
      </w:r>
      <w:r>
        <w:t xml:space="preserve"> </w:t>
      </w:r>
      <w:r>
        <w:t xml:space="preserve">value used to separate the candidate targets is a directional comparator rather than the</w:t>
      </w:r>
      <w:r>
        <w:t xml:space="preserve"> </w:t>
      </w:r>
      <w:r>
        <w:t xml:space="preserve">quantity a grouped fit estimates.</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while the</w:t>
      </w:r>
      <w:r>
        <w:t xml:space="preserve"> </w:t>
      </w:r>
      <w:r>
        <w:t xml:space="preserve">new-zone coefficient stayed partly constrained by the remaining monitors and retained 57% of it.</w:t>
      </w:r>
      <w:r>
        <w:t xml:space="preserve"> </w:t>
      </w:r>
      <w:r>
        <w:t xml:space="preserve">In all three cases held-out prediction at those same monitors stayed at the observation-noise</w:t>
      </w:r>
      <w:r>
        <w:t xml:space="preserve"> </w:t>
      </w:r>
      <w:r>
        <w:t xml:space="preserve">scale, and across the 20 never-calibrated junctions and 30 noise realisations the median</w:t>
      </w:r>
      <w:r>
        <w:t xml:space="preserve"> </w:t>
      </w:r>
      <w:r>
        <w:t xml:space="preserve">node-level mean absolute relative error was 0.83%, with an interquartile range of 0.41–1.45%.</w:t>
      </w:r>
      <w:r>
        <w:t xml:space="preserve"> </w:t>
      </w:r>
      <w:r>
        <w:t xml:space="preserve">Parameter displacements of several standard deviations left whole-network</w:t>
      </w:r>
      <w:r>
        <w:t xml:space="preserve"> </w:t>
      </w:r>
      <w:r>
        <w:t xml:space="preserve">rank correlations high, but the six-node shortlist an operator would act on changed under some</w:t>
      </w:r>
      <w:r>
        <w:t xml:space="preserve"> </w:t>
      </w:r>
      <w:r>
        <w:t xml:space="preserve">perturbations and not others, and which it was depended on whether the ranking used expected</w:t>
      </w:r>
      <w:r>
        <w:t xml:space="preserve"> </w:t>
      </w:r>
      <w:r>
        <w:t xml:space="preserve">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3"/>
    <w:bookmarkStart w:id="133" w:name="references"/>
    <w:p>
      <w:pPr>
        <w:pStyle w:val="Heading1"/>
      </w:pPr>
      <w:r>
        <w:t xml:space="preserve">References</w:t>
      </w:r>
    </w:p>
    <w:bookmarkStart w:id="132" w:name="refs"/>
    <w:bookmarkStart w:id="105"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4">
        <w:r>
          <w:rPr>
            <w:rStyle w:val="Hyperlink"/>
          </w:rPr>
          <w:t xml:space="preserve">10.1002/hyp.3360060305</w:t>
        </w:r>
      </w:hyperlink>
      <w:r>
        <w:t xml:space="preserve">.</w:t>
      </w:r>
    </w:p>
    <w:bookmarkEnd w:id="105"/>
    <w:bookmarkStart w:id="107"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6">
        <w:r>
          <w:rPr>
            <w:rStyle w:val="Hyperlink"/>
          </w:rPr>
          <w:t xml:space="preserve">10.1002/hyp.10082</w:t>
        </w:r>
      </w:hyperlink>
      <w:r>
        <w:t xml:space="preserve">.</w:t>
      </w:r>
    </w:p>
    <w:bookmarkEnd w:id="107"/>
    <w:bookmarkStart w:id="109"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8">
        <w:r>
          <w:rPr>
            <w:rStyle w:val="Hyperlink"/>
          </w:rPr>
          <w:t xml:space="preserve">10.1029/2000WR900350</w:t>
        </w:r>
      </w:hyperlink>
      <w:r>
        <w:t xml:space="preserve">.</w:t>
      </w:r>
    </w:p>
    <w:bookmarkEnd w:id="109"/>
    <w:bookmarkStart w:id="111"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0">
        <w:r>
          <w:rPr>
            <w:rStyle w:val="Hyperlink"/>
          </w:rPr>
          <w:t xml:space="preserve">10.1016/S0043-1354(02)00056-8</w:t>
        </w:r>
      </w:hyperlink>
      <w:r>
        <w:t xml:space="preserve">.</w:t>
      </w:r>
    </w:p>
    <w:bookmarkEnd w:id="111"/>
    <w:bookmarkStart w:id="113"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2">
        <w:r>
          <w:rPr>
            <w:rStyle w:val="Hyperlink"/>
          </w:rPr>
          <w:t xml:space="preserve">10.1016/j.envsoft.2017.06.022</w:t>
        </w:r>
      </w:hyperlink>
      <w:r>
        <w:t xml:space="preserve">.</w:t>
      </w:r>
    </w:p>
    <w:bookmarkEnd w:id="113"/>
    <w:bookmarkStart w:id="115"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4">
        <w:r>
          <w:rPr>
            <w:rStyle w:val="Hyperlink"/>
          </w:rPr>
          <w:t xml:space="preserve">10.1016/j.jhydrol.2006.04.046</w:t>
        </w:r>
      </w:hyperlink>
      <w:r>
        <w:t xml:space="preserve">.</w:t>
      </w:r>
    </w:p>
    <w:bookmarkEnd w:id="115"/>
    <w:bookmarkStart w:id="117"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16">
        <w:r>
          <w:rPr>
            <w:rStyle w:val="Hyperlink"/>
          </w:rPr>
          <w:t xml:space="preserve">10.1061/(ASCE)0733-9496(2003)129:2(124)</w:t>
        </w:r>
      </w:hyperlink>
      <w:r>
        <w:t xml:space="preserve">.</w:t>
      </w:r>
    </w:p>
    <w:bookmarkEnd w:id="117"/>
    <w:bookmarkStart w:id="119"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18">
        <w:r>
          <w:rPr>
            <w:rStyle w:val="Hyperlink"/>
          </w:rPr>
          <w:t xml:space="preserve">10.1016/j.proeng.2014.02.135</w:t>
        </w:r>
      </w:hyperlink>
      <w:r>
        <w:t xml:space="preserve">.</w:t>
      </w:r>
    </w:p>
    <w:bookmarkEnd w:id="119"/>
    <w:bookmarkStart w:id="121"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20">
        <w:r>
          <w:rPr>
            <w:rStyle w:val="Hyperlink"/>
          </w:rPr>
          <w:t xml:space="preserve">10.1016/S0043-1354(99)00097-4</w:t>
        </w:r>
      </w:hyperlink>
      <w:r>
        <w:t xml:space="preserve">.</w:t>
      </w:r>
    </w:p>
    <w:bookmarkEnd w:id="121"/>
    <w:bookmarkStart w:id="123"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22">
        <w:r>
          <w:rPr>
            <w:rStyle w:val="Hyperlink"/>
          </w:rPr>
          <w:t xml:space="preserve">10.1093/bioinformatics/btp358</w:t>
        </w:r>
      </w:hyperlink>
      <w:r>
        <w:t xml:space="preserve">.</w:t>
      </w:r>
    </w:p>
    <w:bookmarkEnd w:id="123"/>
    <w:bookmarkStart w:id="124"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24"/>
    <w:bookmarkStart w:id="126"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25">
        <w:r>
          <w:rPr>
            <w:rStyle w:val="Hyperlink"/>
          </w:rPr>
          <w:t xml:space="preserve">10.1061/(ASCE)0733-9372(1994)120:4(803)</w:t>
        </w:r>
      </w:hyperlink>
      <w:r>
        <w:t xml:space="preserve">.</w:t>
      </w:r>
    </w:p>
    <w:bookmarkEnd w:id="126"/>
    <w:bookmarkStart w:id="127"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27"/>
    <w:bookmarkStart w:id="12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28">
        <w:r>
          <w:rPr>
            <w:rStyle w:val="Hyperlink"/>
          </w:rPr>
          <w:t xml:space="preserve">10.1029/2008WR006822</w:t>
        </w:r>
      </w:hyperlink>
      <w:r>
        <w:t xml:space="preserve">.</w:t>
      </w:r>
    </w:p>
    <w:bookmarkEnd w:id="129"/>
    <w:bookmarkStart w:id="13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30">
        <w:r>
          <w:rPr>
            <w:rStyle w:val="Hyperlink"/>
          </w:rPr>
          <w:t xml:space="preserve">10.1002/j.1551-8833.1997.tb08259.x</w:t>
        </w:r>
      </w:hyperlink>
      <w:r>
        <w:t xml:space="preserve">.</w:t>
      </w:r>
    </w:p>
    <w:bookmarkEnd w:id="131"/>
    <w:bookmarkEnd w:id="132"/>
    <w:bookmarkEnd w:id="133"/>
    <w:bookmarkStart w:id="143"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34"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34"/>
    <w:bookmarkStart w:id="135" w:name="Xe02d61a32b764c6b297a8c29969b13a7581353f"/>
    <w:p>
      <w:pPr>
        <w:pStyle w:val="Heading2"/>
      </w:pPr>
      <w:r>
        <w:t xml:space="preserve">Appendix B. Numerical and unit verification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35"/>
    <w:bookmarkStart w:id="136" w:name="X27ef15b8fad7bb29a56bb09609875822f773d4e"/>
    <w:p>
      <w:pPr>
        <w:pStyle w:val="Heading2"/>
      </w:pPr>
      <w:r>
        <w:t xml:space="preserve">Appendix C. Threshold sweep and displaced-prior matrices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36"/>
    <w:bookmarkStart w:id="137"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bookmarkEnd w:id="137"/>
    <w:bookmarkStart w:id="138"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bookmarkEnd w:id="138"/>
    <w:bookmarkStart w:id="139" w:name="Xc8c108fff9324274ec271495265452b9f890e51"/>
    <w:p>
      <w:pPr>
        <w:pStyle w:val="Heading2"/>
      </w:pPr>
      <w:r>
        <w:t xml:space="preserve">Appendix F. Per-arm sensor error and drift results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39"/>
    <w:bookmarkStart w:id="140" w:name="appendix-g.-risk-assessment-mechanics"/>
    <w:p>
      <w:pPr>
        <w:pStyle w:val="Heading2"/>
      </w:pPr>
      <w:r>
        <w:t xml:space="preserve">Appendix G. Risk-assessment mechanics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40"/>
    <w:bookmarkStart w:id="141" w:name="appendix-h.-full-risk-register"/>
    <w:p>
      <w:pPr>
        <w:pStyle w:val="Heading2"/>
      </w:pPr>
      <w:r>
        <w:t xml:space="preserve">Appendix H. Full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41"/>
    <w:bookmarkStart w:id="142"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section</w:t>
            </w:r>
          </w:p>
        </w:tc>
        <w:tc>
          <w:tcPr/>
          <w:p>
            <w:pPr>
              <w:pStyle w:val="Compact"/>
            </w:pPr>
            <w:r>
              <w:t xml:space="preserve">Script</w:t>
            </w:r>
          </w:p>
        </w:tc>
        <w:tc>
          <w:tcPr/>
          <w:p>
            <w:pPr>
              <w:pStyle w:val="Compact"/>
            </w:pPr>
            <w:r>
              <w:t xml:space="preserve">Artifact</w:t>
            </w:r>
          </w:p>
        </w:tc>
      </w:tr>
      <w:tr>
        <w:tc>
          <w:tcPr/>
          <w:p>
            <w:pPr>
              <w:pStyle w:val="Compact"/>
            </w:pPr>
            <w:r>
              <w:t xml:space="preserve">2.2.2, Appendix A</w:t>
            </w:r>
          </w:p>
        </w:tc>
        <w:tc>
          <w:tcPr/>
          <w:p>
            <w:pPr>
              <w:pStyle w:val="Compact"/>
            </w:pPr>
            <w:r>
              <w:rPr>
                <w:rStyle w:val="VerbatimChar"/>
              </w:rPr>
              <w:t xml:space="preserve">step0_warmup_convergence.py</w:t>
            </w:r>
          </w:p>
        </w:tc>
        <w:tc>
          <w:tcPr/>
          <w:p>
            <w:pPr>
              <w:pStyle w:val="Compact"/>
            </w:pPr>
            <w:r>
              <w:rPr>
                <w:rStyle w:val="VerbatimChar"/>
              </w:rPr>
              <w:t xml:space="preserve">step0_warmup_convergence.json</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c>
          <w:tcPr/>
          <w:p>
            <w:pPr>
              <w:pStyle w:val="Compact"/>
            </w:pPr>
            <w:r>
              <w:rPr>
                <w:rStyle w:val="VerbatimChar"/>
              </w:rPr>
              <w:t xml:space="preserve">step13_known_answer.json</w:t>
            </w:r>
            <w:r>
              <w:t xml:space="preserve">,</w:t>
            </w:r>
            <w:r>
              <w:t xml:space="preserve"> </w:t>
            </w:r>
            <w:r>
              <w:rPr>
                <w:rStyle w:val="VerbatimChar"/>
              </w:rPr>
              <w:t xml:space="preserve">step15_unit_equivalence.json</w:t>
            </w:r>
          </w:p>
        </w:tc>
      </w:tr>
      <w:tr>
        <w:tc>
          <w:tcPr/>
          <w:p>
            <w:pPr>
              <w:pStyle w:val="Compact"/>
            </w:pPr>
            <w:r>
              <w:t xml:space="preserve">2.3, 3.2.1</w:t>
            </w:r>
          </w:p>
        </w:tc>
        <w:tc>
          <w:tcPr/>
          <w:p>
            <w:pPr>
              <w:pStyle w:val="Compact"/>
            </w:pPr>
            <w:r>
              <w:rPr>
                <w:rStyle w:val="VerbatimChar"/>
              </w:rPr>
              <w:t xml:space="preserve">step1_freeze_baseline.py</w:t>
            </w:r>
          </w:p>
        </w:tc>
        <w:tc>
          <w:tcPr/>
          <w:p>
            <w:pPr>
              <w:pStyle w:val="Compact"/>
            </w:pPr>
            <w:r>
              <w:rPr>
                <w:rStyle w:val="VerbatimChar"/>
              </w:rPr>
              <w:t xml:space="preserve">baseline_meta.json</w:t>
            </w:r>
            <w:r>
              <w:t xml:space="preserve">,</w:t>
            </w:r>
            <w:r>
              <w:t xml:space="preserve"> </w:t>
            </w:r>
            <w:r>
              <w:rPr>
                <w:rStyle w:val="VerbatimChar"/>
              </w:rPr>
              <w:t xml:space="preserve">baseline.npz</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c>
          <w:tcPr/>
          <w:p>
            <w:pPr>
              <w:pStyle w:val="Compact"/>
            </w:pPr>
            <w:r>
              <w:rPr>
                <w:rStyle w:val="VerbatimChar"/>
              </w:rPr>
              <w:t xml:space="preserve">step3_threshold.json</w:t>
            </w:r>
            <w:r>
              <w:t xml:space="preserve">,</w:t>
            </w:r>
            <w:r>
              <w:t xml:space="preserve"> </w:t>
            </w:r>
            <w:r>
              <w:rPr>
                <w:rStyle w:val="VerbatimChar"/>
              </w:rPr>
              <w:t xml:space="preserve">step4d_displaced_robust.json</w:t>
            </w:r>
          </w:p>
        </w:tc>
      </w:tr>
      <w:tr>
        <w:tc>
          <w:tcPr/>
          <w:p>
            <w:pPr>
              <w:pStyle w:val="Compact"/>
            </w:pPr>
            <w:r>
              <w:t xml:space="preserve">2.4.3, 3.3.3, Appendix D</w:t>
            </w:r>
          </w:p>
        </w:tc>
        <w:tc>
          <w:tcPr/>
          <w:p>
            <w:pPr>
              <w:pStyle w:val="Compact"/>
            </w:pPr>
            <w:r>
              <w:rPr>
                <w:rStyle w:val="VerbatimChar"/>
              </w:rPr>
              <w:t xml:space="preserve">step7_fisher.py</w:t>
            </w:r>
          </w:p>
        </w:tc>
        <w:tc>
          <w:tcPr/>
          <w:p>
            <w:pPr>
              <w:pStyle w:val="Compact"/>
            </w:pPr>
            <w:r>
              <w:rPr>
                <w:rStyle w:val="VerbatimChar"/>
              </w:rPr>
              <w:t xml:space="preserve">step7_fisher.json</w:t>
            </w:r>
          </w:p>
        </w:tc>
      </w:tr>
      <w:tr>
        <w:tc>
          <w:tcPr/>
          <w:p>
            <w:pPr>
              <w:pStyle w:val="Compact"/>
            </w:pPr>
            <w:r>
              <w:t xml:space="preserve">2.4.4, 3.2.3</w:t>
            </w:r>
          </w:p>
        </w:tc>
        <w:tc>
          <w:tcPr/>
          <w:p>
            <w:pPr>
              <w:pStyle w:val="Compact"/>
            </w:pPr>
            <w:r>
              <w:rPr>
                <w:rStyle w:val="VerbatimChar"/>
              </w:rPr>
              <w:t xml:space="preserve">step7b_profile.py</w:t>
            </w:r>
          </w:p>
        </w:tc>
        <w:tc>
          <w:tcPr/>
          <w:p>
            <w:pPr>
              <w:pStyle w:val="Compact"/>
            </w:pPr>
            <w:r>
              <w:rPr>
                <w:rStyle w:val="VerbatimChar"/>
              </w:rPr>
              <w:t xml:space="preserve">step7b_profile.json</w:t>
            </w:r>
          </w:p>
        </w:tc>
      </w:tr>
      <w:tr>
        <w:tc>
          <w:tcPr/>
          <w:p>
            <w:pPr>
              <w:pStyle w:val="Compact"/>
            </w:pPr>
            <w:r>
              <w:t xml:space="preserve">2.5.1, 3.3.1</w:t>
            </w:r>
          </w:p>
        </w:tc>
        <w:tc>
          <w:tcPr/>
          <w:p>
            <w:pPr>
              <w:pStyle w:val="Compact"/>
            </w:pPr>
            <w:r>
              <w:rPr>
                <w:rStyle w:val="VerbatimChar"/>
              </w:rPr>
              <w:t xml:space="preserve">step6_noise_sensitivity.py</w:t>
            </w:r>
          </w:p>
        </w:tc>
        <w:tc>
          <w:tcPr/>
          <w:p>
            <w:pPr>
              <w:pStyle w:val="Compact"/>
            </w:pPr>
            <w:r>
              <w:rPr>
                <w:rStyle w:val="VerbatimChar"/>
              </w:rPr>
              <w:t xml:space="preserve">step6_noise_sensitivity.json</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c>
          <w:tcPr/>
          <w:p>
            <w:pPr>
              <w:pStyle w:val="Compact"/>
            </w:pPr>
            <w:r>
              <w:rPr>
                <w:rStyle w:val="VerbatimChar"/>
              </w:rPr>
              <w:t xml:space="preserve">step7c_ar1.json</w:t>
            </w:r>
            <w:r>
              <w:t xml:space="preserve">,</w:t>
            </w:r>
            <w:r>
              <w:t xml:space="preserve"> </w:t>
            </w:r>
            <w:r>
              <w:rPr>
                <w:rStyle w:val="VerbatimChar"/>
              </w:rPr>
              <w:t xml:space="preserve">step7c_profile_ar1.json</w:t>
            </w:r>
          </w:p>
        </w:tc>
      </w:tr>
      <w:tr>
        <w:tc>
          <w:tcPr/>
          <w:p>
            <w:pPr>
              <w:pStyle w:val="Compact"/>
            </w:pPr>
            <w:r>
              <w:t xml:space="preserve">2.5.3, 3.3.2,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c>
          <w:tcPr/>
          <w:p>
            <w:pPr>
              <w:pStyle w:val="Compact"/>
            </w:pPr>
            <w:r>
              <w:rPr>
                <w:rStyle w:val="VerbatimChar"/>
              </w:rPr>
              <w:t xml:space="preserve">step8_sensor_bias.json</w:t>
            </w:r>
            <w:r>
              <w:t xml:space="preserve">,</w:t>
            </w:r>
            <w:r>
              <w:t xml:space="preserve"> </w:t>
            </w:r>
            <w:r>
              <w:rPr>
                <w:rStyle w:val="VerbatimChar"/>
              </w:rPr>
              <w:t xml:space="preserve">step8c_bias_bynode.json</w:t>
            </w:r>
            <w:r>
              <w:t xml:space="preserve">,</w:t>
            </w:r>
            <w:r>
              <w:t xml:space="preserve"> </w:t>
            </w:r>
            <w:r>
              <w:rPr>
                <w:rStyle w:val="VerbatimChar"/>
              </w:rPr>
              <w:t xml:space="preserve">step8d_sensor_drift.json</w:t>
            </w:r>
          </w:p>
        </w:tc>
      </w:tr>
      <w:tr>
        <w:tc>
          <w:tcPr/>
          <w:p>
            <w:pPr>
              <w:pStyle w:val="Compact"/>
            </w:pPr>
            <w:r>
              <w:t xml:space="preserve">2.5.5, 3.3.3</w:t>
            </w:r>
          </w:p>
        </w:tc>
        <w:tc>
          <w:tcPr/>
          <w:p>
            <w:pPr>
              <w:pStyle w:val="Compact"/>
            </w:pPr>
            <w:r>
              <w:rPr>
                <w:rStyle w:val="VerbatimChar"/>
              </w:rPr>
              <w:t xml:space="preserve">step8b_kb_sensitivity.py</w:t>
            </w:r>
          </w:p>
        </w:tc>
        <w:tc>
          <w:tcPr/>
          <w:p>
            <w:pPr>
              <w:pStyle w:val="Compact"/>
            </w:pPr>
            <w:r>
              <w:rPr>
                <w:rStyle w:val="VerbatimChar"/>
              </w:rPr>
              <w:t xml:space="preserve">step8b_kb_sensitivity.json</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c>
          <w:tcPr/>
          <w:p>
            <w:pPr>
              <w:pStyle w:val="Compact"/>
            </w:pPr>
            <w:r>
              <w:rPr>
                <w:rStyle w:val="VerbatimChar"/>
              </w:rPr>
              <w:t xml:space="preserve">step5c_jitter_sweep.json</w:t>
            </w:r>
            <w:r>
              <w:t xml:space="preserve">,</w:t>
            </w:r>
            <w:r>
              <w:t xml:space="preserve"> </w:t>
            </w:r>
            <w:r>
              <w:rPr>
                <w:rStyle w:val="VerbatimChar"/>
              </w:rPr>
              <w:t xml:space="preserve">step5d_structured.json</w:t>
            </w:r>
          </w:p>
        </w:tc>
      </w:tr>
      <w:tr>
        <w:tc>
          <w:tcPr/>
          <w:p>
            <w:pPr>
              <w:pStyle w:val="Compact"/>
            </w:pPr>
            <w:r>
              <w:t xml:space="preserve">2.7, 3.5</w:t>
            </w:r>
          </w:p>
        </w:tc>
        <w:tc>
          <w:tcPr/>
          <w:p>
            <w:pPr>
              <w:pStyle w:val="Compact"/>
            </w:pPr>
            <w:r>
              <w:rPr>
                <w:rStyle w:val="VerbatimChar"/>
              </w:rPr>
              <w:t xml:space="preserve">step11_loo.py</w:t>
            </w:r>
          </w:p>
        </w:tc>
        <w:tc>
          <w:tcPr/>
          <w:p>
            <w:pPr>
              <w:pStyle w:val="Compact"/>
            </w:pPr>
            <w:r>
              <w:rPr>
                <w:rStyle w:val="VerbatimChar"/>
              </w:rPr>
              <w:t xml:space="preserve">step11_loo.json</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c>
          <w:tcPr/>
          <w:p>
            <w:pPr>
              <w:pStyle w:val="Compact"/>
            </w:pPr>
            <w:r>
              <w:rPr>
                <w:rStyle w:val="VerbatimChar"/>
              </w:rPr>
              <w:t xml:space="preserve">step10_risk_metrics.json</w:t>
            </w:r>
            <w:r>
              <w:t xml:space="preserve">,</w:t>
            </w:r>
            <w:r>
              <w:t xml:space="preserve"> </w:t>
            </w:r>
            <w:r>
              <w:rPr>
                <w:rStyle w:val="VerbatimChar"/>
              </w:rPr>
              <w:t xml:space="preserve">step12_scenarios.json</w:t>
            </w:r>
            <w:r>
              <w:t xml:space="preserve">,</w:t>
            </w:r>
            <w:r>
              <w:t xml:space="preserve"> </w:t>
            </w:r>
            <w:r>
              <w:rPr>
                <w:rStyle w:val="VerbatimChar"/>
              </w:rPr>
              <w:t xml:space="preserve">step12_risk_register.csv</w:t>
            </w:r>
          </w:p>
        </w:tc>
      </w:tr>
      <w:tr>
        <w:tc>
          <w:tcPr/>
          <w:p>
            <w:pPr>
              <w:pStyle w:val="Compact"/>
            </w:pPr>
            <w:r>
              <w:t xml:space="preserve">3.2.3 (repeated-noise calibration)</w:t>
            </w:r>
          </w:p>
        </w:tc>
        <w:tc>
          <w:tcPr/>
          <w:p>
            <w:pPr>
              <w:pStyle w:val="Compact"/>
            </w:pPr>
            <w:r>
              <w:rPr>
                <w:rStyle w:val="VerbatimChar"/>
              </w:rPr>
              <w:t xml:space="preserve">step14_repeated_noise.py</w:t>
            </w:r>
          </w:p>
        </w:tc>
        <w:tc>
          <w:tcPr/>
          <w:p>
            <w:pPr>
              <w:pStyle w:val="Compact"/>
            </w:pPr>
            <w:r>
              <w:rPr>
                <w:rStyle w:val="VerbatimChar"/>
              </w:rPr>
              <w:t xml:space="preserve">step14_repeated_noise.json</w:t>
            </w:r>
          </w:p>
        </w:tc>
      </w:tr>
      <w:tr>
        <w:tc>
          <w:tcPr/>
          <w:p>
            <w:pPr>
              <w:pStyle w:val="Compact"/>
            </w:pPr>
            <w:r>
              <w:t xml:space="preserve">Figures 1 to 7, Tables 1 and 3 to 5</w:t>
            </w:r>
          </w:p>
        </w:tc>
        <w:tc>
          <w:tcPr/>
          <w:p>
            <w:pPr>
              <w:pStyle w:val="Compact"/>
            </w:pPr>
            <w:r>
              <w:rPr>
                <w:rStyle w:val="VerbatimChar"/>
              </w:rPr>
              <w:t xml:space="preserve">paper_figs.py</w:t>
            </w:r>
          </w:p>
        </w:tc>
        <w:tc>
          <w:tcPr/>
          <w:p>
            <w:pPr>
              <w:pStyle w:val="Compact"/>
            </w:pPr>
            <w:r>
              <w:rPr>
                <w:rStyle w:val="VerbatimChar"/>
              </w:rPr>
              <w:t xml:space="preserve">Figures/paper/</w:t>
            </w:r>
          </w:p>
        </w:tc>
      </w:tr>
      <w:tr>
        <w:tc>
          <w:tcPr/>
          <w:p>
            <w:pPr>
              <w:pStyle w:val="Compact"/>
            </w:pPr>
            <w:r>
              <w:t xml:space="preserve">Appendix tables</w:t>
            </w:r>
          </w:p>
        </w:tc>
        <w:tc>
          <w:tcPr/>
          <w:p>
            <w:pPr>
              <w:pStyle w:val="Compact"/>
            </w:pPr>
            <w:r>
              <w:rPr>
                <w:rStyle w:val="VerbatimChar"/>
              </w:rPr>
              <w:t xml:space="preserve">appendix_tables.py</w:t>
            </w:r>
          </w:p>
        </w:tc>
        <w:tc>
          <w:tcPr/>
          <w:p>
            <w:pPr>
              <w:pStyle w:val="Compact"/>
            </w:pPr>
            <w:r>
              <w:rPr>
                <w:rStyle w:val="VerbatimChar"/>
              </w:rPr>
              <w:t xml:space="preserve">Figures/paper/appendix_tables.md</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c>
          <w:tcPr/>
          <w:p>
            <w:pPr>
              <w:pStyle w:val="Compact"/>
            </w:pPr>
            <w:r>
              <w:rPr>
                <w:rStyle w:val="VerbatimChar"/>
              </w:rPr>
              <w:t xml:space="preserve">cache_manifest.json</w:t>
            </w:r>
          </w:p>
        </w:tc>
      </w:tr>
    </w:tbl>
    <w:bookmarkEnd w:id="142"/>
    <w:bookmarkEnd w:id="143"/>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2026-08-10T12:01:22Z</dcterms:created>
  <dcterms:modified xsi:type="dcterms:W3CDTF">2026-08-10T12:01:22Z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