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and against the limiting case without</w:t>
      </w:r>
      <w:r>
        <w:t xml:space="preserve"> </w:t>
      </w:r>
      <w:r>
        <w:t xml:space="preserve">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the coefficient does not</w:t>
      </w:r>
      <w:r>
        <w:t xml:space="preserve"> </w:t>
      </w:r>
      <w:r>
        <w:t xml:space="preserve">set the 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network position also</w:t>
      </w:r>
      <w:r>
        <w:t xml:space="preserve"> </w:t>
      </w:r>
      <w:r>
        <w:t xml:space="preserve">modulate the accumulated decay. In the deterministic noise-free reference trajectory, 21 of the 92 junctions cross below the</w:t>
      </w:r>
      <w:r>
        <w:t xml:space="preserve"> </w:t>
      </w:r>
      <w:r>
        <w:t xml:space="preserve">0.2 mg L</w:t>
      </w:r>
      <w:r>
        <w:rPr>
          <w:vertAlign w:val="superscript"/>
        </w:rPr>
        <w:t xml:space="preserve">-1</w:t>
      </w:r>
      <w:r>
        <w:t xml:space="preserve"> </w:t>
      </w:r>
      <w:r>
        <w:t xml:space="preserve">threshold at least once in the window. That is a property of the truth,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2026-08-11T23:17:11Z</dcterms:created>
  <dcterms:modified xsi:type="dcterms:W3CDTF">2026-08-11T23:17:11Z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