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offsets or drift bias the inferred parameters while remaining hard to diagnose from</w:t>
      </w:r>
      <w:r>
        <w:t xml:space="preserve"> </w:t>
      </w:r>
      <w:r>
        <w:t xml:space="preserve">fit quality, and online free-chlorine sensors degrade in exactly that way</w:t>
      </w:r>
      <w:r>
        <w:t xml:space="preserve"> </w:t>
      </w:r>
      <w:r>
        <w:t xml:space="preserve">(Hutton</w:t>
      </w:r>
      <w:r>
        <w:t xml:space="preserve"> </w:t>
      </w:r>
      <w:r>
        <w:rPr>
          <w:i/>
          <w:iCs/>
        </w:rPr>
        <w:t xml:space="preserve">et al.</w:t>
      </w:r>
      <w:r>
        <w:t xml:space="preserve">, 2014; 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 between pipes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inferred coefficients represent the underlying</w:t>
      </w:r>
      <w:r>
        <w:t xml:space="preserve"> </w:t>
      </w:r>
      <w:r>
        <w:t xml:space="preserve">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 old-zone monitor by only 0.019 mg L</w:t>
      </w:r>
      <w:r>
        <w:rPr>
          <w:vertAlign w:val="superscript"/>
        </w:rPr>
        <w:t xml:space="preserve">-1</w:t>
      </w:r>
      <w:r>
        <w:t xml:space="preserve">, because residence time</w:t>
      </w:r>
      <w:r>
        <w:t xml:space="preserve"> </w:t>
      </w:r>
      <w:r>
        <w:t xml:space="preserve">and position also modulate the accumulated decay. In the noise-free reference trajectory, 21 of the 92 junctions cross below the 0.2 mg L</w:t>
      </w:r>
      <w:r>
        <w:rPr>
          <w:vertAlign w:val="superscript"/>
        </w:rPr>
        <w:t xml:space="preserve">-1</w:t>
      </w:r>
      <w:r>
        <w:t xml:space="preserve"> </w:t>
      </w:r>
      <w:r>
        <w:t xml:space="preserve">threshold at least once in the window. That is a property of the truth,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2026-08-11T23:18:36Z</dcterms:created>
  <dcterms:modified xsi:type="dcterms:W3CDTF">2026-08-11T23:18:36Z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