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The formal rule contracted all three coefficients to 25–31% of their prior standard deviation,</w:t>
      </w:r>
      <w:r>
        <w:t xml:space="preserve"> </w:t>
      </w:r>
      <w:r>
        <w:t xml:space="preserve">whereas the informal score at its original 0.120 mg L</w:t>
      </w:r>
      <w:r>
        <w:rPr>
          <w:vertAlign w:val="superscript"/>
        </w:rPr>
        <w:t xml:space="preserve">-1</w:t>
      </w:r>
      <w:r>
        <w:t xml:space="preserve"> </w:t>
      </w:r>
      <w:r>
        <w:t xml:space="preserve">behavioural threshold retained 86–98%. Both rules used the same 294 observations, so the difference is produced by the weighting alone.</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w:t>
      </w:r>
      <w:r>
        <w:t xml:space="preserve"> </w:t>
      </w:r>
      <w:r>
        <w:t xml:space="preserve">heterogeneity displaced coefficients by up to six posterior standard deviations while aggregate</w:t>
      </w:r>
      <w:r>
        <w:t xml:space="preserve"> </w:t>
      </w:r>
      <w:r>
        <w:t xml:space="preserve">fit remained at the noise floor. Yet a withheld zone’s coefficient could revert entirely to its</w:t>
      </w:r>
      <w:r>
        <w:t xml:space="preserve"> </w:t>
      </w:r>
      <w:r>
        <w:t xml:space="preserve">prior with held-out prediction unchanged, and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and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and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and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and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and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held fixed across all experiments</w:t>
      </w:r>
      <w:r>
        <w:t xml:space="preserve"> </w:t>
      </w:r>
      <w:r>
        <w:t xml:space="preserve">except where a later section states otherwise. Prior standard deviations are those of the uniform</w:t>
      </w:r>
      <w:r>
        <w:t xml:space="preserve"> </w:t>
      </w:r>
      <w:r>
        <w:t xml:space="preserve">priors and are used throughout as the reference against which posterior contraction is expressed.</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quantitative diagnostics were evaluated, each with a tolerance declared in advance: the</w:t>
      </w:r>
      <w:r>
        <w:t xml:space="preserve"> </w:t>
      </w:r>
      <w:r>
        <w:t xml:space="preserve">maximum absolute cycle-to-cycle chlorine difference across the six monitors (0.005 mg L</w:t>
      </w:r>
      <w:r>
        <w:rPr>
          <w:vertAlign w:val="superscript"/>
        </w:rPr>
        <w:t xml:space="preserve">-1</w:t>
      </w:r>
      <w:r>
        <w:t xml:space="preserve">);</w:t>
      </w:r>
      <w:r>
        <w:t xml:space="preserve"> </w:t>
      </w:r>
      <w:r>
        <w:t xml:space="preserve">the 95th percentile across junctions of their maximum absolute chlorine difference (0.01 mg</w:t>
      </w:r>
      <w:r>
        <w:t xml:space="preserve"> </w:t>
      </w:r>
      <w:r>
        <w:t xml:space="preserve">L</w:t>
      </w:r>
      <w:r>
        <w:rPr>
          <w:vertAlign w:val="superscript"/>
        </w:rPr>
        <w:t xml:space="preserve">-1</w:t>
      </w:r>
      <w:r>
        <w:t xml:space="preserve">); the maximum tank-chlorine difference (0.01 mg L</w:t>
      </w:r>
      <w:r>
        <w:rPr>
          <w:vertAlign w:val="superscript"/>
        </w:rPr>
        <w:t xml:space="preserve">-1</w:t>
      </w:r>
      <w:r>
        <w:t xml:space="preserve">); the maximum tank-level difference</w:t>
      </w:r>
      <w:r>
        <w:t xml:space="preserve"> </w:t>
      </w:r>
      <w:r>
        <w:t xml:space="preserve">(0.05 m); the 95th percentile of the junction water-age difference (1 h); and the relative</w:t>
      </w:r>
      <w:r>
        <w:t xml:space="preserve"> </w:t>
      </w:r>
      <w:r>
        <w:t xml:space="preserve">change in the network-mean cumulative chlorine deficit (2%). Identity of the ten highest-deficit</w:t>
      </w:r>
      <w:r>
        <w:t xml:space="preserve"> </w:t>
      </w:r>
      <w:r>
        <w:t xml:space="preserve">junctions between successive cycles was recorded as an additional ranking diagnostic. The</w:t>
      </w:r>
      <w:r>
        <w:t xml:space="preserve"> </w:t>
      </w:r>
      <w:r>
        <w:t xml:space="preserve">chlorine and deficit diagnostics were evaluated at the synthetic truth and at the weak- and</w:t>
      </w:r>
      <w:r>
        <w:t xml:space="preserve"> </w:t>
      </w:r>
      <w:r>
        <w:t xml:space="preserve">strong-reactivity corners of the prior box; water age was evaluated once, since it does not</w:t>
      </w:r>
      <w:r>
        <w:t xml:space="preserve"> </w:t>
      </w:r>
      <w:r>
        <w:t xml:space="preserve">depend on the reaction coefficients.</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The Net3 input file is frozen and hash-checked and the computational</w:t>
      </w:r>
      <w:r>
        <w:t xml:space="preserve"> </w:t>
      </w:r>
      <w:r>
        <w:t xml:space="preserve">environment is pinned.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all three prior midpoints were moved by one prior standard</w:t>
      </w:r>
      <w:r>
        <w:t xml:space="preserve"> </w:t>
      </w:r>
      <w:r>
        <w:t xml:space="preserve">deviation towards stronger decay. In the OLDUP design only the old-zone prior changed direction,</w:t>
      </w:r>
      <w:r>
        <w:t xml:space="preserve"> </w:t>
      </w:r>
      <w:r>
        <w:t xml:space="preserve">towards weaker decay, while the average and new priors kept their DOWN positions; OLDUP is</w:t>
      </w:r>
      <w:r>
        <w:t xml:space="preserve"> </w:t>
      </w:r>
      <w:r>
        <w:t xml:space="preserve">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w:t>
      </w:r>
      <w:r>
        <w:t xml:space="preserve"> </w:t>
      </w:r>
      <w:r>
        <w:t xml:space="preserve">non-positive decay domain, reduced its realised midpoint displacement to about 0.92 prior</w:t>
      </w:r>
      <w:r>
        <w:t xml:space="preserve"> </w:t>
      </w:r>
      <w:r>
        <w:t xml:space="preserve">standard deviations.</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with the stability of the resulting bounds checked over several step sizes. This</w:t>
      </w:r>
      <w:r>
        <w:t xml:space="preserve"> </w:t>
      </w:r>
      <w:r>
        <w:t xml:space="preserve">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serves as a local information benchmark rather than as a</w:t>
      </w:r>
      <w:r>
        <w:t xml:space="preserve"> </w:t>
      </w:r>
      <w:r>
        <w:t xml:space="preserve">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by the Schur complement,</w:t>
      </w:r>
      <w:r>
        <w:t xml:space="preserve"> </w:t>
      </w:r>
      <m:oMath>
        <m:sSub>
          <m:e>
            <m:r>
              <m:rPr>
                <m:sty m:val="bi"/>
              </m:rPr>
              <m:t>F</m:t>
            </m:r>
          </m:e>
          <m:sub>
            <m:r>
              <m:rPr>
                <m:sty m:val="p"/>
              </m:rPr>
              <m:t>m</m:t>
            </m:r>
            <m:r>
              <m:rPr>
                <m:sty m:val="p"/>
              </m:rPr>
              <m:t>a</m:t>
            </m:r>
            <m:r>
              <m:rPr>
                <m:sty m:val="p"/>
              </m:rPr>
              <m:t>r</m:t>
            </m:r>
            <m:r>
              <m:rPr>
                <m:sty m:val="p"/>
              </m:rPr>
              <m:t>g</m:t>
            </m:r>
          </m:sub>
        </m:sSub>
        <m:r>
          <m:rPr>
            <m:sty m:val="p"/>
          </m:rPr>
          <m:t>=</m:t>
        </m:r>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with pseudo-inversion where required.</w:t>
      </w:r>
      <w:r>
        <w:t xml:space="preserve"> </w:t>
      </w:r>
      <w:r>
        <w:t xml:space="preserve">Marginal Cramér–Rao standard deviations were normalised by the corresponding prior standard</w:t>
      </w:r>
      <w:r>
        <w:t xml:space="preserve"> </w:t>
      </w:r>
      <w:r>
        <w:t xml:space="preserve">deviation, and a ratio below one was adopted as the diagnostic criterion for local practical</w:t>
      </w:r>
      <w:r>
        <w:t xml:space="preserve"> </w:t>
      </w:r>
      <w:r>
        <w:t xml:space="preserve">identifiability. This is a study-specific benchmark relative to the chosen prior scale, not a</w:t>
      </w:r>
      <w:r>
        <w:t xml:space="preserve"> </w:t>
      </w:r>
      <w:r>
        <w:t xml:space="preserve">universal identifiability threshold.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of</w:t>
      </w:r>
      <w:r>
        <w:t xml:space="preserve"> </w:t>
      </w:r>
      <w:r>
        <w:t xml:space="preserve">±0.025, ±0.05 and ±0.10 mg L</w:t>
      </w:r>
      <w:r>
        <w:rPr>
          <w:vertAlign w:val="superscript"/>
        </w:rPr>
        <w:t xml:space="preserve">-1</w:t>
      </w:r>
      <w:r>
        <w:t xml:space="preserve"> </w:t>
      </w:r>
      <w:r>
        <w:t xml:space="preserve">were first applied at old-zone monitor 15, then offsets of</w:t>
      </w:r>
      <w:r>
        <w:t xml:space="preserve"> </w:t>
      </w:r>
      <w:r>
        <w:t xml:space="preserve">−0.10, −0.05, +0.05 and +0.10 mg L</w:t>
      </w:r>
      <w:r>
        <w:rPr>
          <w:vertAlign w:val="superscript"/>
        </w:rPr>
        <w:t xml:space="preserve">-1</w:t>
      </w:r>
      <w:r>
        <w:t xml:space="preserve"> </w:t>
      </w:r>
      <w:r>
        <w:t xml:space="preserve">were applied separately at each of the six monitors,</w:t>
      </w:r>
      <w:r>
        <w:t xml:space="preserve"> </w:t>
      </w:r>
      <w:r>
        <w:t xml:space="preserve">giving 24 arms. Each used 30 noise realisations, and candidate predictions were unchanged</w:t>
      </w:r>
      <w:r>
        <w:t xml:space="preserve"> </w:t>
      </w:r>
      <w:r>
        <w:t xml:space="preserve">because only the observations are perturbed.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with</w:t>
      </w:r>
      <w:r>
        <w:t xml:space="preserve"> </w:t>
      </w:r>
      <m:oMath>
        <m:r>
          <m:t>D</m:t>
        </m:r>
        <m:r>
          <m:rPr>
            <m:sty m:val="p"/>
          </m:rPr>
          <m:t>=</m:t>
        </m:r>
        <m:r>
          <m:rPr>
            <m:sty m:val="p"/>
          </m:rPr>
          <m:t>±</m:t>
        </m:r>
        <m:r>
          <m:t>0.05</m:t>
        </m:r>
      </m:oMath>
      <w:r>
        <w:t xml:space="preserve"> </w:t>
      </w:r>
      <w:r>
        <w:t xml:space="preserve">and</w:t>
      </w:r>
      <w:r>
        <w:t xml:space="preserve"> </w:t>
      </w:r>
      <m:oMath>
        <m:r>
          <m:rPr>
            <m:sty m:val="p"/>
          </m:rPr>
          <m:t>±</m:t>
        </m:r>
        <m:r>
          <m:t>0.10</m:t>
        </m:r>
      </m:oMath>
      <w:r>
        <w:t xml:space="preserve"> </w:t>
      </w:r>
      <w:r>
        <w:t xml:space="preserve">mg L</w:t>
      </w:r>
      <w:r>
        <w:rPr>
          <w:vertAlign w:val="superscript"/>
        </w:rPr>
        <w:t xml:space="preserve">-1</w:t>
      </w:r>
      <w:r>
        <w:t xml:space="preserve">, so the sensor is correct at the</w:t>
      </w:r>
      <w:r>
        <w:t xml:space="preserve"> </w:t>
      </w:r>
      <w:r>
        <w:t xml:space="preserve">start and off by</w:t>
      </w:r>
      <w:r>
        <w:t xml:space="preserve"> </w:t>
      </w:r>
      <m:oMath>
        <m:r>
          <m:t>D</m:t>
        </m:r>
      </m:oMath>
      <w:r>
        <w:t xml:space="preserve"> </w:t>
      </w:r>
      <w:r>
        <w:t xml:space="preserve">at the end. Each ramp was 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The raw bias of the fitted</w:t>
      </w:r>
      <w:r>
        <w:t xml:space="preserve"> </w:t>
      </w:r>
      <w:r>
        <w:t xml:space="preserve">coefficient is</w:t>
      </w:r>
      <w:r>
        <w:t xml:space="preserve"> </w:t>
      </w:r>
      <m:oMath>
        <m:r>
          <m:rPr>
            <m:sty m:val="p"/>
          </m:rPr>
          <m:t>Δ</m:t>
        </m:r>
        <m:sSub>
          <m:e>
            <m:r>
              <m:t>k</m:t>
            </m:r>
          </m:e>
          <m:sub>
            <m:r>
              <m:rPr>
                <m:sty m:val="p"/>
              </m:rPr>
              <m:t>r</m:t>
            </m:r>
            <m:r>
              <m:rPr>
                <m:sty m:val="p"/>
              </m:rPr>
              <m:t>a</m:t>
            </m:r>
            <m:r>
              <m:rPr>
                <m:sty m:val="p"/>
              </m:rPr>
              <m:t>w</m:t>
            </m:r>
          </m:sub>
        </m:sSub>
        <m:r>
          <m:rPr>
            <m:sty m:val="p"/>
          </m:rPr>
          <m:t>=</m:t>
        </m:r>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where</w:t>
      </w:r>
      <w:r>
        <w:t xml:space="preserve"> </w:t>
      </w:r>
      <m:oMath>
        <m:acc>
          <m:accPr>
            <m:chr m:val="̂"/>
          </m:accPr>
          <m:e>
            <m:r>
              <m:t>k</m:t>
            </m:r>
          </m:e>
        </m:acc>
      </m:oMath>
      <w:r>
        <w:t xml:space="preserve"> </w:t>
      </w:r>
      <w:r>
        <w:t xml:space="preserve">is the</w:t>
      </w:r>
      <w:r>
        <w:t xml:space="preserve"> </w:t>
      </w:r>
      <w:r>
        <w:t xml:space="preserve">likelihood-weighted posterior mean and</w:t>
      </w:r>
      <w:r>
        <w:t xml:space="preserve"> </w:t>
      </w:r>
      <m:oMath>
        <m:sSub>
          <m:e>
            <m:r>
              <m:t>k</m:t>
            </m:r>
          </m:e>
          <m:sub>
            <m:r>
              <m:rPr>
                <m:sty m:val="p"/>
              </m:rPr>
              <m:t>a</m:t>
            </m:r>
            <m:r>
              <m:rPr>
                <m:sty m:val="p"/>
              </m:rPr>
              <m:t>r</m:t>
            </m:r>
            <m:r>
              <m:rPr>
                <m:sty m:val="p"/>
              </m:rPr>
              <m:t>i</m:t>
            </m:r>
            <m:r>
              <m:rPr>
                <m:sty m:val="p"/>
              </m:rPr>
              <m:t>t</m:t>
            </m:r>
            <m:r>
              <m:rPr>
                <m:sty m:val="p"/>
              </m:rPr>
              <m:t>h</m:t>
            </m:r>
          </m:sub>
        </m:sSub>
      </m:oMath>
      <w:r>
        <w:t xml:space="preserve"> </w:t>
      </w:r>
      <w:r>
        <w:t xml:space="preserve">the arithmetic mean of the</w:t>
      </w:r>
      <w:r>
        <w:t xml:space="preserve"> </w:t>
      </w:r>
      <w:r>
        <w:t xml:space="preserve">heterogeneous truth. For paired experiments the structural contribution is isolated by</w:t>
      </w:r>
      <w:r>
        <w:t xml:space="preserve"> </w:t>
      </w:r>
      <w:r>
        <w:t xml:space="preserve">subtracting the offset the same rule produces on a homogeneous truth under the same noise</w:t>
      </w:r>
      <w:r>
        <w:t xml:space="preserve"> </w:t>
      </w:r>
      <w:r>
        <w:t xml:space="preserve">realisation,</w:t>
      </w:r>
      <w:r>
        <w:t xml:space="preserve"> </w:t>
      </w: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r>
          <m:rPr>
            <m:sty m:val="p"/>
          </m:rPr>
          <m:t>=</m:t>
        </m:r>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w:t>
      </w:r>
      <w:r>
        <w:t xml:space="preserve"> </w:t>
      </w:r>
      <w:r>
        <w:t xml:space="preserve">That paired shift is placed on the scale of Section 2.5,</w:t>
      </w:r>
    </w:p>
    <w:p>
      <w:pPr>
        <w:pStyle w:val="BodyText"/>
      </w:pPr>
      <m:oMathPara>
        <m:oMathParaPr>
          <m:jc m:val="center"/>
        </m:oMathParaPr>
        <m:oMath>
          <m:sSub>
            <m:e>
              <m:r>
                <m:t>Z</m:t>
              </m:r>
            </m:e>
            <m:sub>
              <m:r>
                <m:t>j</m:t>
              </m:r>
            </m:sub>
          </m:sSub>
          <m:r>
            <m:rPr>
              <m:sty m:val="p"/>
            </m:rPr>
            <m:t>=</m:t>
          </m:r>
          <m:f>
            <m:fPr>
              <m:type m:val="bar"/>
            </m:fPr>
            <m:num>
              <m:r>
                <m:rPr>
                  <m:sty m:val="p"/>
                </m:rPr>
                <m:t>Δ</m:t>
              </m:r>
              <m:sSub>
                <m:e>
                  <m:r>
                    <m:t>k</m:t>
                  </m:r>
                </m:e>
                <m:sub>
                  <m:r>
                    <m:rPr>
                      <m:sty m:val="p"/>
                    </m:rPr>
                    <m:t>s</m:t>
                  </m:r>
                  <m:r>
                    <m:rPr>
                      <m:sty m:val="p"/>
                    </m:rPr>
                    <m:t>t</m:t>
                  </m:r>
                  <m:r>
                    <m:rPr>
                      <m:sty m:val="p"/>
                    </m:rPr>
                    <m:t>r</m:t>
                  </m:r>
                  <m:r>
                    <m:rPr>
                      <m:sty m:val="p"/>
                    </m:rPr>
                    <m:t>u</m:t>
                  </m:r>
                  <m:r>
                    <m:rPr>
                      <m:sty m:val="p"/>
                    </m:rPr>
                    <m:t>c</m:t>
                  </m:r>
                  <m:r>
                    <m:rPr>
                      <m:sty m:val="p"/>
                    </m:rPr>
                    <m:t>t</m:t>
                  </m:r>
                  <m:r>
                    <m:rPr>
                      <m:sty m:val="p"/>
                    </m:rPr>
                    <m:t>,</m:t>
                  </m:r>
                  <m:r>
                    <m:t>j</m:t>
                  </m:r>
                </m:sub>
              </m:sSub>
            </m:num>
            <m:den>
              <m:sSubSup>
                <m:e>
                  <m:acc>
                    <m:accPr>
                      <m:chr m:val="̃"/>
                    </m:accPr>
                    <m:e>
                      <m:r>
                        <m:t>σ</m:t>
                      </m:r>
                    </m:e>
                  </m:acc>
                </m:e>
                <m:sub>
                  <m:r>
                    <m:rPr>
                      <m:sty m:val="p"/>
                    </m:rPr>
                    <m:t>p</m:t>
                  </m:r>
                  <m:r>
                    <m:rPr>
                      <m:sty m:val="p"/>
                    </m:rPr>
                    <m:t>o</m:t>
                  </m:r>
                  <m:r>
                    <m:rPr>
                      <m:sty m:val="p"/>
                    </m:rPr>
                    <m:t>s</m:t>
                  </m:r>
                  <m:r>
                    <m:rPr>
                      <m:sty m:val="p"/>
                    </m:rPr>
                    <m:t>t</m:t>
                  </m:r>
                  <m:r>
                    <m:rPr>
                      <m:sty m:val="p"/>
                    </m:rPr>
                    <m:t>,</m:t>
                  </m:r>
                  <m:r>
                    <m:t>j</m:t>
                  </m:r>
                </m:sub>
                <m:sup>
                  <m:r>
                    <m:rPr>
                      <m:sty m:val="p"/>
                    </m:rPr>
                    <m:t>r</m:t>
                  </m:r>
                  <m:r>
                    <m:rPr>
                      <m:sty m:val="p"/>
                    </m:rPr>
                    <m:t>e</m:t>
                  </m:r>
                  <m:r>
                    <m:rPr>
                      <m:sty m:val="p"/>
                    </m:rPr>
                    <m:t>f</m:t>
                  </m:r>
                </m:sup>
              </m:sSubSup>
            </m:den>
          </m:f>
          <m:r>
            <m:rPr>
              <m:sty m:val="p"/>
            </m:rPr>
            <m:t>,</m:t>
          </m:r>
        </m:oMath>
      </m:oMathPara>
    </w:p>
    <w:p>
      <w:pPr>
        <w:pStyle w:val="FirstParagraph"/>
      </w:pPr>
      <w:r>
        <w:t xml:space="preserve">with the same repeated-baseline denominator, not the structured run’s own posterior standard</w:t>
      </w:r>
      <w:r>
        <w:t xml:space="preserve"> </w:t>
      </w:r>
      <w:r>
        <w:t xml:space="preserve">deviation.</w:t>
      </w:r>
    </w:p>
    <w:p>
      <w:pPr>
        <w:pStyle w:val="BodyText"/>
      </w:pPr>
      <w:r>
        <w:t xml:space="preserve">For the 30-realisation amplitude sweep, the position of the fit between the two candidate</w:t>
      </w:r>
      <w:r>
        <w:t xml:space="preserve"> </w:t>
      </w:r>
      <w:r>
        <w:t xml:space="preserve">targets is described by</w:t>
      </w:r>
    </w:p>
    <w:p>
      <w:pPr>
        <w:pStyle w:val="BodyText"/>
      </w:pPr>
      <m:oMathPara>
        <m:oMathParaPr>
          <m:jc m:val="center"/>
        </m:oMathParaPr>
        <m:oMath>
          <m:sSub>
            <m:e>
              <m:r>
                <m:t>f</m:t>
              </m:r>
            </m:e>
            <m:sub>
              <m:r>
                <m:t>j</m:t>
              </m:r>
            </m:sub>
          </m:sSub>
          <m:r>
            <m:rPr>
              <m:sty m:val="p"/>
            </m:rPr>
            <m:t>=</m:t>
          </m:r>
          <m:f>
            <m:fPr>
              <m:type m:val="bar"/>
            </m:fPr>
            <m:num>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num>
            <m:den>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den>
          </m:f>
          <m:r>
            <m:rPr>
              <m:sty m:val="p"/>
            </m:rPr>
            <m:t>,</m:t>
          </m:r>
        </m:oMath>
      </m:oMathPara>
    </w:p>
    <w:p>
      <w:pPr>
        <w:pStyle w:val="FirstParagraph"/>
      </w:pPr>
      <w:r>
        <w:t xml:space="preserve">so</w:t>
      </w:r>
      <w:r>
        <w:t xml:space="preserve"> </w:t>
      </w:r>
      <m:oMath>
        <m:r>
          <m:t>f</m:t>
        </m:r>
        <m:r>
          <m:rPr>
            <m:sty m:val="p"/>
          </m:rPr>
          <m:t>=</m:t>
        </m:r>
        <m:r>
          <m:t>0</m:t>
        </m:r>
      </m:oMath>
      <w:r>
        <w:t xml:space="preserve"> </w:t>
      </w:r>
      <w:r>
        <w:t xml:space="preserve">is the arithmetic mean and</w:t>
      </w:r>
      <w:r>
        <w:t xml:space="preserve"> </w:t>
      </w:r>
      <m:oMath>
        <m:r>
          <m:t>f</m:t>
        </m:r>
        <m:r>
          <m:rPr>
            <m:sty m:val="p"/>
          </m:rPr>
          <m:t>=</m:t>
        </m:r>
        <m:r>
          <m:t>1</m:t>
        </m:r>
      </m:oMath>
      <w:r>
        <w:t xml:space="preserve"> </w:t>
      </w:r>
      <w:r>
        <w:t xml:space="preserve">the length-weighted reference. Unlike</w:t>
      </w:r>
      <w:r>
        <w:t xml:space="preserve"> </w:t>
      </w:r>
      <m:oMath>
        <m:r>
          <m:t>Z</m:t>
        </m:r>
      </m:oMath>
      <w:r>
        <w:t xml:space="preserve">,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w:t>
      </w:r>
      <w:r>
        <w:t xml:space="preserve"> </w:t>
      </w:r>
      <w:r>
        <w:t xml:space="preserve">arm serves only as the control. Throughout, the length-weighted value is an illustrative</w:t>
      </w:r>
      <w:r>
        <w:t xml:space="preserve"> </w:t>
      </w:r>
      <w:r>
        <w:t xml:space="preserve">directional comparator, not the estimand of the homogeneous calibration, a common endpoint, or a</w:t>
      </w:r>
      <w:r>
        <w:t xml:space="preserve"> </w:t>
      </w:r>
      <w:r>
        <w:t xml:space="preserve">physical bound.</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mean absolute relative error and coverage.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descriptive width was obtained from a</w:t>
      </w:r>
      <w:r>
        <w:t xml:space="preserve"> </w:t>
      </w:r>
      <w:r>
        <w:t xml:space="preserve">spatial block bootstrap: coordinates were standardised, divided into ten groups by k-means, and</w:t>
      </w:r>
      <w:r>
        <w:t xml:space="preserve"> </w:t>
      </w:r>
      <w:r>
        <w:t xml:space="preserve">whole blocks resampled over 2000 replicates. The result is a descriptive width, not a</w:t>
      </w:r>
      <w:r>
        <w:t xml:space="preserve"> </w:t>
      </w:r>
      <w:r>
        <w:t xml:space="preserve">significance interval.</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were drawn from truncated normals,</w:t>
      </w:r>
      <w:r>
        <w:t xml:space="preserve"> </w:t>
      </w:r>
      <m:oMath>
        <m:r>
          <m:t>45</m:t>
        </m:r>
        <m:r>
          <m:rPr>
            <m:sty m:val="p"/>
          </m:rPr>
          <m:t>±</m:t>
        </m:r>
        <m:r>
          <m:t>8</m:t>
        </m:r>
      </m:oMath>
      <w:r>
        <w:t xml:space="preserve"> </w:t>
      </w:r>
      <w:r>
        <w:t xml:space="preserve">kJ mol</w:t>
      </w:r>
      <w:r>
        <w:rPr>
          <w:vertAlign w:val="superscript"/>
        </w:rPr>
        <w:t xml:space="preserve">-1</w:t>
      </w:r>
      <w:r>
        <w:t xml:space="preserve"> </w:t>
      </w:r>
      <w:r>
        <w:t xml:space="preserve">for bulk and</w:t>
      </w:r>
      <w:r>
        <w:t xml:space="preserve"> </w:t>
      </w:r>
      <m:oMath>
        <m:r>
          <m:t>35</m:t>
        </m:r>
        <m:r>
          <m:rPr>
            <m:sty m:val="p"/>
          </m:rPr>
          <m:t>±</m:t>
        </m:r>
        <m:r>
          <m:t>10</m:t>
        </m:r>
      </m:oMath>
      <w:r>
        <w:t xml:space="preserve"> </w:t>
      </w:r>
      <w:r>
        <w:t xml:space="preserve">kJ mol</w:t>
      </w:r>
      <w:r>
        <w:rPr>
          <w:vertAlign w:val="superscript"/>
        </w:rPr>
        <w:t xml:space="preserve">-1</w:t>
      </w:r>
      <w:r>
        <w:t xml:space="preserve"> </w:t>
      </w:r>
      <w:r>
        <w:t xml:space="preserve">for wall reaction with a lower bound of 5 kJ</w:t>
      </w:r>
      <w:r>
        <w:t xml:space="preserve"> </w:t>
      </w:r>
      <w:r>
        <w:t xml:space="preserve">mol</w:t>
      </w:r>
      <w:r>
        <w:rPr>
          <w:vertAlign w:val="superscript"/>
        </w:rPr>
        <w:t xml:space="preserve">-1</w:t>
      </w:r>
      <w:r>
        <w:t xml:space="preserve">, and a temperature deviation</w:t>
      </w:r>
      <w:r>
        <w:t xml:space="preserve"> </w:t>
      </w:r>
      <m:oMath>
        <m:r>
          <m:rPr>
            <m:sty m:val="p"/>
          </m:rPr>
          <m:t>Δ</m:t>
        </m:r>
        <m:r>
          <m:t>T</m:t>
        </m:r>
        <m:r>
          <m:rPr>
            <m:sty m:val="p"/>
          </m:rPr>
          <m:t>∼</m:t>
        </m:r>
        <m:r>
          <m:t>N</m:t>
        </m:r>
        <m:r>
          <m:rPr>
            <m:sty m:val="p"/>
          </m:rPr>
          <m:t>(</m:t>
        </m:r>
        <m:r>
          <m:t>0</m:t>
        </m:r>
        <m:r>
          <m:rPr>
            <m:sty m:val="p"/>
          </m:rPr>
          <m:t>,</m:t>
        </m:r>
        <m:sSup>
          <m:e>
            <m:r>
              <m:t>1</m:t>
            </m:r>
          </m:e>
          <m:sup>
            <m:r>
              <m:t>2</m:t>
            </m:r>
          </m:sup>
        </m:sSup>
        <m:r>
          <m:rPr>
            <m:sty m:val="p"/>
          </m:rPr>
          <m:t>)</m:t>
        </m:r>
      </m:oMath>
      <w:r>
        <w:t xml:space="preserve"> </w:t>
      </w:r>
      <w:r>
        <w:t xml:space="preserve">°C was added to each scenario mean,</w:t>
      </w:r>
      <w:r>
        <w:t xml:space="preserve"> </w:t>
      </w:r>
      <w:r>
        <w:t xml:space="preserve">constrained to keep simulated temperatures within the stated 8–24 °C validity range. The</w:t>
      </w:r>
      <w:r>
        <w:t xml:space="preserve"> </w:t>
      </w:r>
      <w:r>
        <w:t xml:space="preserve">scenarios were: (A) 12 °C baseline; (B) 16 °C; (C) 20 °C heatwave; and (D) 20 °C with</w:t>
      </w:r>
      <w:r>
        <w:t xml:space="preserve"> </w:t>
      </w:r>
      <w:r>
        <w:t xml:space="preserve">illustrative ageing multipliers of 1.00, 1.35 and 1.85 for the new, average and old zones, with</w:t>
      </w:r>
      <w:r>
        <w:t xml:space="preserve"> </w:t>
      </w:r>
      <w:r>
        <w:t xml:space="preserve">mild and severe multiplier sets retained as sensitivities.</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w:t>
      </w:r>
      <w:r>
        <w:t xml:space="preserve"> </w:t>
      </w:r>
      <w:r>
        <w:t xml:space="preserve">Scenario C, the 20 °C heatwave</w:t>
      </w:r>
      <w:r>
        <w:t xml:space="preserve"> </w:t>
      </w:r>
      <w:r>
        <w:rPr>
          <w:i/>
          <w:iCs/>
        </w:rPr>
        <w:t xml:space="preserve">without</w:t>
      </w:r>
      <w:r>
        <w:t xml:space="preserve"> </w:t>
      </w:r>
      <w:r>
        <w:t xml:space="preserve">ageing: reservoir source chlorine was raised from 1.00</w:t>
      </w:r>
      <w:r>
        <w:t xml:space="preserve"> </w:t>
      </w:r>
      <w:r>
        <w:t xml:space="preserve">to 1.15 and 1.30 mg L</w:t>
      </w:r>
      <w:r>
        <w:rPr>
          <w:vertAlign w:val="superscript"/>
        </w:rPr>
        <w:t xml:space="preserve">-1</w:t>
      </w:r>
      <w:r>
        <w:t xml:space="preserve">, with tank initial chlorine scaled by the same factor. All scenario</w:t>
      </w:r>
      <w:r>
        <w:t xml:space="preserve"> </w:t>
      </w:r>
      <w:r>
        <w:t xml:space="preserve">results are calibration-conditioned stress tests under the stated assumptions, not forecasts.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Quantities used throughout the analysis, with the</w:t>
      </w:r>
      <w:r>
        <w:t xml:space="preserve"> </w:t>
      </w:r>
      <w:r>
        <w:t xml:space="preserve">section in which each is introduced. 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were a cycle-to-cycle change below 0.005 mg L</w:t>
      </w:r>
      <w:r>
        <w:rPr>
          <w:vertAlign w:val="superscript"/>
        </w:rPr>
        <w:t xml:space="preserve">-1</w:t>
      </w:r>
      <w:r>
        <w:t xml:space="preserve"> </w:t>
      </w:r>
      <w:r>
        <w:t xml:space="preserve">at any monitor, below 0.01 mg L</w:t>
      </w:r>
      <w:r>
        <w:rPr>
          <w:vertAlign w:val="superscript"/>
        </w:rPr>
        <w:t xml:space="preserve">-1</w:t>
      </w:r>
      <w:r>
        <w:t xml:space="preserve"> </w:t>
      </w:r>
      <w:r>
        <w:t xml:space="preserve">in the network 95th percentile, and below 0.01 mg L</w:t>
      </w:r>
      <w:r>
        <w:rPr>
          <w:vertAlign w:val="superscript"/>
        </w:rPr>
        <w:t xml:space="preserve">-1</w:t>
      </w:r>
      <w:r>
        <w:t xml:space="preserve"> </w:t>
      </w:r>
      <w:r>
        <w:t xml:space="preserve">in the tank. All three were first satisfied at 120 h, which</w:t>
      </w:r>
      <w:r>
        <w:t xml:space="preserve"> </w:t>
      </w:r>
      <w:r>
        <w:t xml:space="preserve">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still changed by as much as 5.1% between those cycles against a</w:t>
      </w:r>
      <w:r>
        <w:t xml:space="preserve"> </w:t>
      </w:r>
      <w:r>
        <w:t xml:space="preserve">2% tolerance, taken over the three parameter sets tested. That figure is a network-mean</w:t>
      </w:r>
      <w:r>
        <w:t xml:space="preserve"> </w:t>
      </w:r>
      <w:r>
        <w:t xml:space="preserve">severity change rather than a spatial norm, and the hotspot pattern moves with it: over the same</w:t>
      </w:r>
      <w:r>
        <w:t xml:space="preserve"> </w:t>
      </w:r>
      <w:r>
        <w:t xml:space="preserve">final comparison the top-10 cumulative-deficit sets at the synthetic truth had a Jaccard overlap</w:t>
      </w:r>
      <w:r>
        <w:t xml:space="preserve"> </w:t>
      </w:r>
      <w:r>
        <w:t xml:space="preserve">of 0.818, one node in ten differing, while the weak- and strong-reactivity corner cases were</w:t>
      </w:r>
      <w:r>
        <w:t xml:space="preserve"> </w:t>
      </w:r>
      <w:r>
        <w:t xml:space="preserve">stable. The horizon could not be extended without modifying the model, because the existing pump</w:t>
      </w:r>
      <w:r>
        <w:t xml:space="preserve"> </w:t>
      </w:r>
      <w:r>
        <w:t xml:space="preserve">controls are specified only within the 168 h simulation period (Appendix A). The 120 h warm-up</w:t>
      </w:r>
      <w:r>
        <w:t xml:space="preserve"> </w:t>
      </w:r>
      <w:r>
        <w:t xml:space="preserve">therefore provides a concentration-stable reference window for the baseline and for the tested</w:t>
      </w:r>
      <w:r>
        <w:t xml:space="preserve"> </w:t>
      </w:r>
      <w:r>
        <w:t xml:space="preserve">prior-envelope conditions, and was carried consistently into the later robustness analyses; it</w:t>
      </w:r>
      <w:r>
        <w:t xml:space="preserve"> </w:t>
      </w:r>
      <w:r>
        <w:t xml:space="preserve">should not be read as proof that every perturbed model considered later independently reaches</w:t>
      </w:r>
      <w:r>
        <w:t xml:space="preserve"> </w:t>
      </w:r>
      <w:r>
        <w:t xml:space="preserve">periodic steady state by 120 h. Parameter inference is accordingly supported by a</w:t>
      </w:r>
      <w:r>
        <w:t xml:space="preserve"> </w:t>
      </w:r>
      <w:r>
        <w:t xml:space="preserve">concentration-stable window, whereas absolute water-age values, absolute risk severities and</w:t>
      </w:r>
      <w:r>
        <w:t xml:space="preserve"> </w:t>
      </w:r>
      <w:r>
        <w:t xml:space="preserve">some hotspot-boundary decisions in Section 3.6 inherit a residual dependence on the 120–168 h</w:t>
      </w:r>
      <w:r>
        <w:t xml:space="preserve"> </w:t>
      </w:r>
      <w:r>
        <w:t xml:space="preserve">horizon and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the six monitors, sources and tanks. (B) True concentration series at the monitors over the 120–168 h window (lines) with the noisy calibration observations (points). (C) Per-junction window minimum over the deterministic truth; 21 of 92 junctions fall below 0.2 mg L-1."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w:t>
      </w:r>
      <w:r>
        <w:t xml:space="preserve"> </w:t>
      </w:r>
      <w:r>
        <w:t xml:space="preserve">reaction zone, the six monitors, sources and tanks. (B) True concentration series at the</w:t>
      </w:r>
      <w:r>
        <w:t xml:space="preserve"> </w:t>
      </w:r>
      <w:r>
        <w:t xml:space="preserve">monitors over the 120–168 h window (lines) with the noisy calibration observations (points). (C)</w:t>
      </w:r>
      <w:r>
        <w:t xml:space="preserve"> </w:t>
      </w:r>
      <w:r>
        <w:t xml:space="preserve">Per-junction window minimum over the deterministic truth; 21 of 92 junctions fall below 0.2 mg</w:t>
      </w:r>
      <w:r>
        <w:t xml:space="preserve"> </w:t>
      </w:r>
      <w:r>
        <w:t xml:space="preserve">L</w:t>
      </w:r>
      <w:r>
        <w:rPr>
          <w:vertAlign w:val="superscript"/>
        </w:rPr>
        <w:t xml:space="preserve">-1</w:t>
      </w:r>
      <w:r>
        <w:t xml:space="preserve">.</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Posterior summaries for the three grouped wall-decay</w:t>
      </w:r>
      <w:r>
        <w:t xml:space="preserve"> </w:t>
      </w:r>
      <w:r>
        <w:t xml:space="preserve">coefficients under four weighting rules applied to the same 294 residuals and the same 8192</w:t>
      </w:r>
      <w:r>
        <w:t xml:space="preserve"> </w:t>
      </w:r>
      <w:r>
        <w:t xml:space="preserve">Sobol candidates.</w:t>
      </w:r>
      <w:r>
        <w:t xml:space="preserve"> </w:t>
      </w:r>
      <w:r>
        <w:t xml:space="preserve">“SD retained”</w:t>
      </w:r>
      <w:r>
        <w:t xml:space="preserve"> </w:t>
      </w:r>
      <w:r>
        <w:t xml:space="preserve">is the posterior standard deviation as a percentage of the prior</w:t>
      </w:r>
      <w:r>
        <w:t xml:space="preserve"> </w:t>
      </w:r>
      <w:r>
        <w:t xml:space="preserve">standard deviation; ESS is the effective sample size out of 8192.</w:t>
      </w:r>
    </w:p>
    <w:p>
      <w:pPr>
        <w:pStyle w:val="CaptionedFigure"/>
      </w:pPr>
      <w:r>
        <w:drawing>
          <wp:inline>
            <wp:extent cx="4661377" cy="3840938"/>
            <wp:effectExtent b="0" l="0" r="0" t="0"/>
            <wp:docPr descr="Figure 2. Inference formulation determines apparent identifiability. Weighted densities for each grouped coefficient under the uniform prior, the primary censored Gaussian likelihood and the informal GLUE score at two behavioural thresholds; dashed rules mark the true values. Bars give the posterior standard deviation as a percentage of the prior standard deviation."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w:t>
      </w:r>
      <w:r>
        <w:t xml:space="preserve"> </w:t>
      </w:r>
      <w:r>
        <w:t xml:space="preserve">for each grouped coefficient under the uniform prior, the primary censored Gaussian likelihood</w:t>
      </w:r>
      <w:r>
        <w:t xml:space="preserve"> </w:t>
      </w:r>
      <w:r>
        <w:t xml:space="preserve">and the informal GLUE score at two behavioural thresholds; dashed rules mark the true values.</w:t>
      </w:r>
      <w:r>
        <w:t xml:space="preserve"> </w:t>
      </w:r>
      <w:r>
        <w:t xml:space="preserve">Bars give the posterior standard deviation as a percentage of the prior standard</w:t>
      </w:r>
      <w:r>
        <w:t xml:space="preserve"> </w:t>
      </w:r>
      <w:r>
        <w:t xml:space="preserve">deviation.</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and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and Binley, 1992; Beven and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priors were therefore displaced downward by one</w:t>
      </w:r>
      <w:r>
        <w:t xml:space="preserve"> </w:t>
      </w:r>
      <w:r>
        <w:t xml:space="preserve">prior standard deviation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w:t>
      </w:r>
      <w:r>
        <w:t xml:space="preserve"> </w:t>
      </w:r>
      <w:r>
        <w:t xml:space="preserve">check for old rather than a second three-parameter test, and the non-positivity constraint</w:t>
      </w:r>
      <w:r>
        <w:t xml:space="preserve"> </w:t>
      </w:r>
      <w:r>
        <w:t xml:space="preserve">truncated the realised shift to about 0.92 prior standard deviations.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or each coefficient from the likelihood-weighted ensemble (5–95%), continuous profile likelihood (95%), the Fisher/Cramér–Rao bound (95%) and 100 repeated-noise calibrations (mean +/- SD). Nominal levels differ by construction and are labelled individually; the four rows are not a nested comparison."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for each</w:t>
      </w:r>
      <w:r>
        <w:t xml:space="preserve"> </w:t>
      </w:r>
      <w:r>
        <w:t xml:space="preserve">coefficient from the likelihood-weighted ensemble (5–95%), continuous profile likelihood (95%),</w:t>
      </w:r>
      <w:r>
        <w:t xml:space="preserve"> </w:t>
      </w:r>
      <w:r>
        <w:t xml:space="preserve">the Fisher/Cramér–Rao bound (95%) and 100 repeated-noise calibrations (mean +/- SD). Nominal</w:t>
      </w:r>
      <w:r>
        <w:t xml:space="preserve"> </w:t>
      </w:r>
      <w:r>
        <w:t xml:space="preserve">levels differ by construction and are labelled individually; the four rows are not a nested</w:t>
      </w:r>
      <w:r>
        <w:t xml:space="preserve"> </w:t>
      </w:r>
      <w:r>
        <w:t xml:space="preserve">comparison.</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and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w:t>
      </w:r>
    </w:p>
    <w:bookmarkEnd w:id="69"/>
    <w:bookmarkStart w:id="70" w:name="X4b1afce4ef9407d46c1f973b1a42fc08f62282a"/>
    <w:p>
      <w:pPr>
        <w:pStyle w:val="Heading3"/>
      </w:pPr>
      <w:r>
        <w:t xml:space="preserve">3.3.2 Systematic sensor error dominates random uncertainty</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coefficient is affected more modestly, whereas the average and new</w:t>
      </w:r>
      <w:r>
        <w:t xml:space="preserve"> </w:t>
      </w:r>
      <w:r>
        <w:t xml:space="preserve">coefficients lose roughly half their information to the bulk term.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These displacements are large in parameter terms, but Section 3.6 shows that they do not</w:t>
      </w:r>
      <w:r>
        <w:t xml:space="preserve"> </w:t>
      </w:r>
      <w:r>
        <w:t xml:space="preserve">translate into proportionate changes in the network-wide risk pattern, and that whether an</w:t>
      </w:r>
      <w:r>
        <w:t xml:space="preserve"> </w:t>
      </w:r>
      <w:r>
        <w:t xml:space="preserve">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his is the median within-realisation value over the 30 unbiased realisations, not the single-realisation value of Table 3. The panels answer different questions and are not comparable; sign is printed, not encoded by colour."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w:t>
      </w:r>
      <w:r>
        <w:t xml:space="preserve"> </w:t>
      </w:r>
      <w:r>
        <w:t xml:space="preserve">uncertainty source is represented in the model. (B) Displacement where a perturbation is imposed</w:t>
      </w:r>
      <w:r>
        <w:t xml:space="preserve"> </w:t>
      </w:r>
      <w:r>
        <w:t xml:space="preserve">but not represented, in baseline posterior standard deviations. This is the median within-realisation value over the 30 unbiased realisations, not the single-realisation value of Table 3. The panels</w:t>
      </w:r>
      <w:r>
        <w:t xml:space="preserve"> </w:t>
      </w:r>
      <w:r>
        <w:t xml:space="preserve">answer different questions and are not comparable; sign is printed, not encoded by</w:t>
      </w:r>
      <w:r>
        <w:t xml:space="preserve"> </w:t>
      </w:r>
      <w:r>
        <w:t xml:space="preserve">colour.</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 and the caveats attached to each row.</w:t>
      </w:r>
    </w:p>
    <w:bookmarkEnd w:id="74"/>
    <w:bookmarkEnd w:id="75"/>
    <w:bookmarkStart w:id="82" w:name="X5c6fbb3654315815bfb725b2f40781d28e6ad47"/>
    <w:p>
      <w:pPr>
        <w:pStyle w:val="Heading2"/>
      </w:pPr>
      <w:r>
        <w:t xml:space="preserve">3.4 Structural heterogeneity and grouped effective parameters</w:t>
      </w:r>
    </w:p>
    <w:bookmarkStart w:id="76" w:name="Xa43c37939fe66a3a2a13d01c117c575e424ba6a"/>
    <w:p>
      <w:pPr>
        <w:pStyle w:val="Heading3"/>
      </w:pPr>
      <w:r>
        <w:t xml:space="preserve">3.4.1 Symmetric within-zone heterogeneity averages out</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Symmetric +/-20%</w:t>
      </w:r>
      <w:r>
        <w:t xml:space="preserve"> </w:t>
      </w:r>
      <w:r>
        <w:t xml:space="preserve">heterogeneity therefore produced no detectable systematic bias in this controlled case, but</w:t>
      </w:r>
      <w:r>
        <w:t xml:space="preserve"> </w:t>
      </w:r>
      <w:r>
        <w:t xml:space="preserve">establishing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comparable in magnitude across all three coefficients, while the fit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substantially and consistently. Its median</w:t>
      </w:r>
      <w:r>
        <w:t xml:space="preserve"> </w:t>
      </w:r>
      <w:r>
        <w:t xml:space="preserve">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Both rules report a falling fraction as</w:t>
      </w:r>
      <w:r>
        <w:t xml:space="preserve"> </w:t>
      </w:r>
      <m:oMath>
        <m:r>
          <m:t>λ</m:t>
        </m:r>
      </m:oMath>
      <w:r>
        <w:t xml:space="preserve"> </w:t>
      </w:r>
      <w:r>
        <w:t xml:space="preserve">grows, but because the gap itself</w:t>
      </w:r>
      <w:r>
        <w:t xml:space="preserve"> </w:t>
      </w:r>
      <w:r>
        <w:t xml:space="preserve">widens the absolute displacement rises under both; the informal weighting simply recovers about</w:t>
      </w:r>
      <w:r>
        <w:t xml:space="preserve"> </w:t>
      </w:r>
      <w:r>
        <w:t xml:space="preserve">half as much of it. A score that is nearly flat inside its behavioural set cannot follow a</w:t>
      </w:r>
      <w:r>
        <w:t xml:space="preserve"> </w:t>
      </w:r>
      <w:r>
        <w:t xml:space="preserve">systematic displacement, so a study relying on it would materially understate how far structural</w:t>
      </w:r>
      <w:r>
        <w:t xml:space="preserve"> </w:t>
      </w:r>
      <w:r>
        <w:t xml:space="preserve">misspecification moves a grouped coefficient.</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the length-weighted</w:t>
      </w:r>
      <w:r>
        <w:t xml:space="preserve"> </w:t>
      </w:r>
      <w:r>
        <w:t xml:space="preserve">value is an illustrative directional comparator, not an estimand, a common endpoint or a bound.</w:t>
      </w:r>
      <w:r>
        <w:t xml:space="preserve"> </w:t>
      </w:r>
      <w:r>
        <w:t xml:space="preserve">A sensitivity- or Jacobian-weighted effective mean, which would identify what the fit actually</w:t>
      </w:r>
      <w:r>
        <w:t xml:space="preserve"> </w:t>
      </w:r>
      <w:r>
        <w:t xml:space="preserve">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arithmetic-to-proxy displacement fraction f_j: squares and bars are the median and 5–95% range over 30 noise realisations, without the paired control adjustment; the faint open marker above each bar is the single reference realisation, which is control-adjusted and is shown only to indicate that the spread across draws is real. The two are different quantities and are not directly comparable. (D) Structural residual against the largest standardised displacement, shown descriptively across designs rather than as equivalent replication schemes."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w:t>
      </w:r>
      <w:r>
        <w:t xml:space="preserve"> </w:t>
      </w:r>
      <w:r>
        <w:t xml:space="preserve">over 25 independent +/-20% fields, in baseline posterior standard deviations. (B) One field</w:t>
      </w:r>
      <w:r>
        <w:t xml:space="preserve"> </w:t>
      </w:r>
      <w:r>
        <w:t xml:space="preserve">against the 25-field mean, showing sign reversal. (C) Raw arithmetic-to-proxy displacement</w:t>
      </w:r>
      <w:r>
        <w:t xml:space="preserve"> </w:t>
      </w:r>
      <w:r>
        <w:t xml:space="preserve">fraction</w:t>
      </w:r>
      <w:r>
        <w:t xml:space="preserve"> </w:t>
      </w:r>
      <m:oMath>
        <m:sSub>
          <m:e>
            <m:r>
              <m:t>f</m:t>
            </m:r>
          </m:e>
          <m:sub>
            <m:r>
              <m:t>j</m:t>
            </m:r>
          </m:sub>
        </m:sSub>
      </m:oMath>
      <w:r>
        <w:t xml:space="preserve">: squares and bars are the median and 5–95% range over 30 noise realisations,</w:t>
      </w:r>
      <w:r>
        <w:t xml:space="preserve"> </w:t>
      </w:r>
      <w:r>
        <w:t xml:space="preserve">without the paired control adjustment; the faint open marker above each bar is the single</w:t>
      </w:r>
      <w:r>
        <w:t xml:space="preserve"> </w:t>
      </w:r>
      <w:r>
        <w:t xml:space="preserve">reference realisation, which is control-adjusted and is shown only to indicate that the spread</w:t>
      </w:r>
      <w:r>
        <w:t xml:space="preserve"> </w:t>
      </w:r>
      <w:r>
        <w:t xml:space="preserve">across draws is real. The two are different quantities and are not directly comparable.</w:t>
      </w:r>
      <w:r>
        <w:t xml:space="preserve"> </w:t>
      </w:r>
      <w:r>
        <w:t xml:space="preserve">(D) Structural residual against the largest standardised displacement, shown descriptively across designs rather than as equivalent replication schemes.</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3.2.3.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mean-absolute relative error of 0.83% under the primary</w:t>
      </w:r>
      <w:r>
        <w:t xml:space="preserve"> </w:t>
      </w:r>
      <w:r>
        <w:t xml:space="preserve">likelihood, with an interquartile range of 0.41% to 1.45% across junctions and noise</w:t>
      </w:r>
      <w:r>
        <w:t xml:space="preserve"> </w:t>
      </w:r>
      <w:r>
        <w:t xml:space="preserve">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w:t>
      </w:r>
      <w:r>
        <w:t xml:space="preserve"> </w:t>
      </w:r>
      <w:r>
        <w:t xml:space="preserve">which is exactly what an inflated parameter spread produces, and it is flattered further because</w:t>
      </w:r>
      <w:r>
        <w:t xml:space="preserve"> </w:t>
      </w:r>
      <w:r>
        <w:t xml:space="preserve">the targets were generated by the same hydraulic and reaction model that produced the</w:t>
      </w:r>
      <w:r>
        <w:t xml:space="preserve"> </w:t>
      </w:r>
      <w:r>
        <w:t xml:space="preserve">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w:t>
      </w:r>
      <w:r>
        <w:t xml:space="preserve"> </w:t>
      </w:r>
      <w:r>
        <w:t xml:space="preserve">zone is withheld the other two coefficients barely move, changing by less than 0.005 m day</w:t>
      </w:r>
      <w:r>
        <w:rPr>
          <w:vertAlign w:val="superscript"/>
        </w:rPr>
        <w:t xml:space="preserve">-1</w:t>
      </w:r>
      <w:r>
        <w:t xml:space="preserve"> </w:t>
      </w:r>
      <w:r>
        <w:t xml:space="preserve">from their six-monitor values.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with a 90% width from the median within-realisation posterior standard deviation, against prior support, prior midpoint and truth; the label gives that standard deviation as a fraction of the prior. Right: held-out RMSE at the dropped monitors against the noise level."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w:t>
      </w:r>
      <w:r>
        <w:rPr>
          <w:b/>
          <w:bCs/>
        </w:rPr>
        <w:t xml:space="preserve"> </w:t>
      </w:r>
      <w:r>
        <w:rPr>
          <w:b/>
          <w:bCs/>
        </w:rPr>
        <w:t xml:space="preserve">scale.</w:t>
      </w:r>
      <w:r>
        <w:t xml:space="preserve"> </w:t>
      </w:r>
      <w:r>
        <w:t xml:space="preserve">For each withheld zone: the median inferred coefficient over 30 realisations, with a</w:t>
      </w:r>
      <w:r>
        <w:t xml:space="preserve"> </w:t>
      </w:r>
      <w:r>
        <w:t xml:space="preserve">90% width from the median within-realisation posterior standard deviation, against prior</w:t>
      </w:r>
      <w:r>
        <w:t xml:space="preserve"> </w:t>
      </w:r>
      <w:r>
        <w:t xml:space="preserve">support, prior midpoint and truth; the label gives that standard deviation as a fraction of the</w:t>
      </w:r>
      <w:r>
        <w:t xml:space="preserve"> </w:t>
      </w:r>
      <w:r>
        <w:t xml:space="preserve">prior. Right: held-out RMSE at the dropped monitors against the noise</w:t>
      </w:r>
      <w:r>
        <w:t xml:space="preserve"> </w:t>
      </w:r>
      <w:r>
        <w:t xml:space="preserve">level.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w:t>
      </w:r>
      <w:r>
        <w:t xml:space="preserve"> </w:t>
      </w:r>
      <w:r>
        <w:t xml:space="preserve">single sensor; leave-one-zone-out rows withhold both sensors of a zone. Own-coefficient error is</w:t>
      </w:r>
      <w:r>
        <w:t xml:space="preserve"> </w:t>
      </w:r>
      <w:r>
        <w:t xml:space="preserve">measured against the true zone value, and own SD retained is that coefficient’s posterior standard</w:t>
      </w:r>
      <w:r>
        <w:t xml:space="preserve"> </w:t>
      </w:r>
      <w:r>
        <w:t xml:space="preserve">deviation as a percentage of its prior standard deviation.</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These are stress tests, not</w:t>
      </w:r>
      <w:r>
        <w:t xml:space="preserve"> </w:t>
      </w:r>
      <w:r>
        <w:t xml:space="preserve">forecasts: the ageing multipliers are illustrative, no by-product, taste or booster constraint</w:t>
      </w:r>
      <w:r>
        <w:t xml:space="preserve"> </w:t>
      </w:r>
      <w:r>
        <w:t xml:space="preserve">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the time-averaged below-threshold probability, \bar{P} = E[D]/48, against cumulative deficit, E[A]; (B) Top-six overlap with the reference ranking under each perturbation, both metrics, with the whole-network rank correlation above. (C) Expected duration against deficit for all 92 junctions, with representative deep-and-short and long-and-shallow nodes marked."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 the</w:t>
      </w:r>
      <w:r>
        <w:t xml:space="preserve"> </w:t>
      </w:r>
      <w:r>
        <w:t xml:space="preserve">time-averaged below-threshold probability,</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against cumulative deficit,</w:t>
      </w:r>
      <w:r>
        <w:t xml:space="preserve"> </w:t>
      </w:r>
      <m:oMath>
        <m:r>
          <m:t>E</m:t>
        </m:r>
        <m:r>
          <m:rPr>
            <m:sty m:val="p"/>
          </m:rPr>
          <m:t>[</m:t>
        </m:r>
        <m:r>
          <m:t>A</m:t>
        </m:r>
        <m:r>
          <m:rPr>
            <m:sty m:val="p"/>
          </m:rPr>
          <m:t>]</m:t>
        </m:r>
      </m:oMath>
      <w:r>
        <w:t xml:space="preserve">;</w:t>
      </w:r>
      <w:r>
        <w:t xml:space="preserve"> </w:t>
      </w:r>
      <w:r>
        <w:t xml:space="preserve">(B) Top-six overlap with the reference ranking under each perturbation, both metrics, with the</w:t>
      </w:r>
      <w:r>
        <w:t xml:space="preserve"> </w:t>
      </w:r>
      <w:r>
        <w:t xml:space="preserve">whole-network rank correlation above. (C) Expected duration against deficit for all 92</w:t>
      </w:r>
      <w:r>
        <w:t xml:space="preserve"> </w:t>
      </w:r>
      <w:r>
        <w:t xml:space="preserve">junctions, with representative deep-and-short and long-and-shallow nodes</w:t>
      </w:r>
      <w:r>
        <w:t xml:space="preserve"> </w:t>
      </w:r>
      <w:r>
        <w:t xml:space="preserve">marked.</w:t>
      </w:r>
    </w:p>
    <w:bookmarkEnd w:id="95"/>
    <w:bookmarkEnd w:id="96"/>
    <w:bookmarkStart w:id="101" w:name="X7aae9a29c0c924fb0cf7cb400610c1dd13a5f2e"/>
    <w:p>
      <w:pPr>
        <w:pStyle w:val="Heading2"/>
      </w:pPr>
      <w:r>
        <w:t xml:space="preserve">3.7 Integrated implications, limitations and future work</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and structured within-zone heterogeneity instead displace the estimate by several</w:t>
      </w:r>
      <w:r>
        <w:t xml:space="preserve"> </w:t>
      </w:r>
      <w:r>
        <w:t xml:space="preserve">posterior standard deviations while aggregate fit remains at the noise floor, so in the cases</w:t>
      </w:r>
      <w:r>
        <w:t xml:space="preserve"> </w:t>
      </w:r>
      <w:r>
        <w:t xml:space="preserve">tested here neither was revealed by the aggregate residual statistic used.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w:t>
      </w:r>
      <w:r>
        <w:t xml:space="preserve"> </w:t>
      </w:r>
      <w:r>
        <w:t xml:space="preserve">node-level mean absolute relative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0" w:name="references"/>
    <w:p>
      <w:pPr>
        <w:pStyle w:val="Heading1"/>
      </w:pPr>
      <w:r>
        <w:t xml:space="preserve">References</w:t>
      </w:r>
    </w:p>
    <w:bookmarkStart w:id="129" w:name="refs"/>
    <w:bookmarkStart w:id="105" w:name="ref-BevenBinley1992"/>
    <w:p>
      <w:pPr>
        <w:pStyle w:val="Bibliography"/>
      </w:pPr>
      <w:r>
        <w:t xml:space="preserve">Beven, K. and Binley, A. (1992)</w:t>
      </w:r>
      <w:r>
        <w:t xml:space="preserve"> </w:t>
      </w:r>
      <w:r>
        <w:t xml:space="preserve">“The future of distributed models: Model calibration and uncertainty prediction,”</w:t>
      </w:r>
      <w:r>
        <w:t xml:space="preserve"> </w:t>
      </w:r>
      <w:r>
        <w:rPr>
          <w:i/>
          <w:iCs/>
        </w:rPr>
        <w:t xml:space="preserve">Hydrological Processes</w:t>
      </w:r>
      <w:r>
        <w:t xml:space="preserve">, 6(3), pp. 279–298. Available at:</w:t>
      </w:r>
      <w:r>
        <w:t xml:space="preserve"> </w:t>
      </w:r>
      <w:hyperlink r:id="rId104">
        <w:r>
          <w:rPr>
            <w:rStyle w:val="Hyperlink"/>
          </w:rPr>
          <w:t xml:space="preserve">https://doi.org/10.1002/hyp.3360060305</w:t>
        </w:r>
      </w:hyperlink>
      <w:r>
        <w:t xml:space="preserve">.</w:t>
      </w:r>
    </w:p>
    <w:bookmarkEnd w:id="105"/>
    <w:bookmarkStart w:id="107" w:name="ref-BevenBinley2014"/>
    <w:p>
      <w:pPr>
        <w:pStyle w:val="Bibliography"/>
      </w:pPr>
      <w:r>
        <w:t xml:space="preserve">Beven, K. and Binley, A. (2014)</w:t>
      </w:r>
      <w:r>
        <w:t xml:space="preserve"> </w:t>
      </w:r>
      <w:r>
        <w:t xml:space="preserve">“</w:t>
      </w:r>
      <w:r>
        <w:t xml:space="preserve">GLUE</w:t>
      </w:r>
      <w:r>
        <w:t xml:space="preserve">: 20 years on,”</w:t>
      </w:r>
      <w:r>
        <w:t xml:space="preserve"> </w:t>
      </w:r>
      <w:r>
        <w:rPr>
          <w:i/>
          <w:iCs/>
        </w:rPr>
        <w:t xml:space="preserve">Hydrological Processes</w:t>
      </w:r>
      <w:r>
        <w:t xml:space="preserve">, 28(24), pp. 5897–5918. Available at:</w:t>
      </w:r>
      <w:r>
        <w:t xml:space="preserve"> </w:t>
      </w:r>
      <w:hyperlink r:id="rId106">
        <w:r>
          <w:rPr>
            <w:rStyle w:val="Hyperlink"/>
          </w:rPr>
          <w:t xml:space="preserve">https://doi.org/10.1002/hyp.10082</w:t>
        </w:r>
      </w:hyperlink>
      <w:r>
        <w:t xml:space="preserve">.</w:t>
      </w:r>
    </w:p>
    <w:bookmarkEnd w:id="107"/>
    <w:bookmarkStart w:id="109" w:name="ref-Brun2001"/>
    <w:p>
      <w:pPr>
        <w:pStyle w:val="Bibliography"/>
      </w:pPr>
      <w:r>
        <w:t xml:space="preserve">Brun, R., Reichert, P. and Künsch, H.R. (2001)</w:t>
      </w:r>
      <w:r>
        <w:t xml:space="preserve"> </w:t>
      </w:r>
      <w:r>
        <w:t xml:space="preserve">“Practical identifiability analysis of large environmental simulation models,”</w:t>
      </w:r>
      <w:r>
        <w:t xml:space="preserve"> </w:t>
      </w:r>
      <w:r>
        <w:rPr>
          <w:i/>
          <w:iCs/>
        </w:rPr>
        <w:t xml:space="preserve">Water Resources Research</w:t>
      </w:r>
      <w:r>
        <w:t xml:space="preserve">, 37(4), pp. 1015–1030. Available at:</w:t>
      </w:r>
      <w:r>
        <w:t xml:space="preserve"> </w:t>
      </w:r>
      <w:hyperlink r:id="rId108">
        <w:r>
          <w:rPr>
            <w:rStyle w:val="Hyperlink"/>
          </w:rPr>
          <w:t xml:space="preserve">https://doi.org/10.1029/2000WR900350</w:t>
        </w:r>
      </w:hyperlink>
      <w:r>
        <w:t xml:space="preserve">.</w:t>
      </w:r>
    </w:p>
    <w:bookmarkEnd w:id="109"/>
    <w:bookmarkStart w:id="110" w:name="ref-Hallam2002"/>
    <w:p>
      <w:pPr>
        <w:pStyle w:val="Bibliography"/>
      </w:pPr>
      <w:r>
        <w:t xml:space="preserve">Hallam, N.</w:t>
      </w:r>
      <w:r>
        <w:t xml:space="preserve"> </w:t>
      </w:r>
      <w:r>
        <w:rPr>
          <w:i/>
          <w:iCs/>
        </w:rPr>
        <w:t xml:space="preserve">et al.</w:t>
      </w:r>
      <w:r>
        <w:t xml:space="preserve"> </w:t>
      </w:r>
      <w:r>
        <w:t xml:space="preserve">(2002)</w:t>
      </w:r>
      <w:r>
        <w:t xml:space="preserve"> </w:t>
      </w:r>
      <w:r>
        <w:t xml:space="preserve">“The decay of chlorine associated with the pipe wall in distribution systems,”</w:t>
      </w:r>
      <w:r>
        <w:t xml:space="preserve"> </w:t>
      </w:r>
      <w:r>
        <w:rPr>
          <w:i/>
          <w:iCs/>
        </w:rPr>
        <w:t xml:space="preserve">Water Research</w:t>
      </w:r>
      <w:r>
        <w:t xml:space="preserve">, 36(14), pp. 3479–3488.</w:t>
      </w:r>
    </w:p>
    <w:bookmarkEnd w:id="110"/>
    <w:bookmarkStart w:id="112" w:name="ref-Klise2017WNTR"/>
    <w:p>
      <w:pPr>
        <w:pStyle w:val="Bibliography"/>
      </w:pPr>
      <w:r>
        <w:t xml:space="preserve">Klise, K.A.</w:t>
      </w:r>
      <w:r>
        <w:t xml:space="preserve"> </w:t>
      </w:r>
      <w:r>
        <w:rPr>
          <w:i/>
          <w:iCs/>
        </w:rPr>
        <w:t xml:space="preserve">et al.</w:t>
      </w:r>
      <w:r>
        <w:t xml:space="preserve"> </w:t>
      </w:r>
      <w:r>
        <w:t xml:space="preserve">(2017)</w:t>
      </w:r>
      <w:r>
        <w:t xml:space="preserve"> </w:t>
      </w:r>
      <w:r>
        <w:t xml:space="preserve">“A software framework for assessing the resilience of drinking water systems to disasters with an example earthquake case study,”</w:t>
      </w:r>
      <w:r>
        <w:t xml:space="preserve"> </w:t>
      </w:r>
      <w:r>
        <w:rPr>
          <w:i/>
          <w:iCs/>
        </w:rPr>
        <w:t xml:space="preserve">Environmental Modelling &amp; Software</w:t>
      </w:r>
      <w:r>
        <w:t xml:space="preserve">, 95, pp. 420–431. Available at:</w:t>
      </w:r>
      <w:r>
        <w:t xml:space="preserve"> </w:t>
      </w:r>
      <w:hyperlink r:id="rId111">
        <w:r>
          <w:rPr>
            <w:rStyle w:val="Hyperlink"/>
          </w:rPr>
          <w:t xml:space="preserve">https://doi.org/10.1016/j.envsoft.2017.06.022</w:t>
        </w:r>
      </w:hyperlink>
      <w:r>
        <w:t xml:space="preserve">.</w:t>
      </w:r>
    </w:p>
    <w:bookmarkEnd w:id="112"/>
    <w:bookmarkStart w:id="114" w:name="ref-MantovanTodini2006"/>
    <w:p>
      <w:pPr>
        <w:pStyle w:val="Bibliography"/>
      </w:pPr>
      <w:r>
        <w:t xml:space="preserve">Mantovan, P. and Todini, E. (2006)</w:t>
      </w:r>
      <w:r>
        <w:t xml:space="preserve"> </w:t>
      </w:r>
      <w:r>
        <w:t xml:space="preserve">“Hydrological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pp. 368–381. Available at:</w:t>
      </w:r>
      <w:r>
        <w:t xml:space="preserve"> </w:t>
      </w:r>
      <w:hyperlink r:id="rId113">
        <w:r>
          <w:rPr>
            <w:rStyle w:val="Hyperlink"/>
          </w:rPr>
          <w:t xml:space="preserve">https://doi.org/10.1016/j.jhydrol.2006.04.046</w:t>
        </w:r>
      </w:hyperlink>
      <w:r>
        <w:t xml:space="preserve">.</w:t>
      </w:r>
    </w:p>
    <w:bookmarkEnd w:id="114"/>
    <w:bookmarkStart w:id="116" w:name="ref-Munavalli2003SteadyState"/>
    <w:p>
      <w:pPr>
        <w:pStyle w:val="Bibliography"/>
      </w:pPr>
      <w:r>
        <w:t xml:space="preserve">Munavalli, G.R. and Mohan Kumar, M.S. (2003)</w:t>
      </w:r>
      <w:r>
        <w:t xml:space="preserve"> </w:t>
      </w:r>
      <w:r>
        <w:t xml:space="preserve">“Water quality parameter estimation in steady-state distribution system,”</w:t>
      </w:r>
      <w:r>
        <w:t xml:space="preserve"> </w:t>
      </w:r>
      <w:r>
        <w:rPr>
          <w:i/>
          <w:iCs/>
        </w:rPr>
        <w:t xml:space="preserve">Journal of Water Resources Planning and Management</w:t>
      </w:r>
      <w:r>
        <w:t xml:space="preserve">, 129(2), pp. 124–134. Available at:</w:t>
      </w:r>
      <w:r>
        <w:t xml:space="preserve"> </w:t>
      </w:r>
      <w:hyperlink r:id="rId115">
        <w:r>
          <w:rPr>
            <w:rStyle w:val="Hyperlink"/>
          </w:rPr>
          <w:t xml:space="preserve">https://doi.org/10.1061/(ASCE)0733-9496(2003)129:2(124)</w:t>
        </w:r>
      </w:hyperlink>
      <w:r>
        <w:t xml:space="preserve">.</w:t>
      </w:r>
    </w:p>
    <w:bookmarkEnd w:id="116"/>
    <w:bookmarkStart w:id="118" w:name="ref-Nejjari2014ChlorineCalibration"/>
    <w:p>
      <w:pPr>
        <w:pStyle w:val="Bibliography"/>
      </w:pPr>
      <w:r>
        <w:t xml:space="preserve">Nejjari, F.</w:t>
      </w:r>
      <w:r>
        <w:t xml:space="preserve"> </w:t>
      </w:r>
      <w:r>
        <w:rPr>
          <w:i/>
          <w:iCs/>
        </w:rPr>
        <w:t xml:space="preserve">et al.</w:t>
      </w:r>
      <w:r>
        <w:t xml:space="preserve"> </w:t>
      </w:r>
      <w:r>
        <w:t xml:space="preserve">(2014)</w:t>
      </w:r>
      <w:r>
        <w:t xml:space="preserve"> </w:t>
      </w:r>
      <w:r>
        <w:t xml:space="preserve">“Chlorine decay model calibration and comparison: Application to a real water network,”</w:t>
      </w:r>
      <w:r>
        <w:t xml:space="preserve"> </w:t>
      </w:r>
      <w:r>
        <w:rPr>
          <w:i/>
          <w:iCs/>
        </w:rPr>
        <w:t xml:space="preserve">Procedia Engineering</w:t>
      </w:r>
      <w:r>
        <w:t xml:space="preserve">, 70, pp. 1221–1230. Available at:</w:t>
      </w:r>
      <w:r>
        <w:t xml:space="preserve"> </w:t>
      </w:r>
      <w:hyperlink r:id="rId117">
        <w:r>
          <w:rPr>
            <w:rStyle w:val="Hyperlink"/>
          </w:rPr>
          <w:t xml:space="preserve">https://doi.org/10.1016/j.proeng.2014.02.135</w:t>
        </w:r>
      </w:hyperlink>
      <w:r>
        <w:t xml:space="preserve">.</w:t>
      </w:r>
    </w:p>
    <w:bookmarkEnd w:id="118"/>
    <w:bookmarkStart w:id="120" w:name="ref-Powell2000"/>
    <w:p>
      <w:pPr>
        <w:pStyle w:val="Bibliography"/>
      </w:pPr>
      <w:r>
        <w:t xml:space="preserve">Powell, J.C.</w:t>
      </w:r>
      <w:r>
        <w:t xml:space="preserve"> </w:t>
      </w:r>
      <w:r>
        <w:rPr>
          <w:i/>
          <w:iCs/>
        </w:rPr>
        <w:t xml:space="preserve">et al.</w:t>
      </w:r>
      <w:r>
        <w:t xml:space="preserve"> </w:t>
      </w:r>
      <w:r>
        <w:t xml:space="preserve">(2000)</w:t>
      </w:r>
      <w:r>
        <w:t xml:space="preserve"> </w:t>
      </w:r>
      <w:r>
        <w:t xml:space="preserve">“Factors which control bulk chlorine decay rates,”</w:t>
      </w:r>
      <w:r>
        <w:t xml:space="preserve"> </w:t>
      </w:r>
      <w:r>
        <w:rPr>
          <w:i/>
          <w:iCs/>
        </w:rPr>
        <w:t xml:space="preserve">Water Research</w:t>
      </w:r>
      <w:r>
        <w:t xml:space="preserve">, 34(1), pp. 117–126. Available at:</w:t>
      </w:r>
      <w:r>
        <w:t xml:space="preserve"> </w:t>
      </w:r>
      <w:hyperlink r:id="rId119">
        <w:r>
          <w:rPr>
            <w:rStyle w:val="Hyperlink"/>
          </w:rPr>
          <w:t xml:space="preserve">https://doi.org/10.1016/S0043-1354(99)00097-4</w:t>
        </w:r>
      </w:hyperlink>
      <w:r>
        <w:t xml:space="preserve">.</w:t>
      </w:r>
    </w:p>
    <w:bookmarkEnd w:id="120"/>
    <w:bookmarkStart w:id="122" w:name="ref-Raue2009"/>
    <w:p>
      <w:pPr>
        <w:pStyle w:val="Bibliography"/>
      </w:pPr>
      <w:r>
        <w:t xml:space="preserve">Raue, A.</w:t>
      </w:r>
      <w:r>
        <w:t xml:space="preserve"> </w:t>
      </w:r>
      <w:r>
        <w:rPr>
          <w:i/>
          <w:iCs/>
        </w:rPr>
        <w:t xml:space="preserve">et al.</w:t>
      </w:r>
      <w:r>
        <w:t xml:space="preserve"> </w:t>
      </w:r>
      <w:r>
        <w:t xml:space="preserve">(2009)</w:t>
      </w:r>
      <w:r>
        <w:t xml:space="preserve"> </w:t>
      </w:r>
      <w:r>
        <w:t xml:space="preserve">“Structural and practical identifiability analysis of partially observed dynamical models by exploiting the profile likelihood,”</w:t>
      </w:r>
      <w:r>
        <w:t xml:space="preserve"> </w:t>
      </w:r>
      <w:r>
        <w:rPr>
          <w:i/>
          <w:iCs/>
        </w:rPr>
        <w:t xml:space="preserve">Bioinformatics</w:t>
      </w:r>
      <w:r>
        <w:t xml:space="preserve">, 25(15), pp. 1923–1929. Available at:</w:t>
      </w:r>
      <w:r>
        <w:t xml:space="preserve"> </w:t>
      </w:r>
      <w:hyperlink r:id="rId121">
        <w:r>
          <w:rPr>
            <w:rStyle w:val="Hyperlink"/>
          </w:rPr>
          <w:t xml:space="preserve">https://doi.org/10.1093/bioinformatics/btp358</w:t>
        </w:r>
      </w:hyperlink>
      <w:r>
        <w:t xml:space="preserve">.</w:t>
      </w:r>
    </w:p>
    <w:bookmarkEnd w:id="122"/>
    <w:bookmarkStart w:id="12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3"/>
    <w:bookmarkStart w:id="124" w:name="ref-Rossman2020"/>
    <w:p>
      <w:pPr>
        <w:pStyle w:val="Bibliography"/>
      </w:pPr>
      <w:r>
        <w:t xml:space="preserve">Rossman, L.A.</w:t>
      </w:r>
      <w:r>
        <w:t xml:space="preserve"> </w:t>
      </w:r>
      <w:r>
        <w:rPr>
          <w:i/>
          <w:iCs/>
        </w:rPr>
        <w:t xml:space="preserve">et al.</w:t>
      </w:r>
      <w:r>
        <w:t xml:space="preserve"> </w:t>
      </w:r>
      <w:r>
        <w:t xml:space="preserve">(2020)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4"/>
    <w:bookmarkStart w:id="125" w:name="ref-Rossman1994"/>
    <w:p>
      <w:pPr>
        <w:pStyle w:val="Bibliography"/>
      </w:pPr>
      <w:r>
        <w:t xml:space="preserve">Rossman, L.A., Clark, R.M. and Grayman, W.M. (1994)</w:t>
      </w:r>
      <w:r>
        <w:t xml:space="preserve"> </w:t>
      </w:r>
      <w:r>
        <w:t xml:space="preserve">“Modeling chlorine residuals in drinking-water distribution systems,”</w:t>
      </w:r>
      <w:r>
        <w:t xml:space="preserve"> </w:t>
      </w:r>
      <w:r>
        <w:rPr>
          <w:i/>
          <w:iCs/>
        </w:rPr>
        <w:t xml:space="preserve">Journal of Environmental Engineering</w:t>
      </w:r>
      <w:r>
        <w:t xml:space="preserve">, 120(4), pp. 803–820.</w:t>
      </w:r>
    </w:p>
    <w:bookmarkEnd w:id="125"/>
    <w:bookmarkStart w:id="127" w:name="ref-Stedinger2008"/>
    <w:p>
      <w:pPr>
        <w:pStyle w:val="Bibliography"/>
      </w:pPr>
      <w:r>
        <w:t xml:space="preserve">Stedinger, J.R.</w:t>
      </w:r>
      <w:r>
        <w:t xml:space="preserve"> </w:t>
      </w:r>
      <w:r>
        <w:rPr>
          <w:i/>
          <w:iCs/>
        </w:rPr>
        <w:t xml:space="preserve">et al.</w:t>
      </w:r>
      <w:r>
        <w:t xml:space="preserve"> </w:t>
      </w:r>
      <w:r>
        <w:t xml:space="preserve">(2008)</w:t>
      </w:r>
      <w:r>
        <w:t xml:space="preserve"> </w:t>
      </w:r>
      <w:r>
        <w:t xml:space="preserve">“Appraisal of the generalized likelihood uncertainty estimation (</w:t>
      </w:r>
      <w:r>
        <w:t xml:space="preserve">GLUE</w:t>
      </w:r>
      <w:r>
        <w:t xml:space="preserve">) method,”</w:t>
      </w:r>
      <w:r>
        <w:t xml:space="preserve"> </w:t>
      </w:r>
      <w:r>
        <w:rPr>
          <w:i/>
          <w:iCs/>
        </w:rPr>
        <w:t xml:space="preserve">Water Resources Research</w:t>
      </w:r>
      <w:r>
        <w:t xml:space="preserve">, 44(12), p. W00B06. Available at:</w:t>
      </w:r>
      <w:r>
        <w:t xml:space="preserve"> </w:t>
      </w:r>
      <w:hyperlink r:id="rId126">
        <w:r>
          <w:rPr>
            <w:rStyle w:val="Hyperlink"/>
          </w:rPr>
          <w:t xml:space="preserve">https://doi.org/10.1029/2008WR006822</w:t>
        </w:r>
      </w:hyperlink>
      <w:r>
        <w:t xml:space="preserve">.</w:t>
      </w:r>
    </w:p>
    <w:bookmarkEnd w:id="127"/>
    <w:bookmarkStart w:id="128" w:name="ref-Vasconcelos1997"/>
    <w:p>
      <w:pPr>
        <w:pStyle w:val="Bibliography"/>
      </w:pPr>
      <w:r>
        <w:t xml:space="preserve">Vasconcelos, J.J.</w:t>
      </w:r>
      <w:r>
        <w:t xml:space="preserve"> </w:t>
      </w:r>
      <w:r>
        <w:rPr>
          <w:i/>
          <w:iCs/>
        </w:rPr>
        <w:t xml:space="preserve">et al.</w:t>
      </w:r>
      <w:r>
        <w:t xml:space="preserve"> </w:t>
      </w:r>
      <w:r>
        <w:t xml:space="preserve">(1997)</w:t>
      </w:r>
      <w:r>
        <w:t xml:space="preserve"> </w:t>
      </w:r>
      <w:r>
        <w:t xml:space="preserve">“Kinetics of chlorine decay,”</w:t>
      </w:r>
      <w:r>
        <w:t xml:space="preserve"> </w:t>
      </w:r>
      <w:r>
        <w:rPr>
          <w:i/>
          <w:iCs/>
        </w:rPr>
        <w:t xml:space="preserve">Journal AWWA</w:t>
      </w:r>
      <w:r>
        <w:t xml:space="preserve">, 89(7), pp. 54–65.</w:t>
      </w:r>
    </w:p>
    <w:bookmarkEnd w:id="128"/>
    <w:bookmarkEnd w:id="129"/>
    <w:bookmarkEnd w:id="130"/>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6" Target="https://doi.org/10.1029/2008WR006822"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6" Target="https://doi.org/10.1029/2008WR006822"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2026-08-07T12:09:32Z</dcterms:created>
  <dcterms:modified xsi:type="dcterms:W3CDTF">2026-08-07T12:09:32Z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/Users/prx/Zotero/styles/harvard-cite-them-right.csl</vt:lpwstr>
  </property>
  <property fmtid="{D5CDD505-2E9C-101B-9397-08002B2CF9AE}" pid="4" name="date">
    <vt:lpwstr>August 2026</vt:lpwstr>
  </property>
</Properties>
</file>