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7.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 informal weighting previously applied to the</w:t>
      </w:r>
      <w:r>
        <w:t xml:space="preserve"> </w:t>
      </w:r>
      <w:r>
        <w:t xml:space="preserve">same system, on identical observations and candidate draws. Identifiability is triangulated</w:t>
      </w:r>
      <w:r>
        <w:t xml:space="preserve"> </w:t>
      </w:r>
      <w:r>
        <w:t xml:space="preserve">across prior contraction, displaced priors, Fisher information, profile likelihood and</w:t>
      </w:r>
      <w:r>
        <w:t xml:space="preserve"> </w:t>
      </w:r>
      <w:r>
        <w:t xml:space="preserve">repeated-noise calibration. Measurement, nuisance and structural errors are then placed on common</w:t>
      </w:r>
      <w:r>
        <w:t xml:space="preserve"> </w:t>
      </w:r>
      <w:r>
        <w:t xml:space="preserve">scales before propagation to prediction and low-chlorine 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The average and new coefficients no longer met the study identifiability criterion once bulk</w:t>
      </w:r>
      <w:r>
        <w:t xml:space="preserve"> </w:t>
      </w:r>
      <w:r>
        <w:t xml:space="preserve">decay and monitor offsets were treated as jointly unknown.</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minimum candidate-library RMSE never exceeded the realised observation-noise RMSE by</w:t>
      </w:r>
      <w:r>
        <w:t xml:space="preserve"> </w:t>
      </w:r>
      <w:r>
        <w:t xml:space="preserve">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should be assessed</w:t>
      </w:r>
      <w:r>
        <w:t xml:space="preserve"> </w:t>
      </w:r>
      <w:r>
        <w:t xml:space="preserve">separately.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 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 m day</w:t>
      </w:r>
      <w:r>
        <w:rPr>
          <w:vertAlign w:val="superscript"/>
        </w:rPr>
        <w:t xml:space="preserve">-1</w:t>
      </w:r>
      <w:r>
        <w:t xml:space="preserve">. The wall reaction is coupled to mass</w:t>
      </w:r>
      <w:r>
        <w:t xml:space="preserve"> </w:t>
      </w:r>
      <w:r>
        <w:t xml:space="preserve">transfer from the bulk, so diameter and flow 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 Grouped coefficients have been calibrated by global optimisation heuristics, genetic and</w:t>
      </w:r>
      <w:r>
        <w:t xml:space="preserve"> </w:t>
      </w:r>
      <w:r>
        <w:t xml:space="preserve">particle-swarm among them</w:t>
      </w:r>
      <w:r>
        <w:t xml:space="preserve"> </w:t>
      </w:r>
      <w:r>
        <w:t xml:space="preserve">(Peirovi Minaee</w:t>
      </w:r>
      <w:r>
        <w:t xml:space="preserve"> </w:t>
      </w:r>
      <w:r>
        <w:rPr>
          <w:i/>
          <w:iCs/>
        </w:rPr>
        <w:t xml:space="preserve">et al.</w:t>
      </w:r>
      <w:r>
        <w:t xml:space="preserve">, 2019; Gómez-Coronel</w:t>
      </w:r>
      <w:r>
        <w:t xml:space="preserve"> </w:t>
      </w:r>
      <w:r>
        <w:rPr>
          <w:i/>
          <w:iCs/>
        </w:rPr>
        <w:t xml:space="preserve">et al.</w:t>
      </w:r>
      <w:r>
        <w:t xml:space="preserve">, 2023)</w:t>
      </w:r>
      <w:r>
        <w:t xml:space="preserve">, Such calibrations target best-fitting values but do not themselves quantify how strongly the data</w:t>
      </w:r>
      <w:r>
        <w:t xml:space="preserve"> </w:t>
      </w:r>
      <w:r>
        <w:t xml:space="preserve">identify them.</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and to support</w:t>
      </w:r>
      <w:r>
        <w:t xml:space="preserve"> </w:t>
      </w:r>
      <w:r>
        <w:t xml:space="preserve">monitoring or control decisions, so a calibration may fail at several distinct levels, and those</w:t>
      </w:r>
      <w:r>
        <w:t xml:space="preserve"> </w:t>
      </w:r>
      <w:r>
        <w:t xml:space="preserve">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Measurement noise and temporal dependence reduce the effective information in monitored series,</w:t>
      </w:r>
      <w:r>
        <w:t xml:space="preserve"> </w:t>
      </w:r>
      <w:r>
        <w:t xml:space="preserve">and readings at a reporting boundary are censored, not exact. Systematic offsets or drift bias the inferred parameters while remaining hard to diagnose from</w:t>
      </w:r>
      <w:r>
        <w:t xml:space="preserve"> </w:t>
      </w:r>
      <w:r>
        <w:t xml:space="preserve">fit quality, and online free-chlorine sensors degrade that way</w:t>
      </w:r>
      <w:r>
        <w:t xml:space="preserve"> </w:t>
      </w:r>
      <w:r>
        <w:t xml:space="preserve">(Aisopou &amp; Stoianov, 2024)</w:t>
      </w:r>
      <w:r>
        <w:t xml:space="preserve">. Bulk decay is often characterised separately and held fixed during wall-decay calibration, so an</w:t>
      </w:r>
      <w:r>
        <w:t xml:space="preserve"> </w:t>
      </w:r>
      <w:r>
        <w:t xml:space="preserve">error in it is absorbed by the wall coefficients, and grouping is an approximation where wall</w:t>
      </w:r>
      <w:r>
        <w:t xml:space="preserve"> </w:t>
      </w:r>
      <w:r>
        <w:t xml:space="preserve">reactivity varies</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 Nejjari</w:t>
      </w:r>
      <w:r>
        <w:t xml:space="preserve"> </w:t>
      </w:r>
      <w:r>
        <w:rPr>
          <w:i/>
          <w:iCs/>
        </w:rPr>
        <w:t xml:space="preserve">et al.</w:t>
      </w:r>
      <w:r>
        <w:t xml:space="preserve">, 2014)</w:t>
      </w:r>
      <w:r>
        <w:t xml:space="preserve">. A close fit therefore does not establish that the coefficients represent the underlying reaction</w:t>
      </w:r>
      <w:r>
        <w:t xml:space="preserve"> </w:t>
      </w:r>
      <w:r>
        <w:t xml:space="preserve">process.</w:t>
      </w:r>
    </w:p>
    <w:p>
      <w:pPr>
        <w:pStyle w:val="BodyText"/>
      </w:pPr>
      <w:r>
        <w:t xml:space="preserve">Uncertainty here has been addressed through real-time data assimilation</w:t>
      </w:r>
      <w:r>
        <w:t xml:space="preserve"> </w:t>
      </w:r>
      <w:r>
        <w:t xml:space="preserve">(Hutton</w:t>
      </w:r>
      <w:r>
        <w:t xml:space="preserve"> </w:t>
      </w:r>
      <w:r>
        <w:rPr>
          <w:i/>
          <w:iCs/>
        </w:rPr>
        <w:t xml:space="preserve">et al.</w:t>
      </w:r>
      <w:r>
        <w:t xml:space="preserve">, 2014)</w:t>
      </w:r>
      <w:r>
        <w:t xml:space="preserve">, including joint state and parameter estimation by ensemble Kalman</w:t>
      </w:r>
      <w:r>
        <w:t xml:space="preserve"> </w:t>
      </w:r>
      <w:r>
        <w:t xml:space="preserve">filtering</w:t>
      </w:r>
      <w:r>
        <w:t xml:space="preserve"> </w:t>
      </w:r>
      <w:r>
        <w:t xml:space="preserve">(Rajakumar</w:t>
      </w:r>
      <w:r>
        <w:t xml:space="preserve"> </w:t>
      </w:r>
      <w:r>
        <w:rPr>
          <w:i/>
          <w:iCs/>
        </w:rPr>
        <w:t xml:space="preserve">et al.</w:t>
      </w:r>
      <w:r>
        <w:t xml:space="preserve">, 2019)</w:t>
      </w:r>
      <w:r>
        <w:t xml:space="preserve">, through explicit input error</w:t>
      </w:r>
      <w:r>
        <w:t xml:space="preserve"> </w:t>
      </w:r>
      <w:r>
        <w:t xml:space="preserve">(Wu, Marshall &amp; Sharma, 2022)</w:t>
      </w:r>
      <w:r>
        <w:t xml:space="preserve">, and through formal</w:t>
      </w:r>
      <w:r>
        <w:t xml:space="preserve"> </w:t>
      </w:r>
      <w:r>
        <w:t xml:space="preserve">Bayesian inference on disinfectant decay</w:t>
      </w:r>
      <w:r>
        <w:t xml:space="preserve"> </w:t>
      </w:r>
      <w:r>
        <w:t xml:space="preserve">(Jenks, Ulusoy &amp; Stoianov, 2025)</w:t>
      </w:r>
      <w:r>
        <w:t xml:space="preserve">.</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concerns whether the finite, noisy observations available constrain the</w:t>
      </w:r>
      <w:r>
        <w:t xml:space="preserve"> </w:t>
      </w:r>
      <w:r>
        <w:t xml:space="preserve">parameters sufficiently, for which profile likelihood is a direct diagnostic</w:t>
      </w:r>
      <w:r>
        <w:t xml:space="preserve"> </w:t>
      </w:r>
      <w:r>
        <w:t xml:space="preserve">(Raue</w:t>
      </w:r>
      <w:r>
        <w:t xml:space="preserve"> </w:t>
      </w:r>
      <w:r>
        <w:rPr>
          <w:i/>
          <w:iCs/>
        </w:rPr>
        <w:t xml:space="preserve">et al.</w:t>
      </w:r>
      <w:r>
        <w:t xml:space="preserve">, 2009)</w:t>
      </w:r>
      <w:r>
        <w:t xml:space="preserve">, and</w:t>
      </w:r>
      <w:r>
        <w:t xml:space="preserve"> </w:t>
      </w:r>
      <w:r>
        <w:t xml:space="preserve">repeated sampling then tests whether the resulting intervals show the bias and coverage the</w:t>
      </w:r>
      <w:r>
        <w:t xml:space="preserve"> </w:t>
      </w:r>
      <w:r>
        <w:t xml:space="preserve">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and holding at one scale does not imply</w:t>
      </w:r>
      <w:r>
        <w:t xml:space="preserve"> </w:t>
      </w:r>
      <w:r>
        <w:t xml:space="preserve">holding at 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 combine behavioural thresholds with informal likelihood</w:t>
      </w:r>
      <w:r>
        <w:t xml:space="preserve"> </w:t>
      </w:r>
      <w:r>
        <w:t xml:space="preserve">measures whose statistical interpretation depends on their relationship to the assumed error</w:t>
      </w:r>
      <w:r>
        <w:t xml:space="preserve"> </w:t>
      </w:r>
      <w:r>
        <w:t xml:space="preserve">process</w:t>
      </w:r>
      <w:r>
        <w:t xml:space="preserve"> </w:t>
      </w:r>
      <w:r>
        <w:t xml:space="preserve">(Beven &amp; Binley, 1992)</w:t>
      </w:r>
      <w:r>
        <w:t xml:space="preserve">. Critiques have shown that a measure not representing the sampling</w:t>
      </w:r>
      <w:r>
        <w:t xml:space="preserve"> </w:t>
      </w:r>
      <w:r>
        <w:t xml:space="preserve">distribution of model errors need not deliver formally calibrated parameter or prediction</w:t>
      </w:r>
      <w:r>
        <w:t xml:space="preserve"> </w:t>
      </w:r>
      <w:r>
        <w:t xml:space="preserve">uncertainty</w:t>
      </w:r>
      <w:r>
        <w:t xml:space="preserve"> </w:t>
      </w:r>
      <w:r>
        <w:t xml:space="preserve">(Mantovan &amp; Todini, 2006; Stedinger</w:t>
      </w:r>
      <w:r>
        <w:t xml:space="preserve"> </w:t>
      </w:r>
      <w:r>
        <w:rPr>
          <w:i/>
          <w:iCs/>
        </w:rPr>
        <w:t xml:space="preserve">et al.</w:t>
      </w:r>
      <w:r>
        <w:t xml:space="preserve">, 2008)</w:t>
      </w:r>
      <w:r>
        <w:t xml:space="preserve">. The controlled setting here sidesteps that broader debate rather than resolving it. Because the</w:t>
      </w:r>
      <w:r>
        <w:t xml:space="preserve"> </w:t>
      </w:r>
      <w:r>
        <w:t xml:space="preserve">synthetic observation model is known, the informal weighting previously applied to this system</w:t>
      </w:r>
      <w:r>
        <w:t xml:space="preserve"> </w:t>
      </w:r>
      <w:r>
        <w:t xml:space="preserve">can be compared directly with the corresponding formal likelihood on identical observations and</w:t>
      </w:r>
      <w:r>
        <w:t xml:space="preserve"> </w:t>
      </w:r>
      <w:r>
        <w:t xml:space="preserve">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 These act</w:t>
      </w:r>
      <w:r>
        <w:t xml:space="preserve"> </w:t>
      </w:r>
      <w:r>
        <w:t xml:space="preserve">in different ways, so loss of precision has to be separated from displacement of the estimate and</w:t>
      </w:r>
      <w:r>
        <w:t xml:space="preserve"> </w:t>
      </w:r>
      <w:r>
        <w:t xml:space="preserve">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It compares a formal censored Gaussian likelihood with the</w:t>
      </w:r>
      <w:r>
        <w:t xml:space="preserve"> </w:t>
      </w:r>
      <w:r>
        <w:t xml:space="preserve">specific informal weighting previously applied to this system, on identical observations and</w:t>
      </w:r>
      <w:r>
        <w:t xml:space="preserve"> </w:t>
      </w:r>
      <w:r>
        <w:t xml:space="preserve">candidate draws. It triangulates identifiability across posterior contraction, displaced priors,</w:t>
      </w:r>
      <w:r>
        <w:t xml:space="preserve"> </w:t>
      </w:r>
      <w:r>
        <w:t xml:space="preserve">Fisher information, continuous profile likelihood and repeated-noise calibration. It separates</w:t>
      </w:r>
      <w:r>
        <w:t xml:space="preserve"> </w:t>
      </w:r>
      <w:r>
        <w:t xml:space="preserve">precision loss from parameter displacement across measurement, nuisance and structural</w:t>
      </w:r>
      <w:r>
        <w:t xml:space="preserve"> </w:t>
      </w:r>
      <w:r>
        <w:t xml:space="preserve">perturbations on common scales. And it distinguishes parameter identification, predictive</w:t>
      </w:r>
      <w:r>
        <w:t xml:space="preserve"> </w:t>
      </w:r>
      <w:r>
        <w:t xml:space="preserve">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and Section 3.1.2 reports what</w:t>
      </w:r>
      <w:r>
        <w:t xml:space="preserve"> </w:t>
      </w:r>
      <w:r>
        <w:t xml:space="preserve">the unmet diagnostics bound.</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are reported in mg L</w:t>
      </w:r>
      <w:r>
        <w:rPr>
          <w:vertAlign w:val="superscript"/>
        </w:rPr>
        <w:t xml:space="preserve">-1</w:t>
      </w:r>
      <w:r>
        <w:t xml:space="preserve">, converted to WNTR’s internal kg m</w:t>
      </w:r>
      <w:r>
        <w:rPr>
          <w:vertAlign w:val="superscript"/>
        </w:rPr>
        <w:t xml:space="preserve">-3</w:t>
      </w:r>
      <w:r>
        <w:t xml:space="preserve"> </w:t>
      </w:r>
      <w:r>
        <w:t xml:space="preserve">representation</w:t>
      </w:r>
      <w:r>
        <w:t xml:space="preserve"> </w:t>
      </w:r>
      <w:r>
        <w:t xml:space="preserve">on model input and back on output</w:t>
      </w:r>
      <w:r>
        <w:t xml:space="preserve"> </w:t>
      </w:r>
      <w:r>
        <w:t xml:space="preserve">(Klise</w:t>
      </w:r>
      <w:r>
        <w:t xml:space="preserve"> </w:t>
      </w:r>
      <w:r>
        <w:rPr>
          <w:i/>
          <w:iCs/>
        </w:rPr>
        <w:t xml:space="preserve">et al.</w:t>
      </w:r>
      <w:r>
        <w:t xml:space="preserve">, 2017; WNTR Development Team, 2026)</w:t>
      </w:r>
      <w:r>
        <w:t xml:space="preserve">.</w:t>
      </w:r>
      <w:r>
        <w:t xml:space="preserve"> </w:t>
      </w:r>
      <w:r>
        <w:t xml:space="preserve">The EPANET absolute quality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It is a chosen setting, a thousand times stricter than the EPANET default of 0.01 mg L</w:t>
      </w:r>
      <w:r>
        <w:rPr>
          <w:vertAlign w:val="superscript"/>
        </w:rPr>
        <w:t xml:space="preserve">-1</w:t>
      </w:r>
      <w:r>
        <w:t xml:space="preserve"> </w:t>
      </w:r>
      <w:r>
        <w:t xml:space="preserve">(Rossman</w:t>
      </w:r>
      <w:r>
        <w:t xml:space="preserve"> </w:t>
      </w:r>
      <w:r>
        <w:rPr>
          <w:i/>
          <w:iCs/>
        </w:rPr>
        <w:t xml:space="preserve">et al.</w:t>
      </w:r>
      <w:r>
        <w:t xml:space="preserve">, 2020)</w:t>
      </w:r>
      <w:r>
        <w:t xml:space="preserve">, holding the tolerance-to-source ratio fixed so that the corrected and superseded</w:t>
      </w:r>
      <w:r>
        <w:t xml:space="preserve"> </w:t>
      </w:r>
      <w:r>
        <w:t xml:space="preserve">implementations are one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 was checked for the expected sign, for monotonic response, and against</w:t>
      </w:r>
      <w:r>
        <w:t xml:space="preserve"> </w:t>
      </w:r>
      <w:r>
        <w:t xml:space="preserve">the limiting case without mass transfer.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(Sobol’, 1967; Owen, 1998)</w:t>
      </w:r>
      <w:r>
        <w:t xml:space="preserve">.</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The censored Gaussian, iid Gaussian and informal GLUE formulations were evaluated</w:t>
      </w:r>
      <w:r>
        <w:t xml:space="preserve"> </w:t>
      </w:r>
      <w:r>
        <w:t xml:space="preserve">on identical prior draws and identical model predictions, so any difference between those</w:t>
      </w:r>
      <w:r>
        <w:t xml:space="preserve"> </w:t>
      </w:r>
      <w:r>
        <w:t xml:space="preserve">baseline results is attributable to the weighting formulation rather than to sampling or to</w:t>
      </w:r>
      <w:r>
        <w:t xml:space="preserve"> </w:t>
      </w:r>
      <w:r>
        <w:t xml:space="preserve">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w:t>
      </w:r>
      <w:r>
        <w:t xml:space="preserve"> </w:t>
      </w:r>
      <w:r>
        <w:t xml:space="preserve">(Beven &amp; Binley, 1992)</w:t>
      </w:r>
      <w:r>
        <w:t xml:space="preserve"> </w:t>
      </w:r>
      <w:r>
        <w:t xml:space="preserve">used in the original analysis of this</w:t>
      </w:r>
      <w:r>
        <w:t xml:space="preserve"> </w:t>
      </w:r>
      <w:r>
        <w:t xml:space="preserve">system was retained 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w:t>
      </w:r>
      <w:r>
        <w:t xml:space="preserve"> </w:t>
      </w:r>
      <w:r>
        <w:t xml:space="preserve">original-prior standard deviation, while the average and new boxes kept their DOWN positions.</w:t>
      </w:r>
      <w:r>
        <w:t xml:space="preserve"> </w:t>
      </w:r>
      <w:r>
        <w:t xml:space="preserve">OLDUP is therefore a directional check for the old coefficient rather than a second like-for-like</w:t>
      </w:r>
      <w:r>
        <w:t xml:space="preserve"> </w:t>
      </w:r>
      <w:r>
        <w:t xml:space="preserve">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(Brun, Reichert &amp; Künsch, 2001)</w:t>
      </w:r>
      <w:r>
        <w:t xml:space="preserve">.</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w:t>
      </w:r>
      <w:r>
        <w:t xml:space="preserve"> </w:t>
      </w:r>
      <w:r>
        <w:t xml:space="preserve">(Raue</w:t>
      </w:r>
      <w:r>
        <w:t xml:space="preserve"> </w:t>
      </w:r>
      <w:r>
        <w:rPr>
          <w:i/>
          <w:iCs/>
        </w:rPr>
        <w:t xml:space="preserve">et al.</w:t>
      </w:r>
      <w:r>
        <w:t xml:space="preserve">, 2009)</w:t>
      </w:r>
      <w:r>
        <w:t xml:space="preserve">: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 row was flagged as sampling-limited when its median ESS fell below 100, or when any realisation</w:t>
      </w:r>
      <w:r>
        <w:t xml:space="preserve"> </w:t>
      </w:r>
      <w:r>
        <w:t xml:space="preserve">produced an empty behavioural set. Contraction from such rows is not read as a quantitative</w:t>
      </w:r>
      <w:r>
        <w:t xml:space="preserve"> </w:t>
      </w:r>
      <w:r>
        <w:t xml:space="preserve">estimate of the benefit of that sensor precision, because a sharper likelihood concentrates on a</w:t>
      </w:r>
      <w:r>
        <w:t xml:space="preserve"> </w:t>
      </w:r>
      <w:r>
        <w:t xml:space="preserve">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and the standardised displacement puts that paired shift on the scale</w:t>
      </w:r>
      <w:r>
        <w:t xml:space="preserve"> </w:t>
      </w:r>
      <w:r>
        <w:t xml:space="preserve">of Section 2.5 using the repeated-baseline denominator.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are not independent 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temperature scaling for</w:t>
      </w:r>
      <w:r>
        <w:t xml:space="preserve"> </w:t>
      </w:r>
      <w:r>
        <w:t xml:space="preserve">chlorine decay</w:t>
      </w:r>
      <w:r>
        <w:t xml:space="preserve"> </w:t>
      </w:r>
      <w:r>
        <w:t xml:space="preserve">(Vasconcelos</w:t>
      </w:r>
      <w:r>
        <w:t xml:space="preserve"> </w:t>
      </w:r>
      <w:r>
        <w:rPr>
          <w:i/>
          <w:iCs/>
        </w:rPr>
        <w:t xml:space="preserve">et al.</w:t>
      </w:r>
      <w:r>
        <w:t xml:space="preserve">, 1997; Hua</w:t>
      </w:r>
      <w:r>
        <w:t xml:space="preserve"> </w:t>
      </w:r>
      <w:r>
        <w:rPr>
          <w:i/>
          <w:iCs/>
        </w:rPr>
        <w:t xml:space="preserve">et al.</w:t>
      </w:r>
      <w:r>
        <w:t xml:space="preserve">, 1999; Powell</w:t>
      </w:r>
      <w:r>
        <w:t xml:space="preserve"> </w:t>
      </w:r>
      <w:r>
        <w:rPr>
          <w:i/>
          <w:iCs/>
        </w:rPr>
        <w:t xml:space="preserve">et al.</w:t>
      </w:r>
      <w:r>
        <w:t xml:space="preserve">, 2000)</w:t>
      </w:r>
      <w:r>
        <w:t xml:space="preserve">,</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The activation-energy distributions and the temperature</w:t>
      </w:r>
      <w:r>
        <w:t xml:space="preserve"> </w:t>
      </w:r>
      <w:r>
        <w:t xml:space="preserve">perturbation are illustrative settings prescribed here rather than measured values. Draws were</w:t>
      </w:r>
      <w:r>
        <w:t xml:space="preserve"> </w:t>
      </w:r>
      <w:r>
        <w:t xml:space="preserve">truncated to keep simulated temperatures inside the pre-defined 8–24 °C range, and the</w:t>
      </w:r>
      <w:r>
        <w:t xml:space="preserve"> </w:t>
      </w:r>
      <w:r>
        <w:t xml:space="preserve">distributions are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1"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zonal pattern follows the imposed reactivity contrast, but it does not set the</w:t>
      </w:r>
      <w:r>
        <w:t xml:space="preserve"> </w:t>
      </w:r>
      <w:r>
        <w:t xml:space="preserve">level on its own. The two average-zone monitors differ by nearly a factor of two, and node 231 clears the highest</w:t>
      </w:r>
      <w:r>
        <w:t xml:space="preserve"> </w:t>
      </w:r>
      <w:r>
        <w:t xml:space="preserve">old-zone monitor by only 0.019 mg L</w:t>
      </w:r>
      <w:r>
        <w:rPr>
          <w:vertAlign w:val="superscript"/>
        </w:rPr>
        <w:t xml:space="preserve">-1</w:t>
      </w:r>
      <w:r>
        <w:t xml:space="preserve">, because residence time and position also modulate the</w:t>
      </w:r>
      <w:r>
        <w:t xml:space="preserve"> </w:t>
      </w:r>
      <w:r>
        <w:t xml:space="preserve">decay. In the noise-free reference trajectory, 21 of the 92 junctions cross below the 0.2 mg L</w:t>
      </w:r>
      <w:r>
        <w:rPr>
          <w:vertAlign w:val="superscript"/>
        </w:rPr>
        <w:t xml:space="preserve">-1</w:t>
      </w:r>
      <w:r>
        <w:t xml:space="preserve"> </w:t>
      </w:r>
      <w:r>
        <w:t xml:space="preserve">threshold at least once in the window, a property of the truth and not the</w:t>
      </w:r>
      <w:r>
        <w:t xml:space="preserve"> </w:t>
      </w:r>
      <w:r>
        <w:t xml:space="preserve">ensemble-weighted breach count of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w:t>
      </w:r>
      <w:r>
        <w:t xml:space="preserve"> </w:t>
      </w:r>
      <w:r>
        <w:t xml:space="preserve">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extract.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part of the network most relevant to the threshold-based</w:t>
      </w:r>
      <w:r>
        <w:t xml:space="preserve"> </w:t>
      </w:r>
      <w:r>
        <w:t xml:space="preserve">risk analysis that follows, and is handled 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 at the threshold used in the original analysis, RMSE &lt; 0.120 mg</w:t>
      </w:r>
      <w:r>
        <w:t xml:space="preserve"> </w:t>
      </w:r>
      <w:r>
        <w:t xml:space="preserve">L</w:t>
      </w:r>
      <w:r>
        <w:rPr>
          <w:vertAlign w:val="superscript"/>
        </w:rPr>
        <w:t xml:space="preserve">-1</w:t>
      </w:r>
      <w:r>
        <w:t xml:space="preserve">, the same 294 residuals left 85.8%, 98.4% and 98.0% of the prior standard deviation intact.</w:t>
      </w:r>
      <w:r>
        <w:t xml:space="preserve"> </w:t>
      </w:r>
      <w:r>
        <w:t xml:space="preserve">The average and new behavioural distributions retained essentially the full prior dispersion and</w:t>
      </w:r>
      <w:r>
        <w:t xml:space="preserve"> </w:t>
      </w:r>
      <w:r>
        <w:t xml:space="preserve">were effectively 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Three weighting rules on the same 294 residuals and 8192 Sobol candidates, the informal score at both thresholds, for the reference noise realisation.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 effective sample of about 157 of 8192 draws (1.9%). The</w:t>
      </w:r>
      <w:r>
        <w:t xml:space="preserve"> </w:t>
      </w:r>
      <w:r>
        <w:t xml:space="preserve">informal effective sample size almost equalled the number of retained candidates, at 4783 of 4786</w:t>
      </w:r>
      <w:r>
        <w:t xml:space="preserve"> </w:t>
      </w:r>
      <w:r>
        <w:t xml:space="preserve">for a threshold of 0.107 and 7062 of 7084 at 0.120, so its weights were nearly uniform within the</w:t>
      </w:r>
      <w:r>
        <w:t xml:space="preserve"> </w:t>
      </w:r>
      <w:r>
        <w:t xml:space="preserve">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That is seventeen times the assumed sensor noise,</w:t>
      </w:r>
      <w:r>
        <w:t xml:space="preserve"> </w:t>
      </w:r>
      <w:r>
        <w:t xml:space="preserve">and 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Tightening the informal cut-off from 0.120 to 0.107 mg L</w:t>
      </w:r>
      <w:r>
        <w:rPr>
          <w:vertAlign w:val="superscript"/>
        </w:rPr>
        <w:t xml:space="preserve">-1</w:t>
      </w:r>
      <w:r>
        <w:t xml:space="preserve"> </w:t>
      </w:r>
      <w:r>
        <w:t xml:space="preserve">reduced the behavioural set from</w:t>
      </w:r>
      <w:r>
        <w:t xml:space="preserve"> </w:t>
      </w:r>
      <w:r>
        <w:t xml:space="preserve">7084 to 4786 candidates, yet the retained prior standard deviations fell only to 71.1%, 91.8%</w:t>
      </w:r>
      <w:r>
        <w:t xml:space="preserve"> </w:t>
      </w:r>
      <w:r>
        <w:t xml:space="preserve">and 88.2%, still two to three times the formal values. Candidate rejection therefore cannot</w:t>
      </w:r>
      <w:r>
        <w:t xml:space="preserve"> </w:t>
      </w:r>
      <w:r>
        <w:t xml:space="preserve">restore the information factor</w:t>
      </w:r>
      <w:r>
        <w:t xml:space="preserve"> </w:t>
      </w:r>
      <m:oMath>
        <m:r>
          <m:t>N</m:t>
        </m:r>
      </m:oMath>
      <w:r>
        <w:t xml:space="preserve"> </w:t>
      </w:r>
      <w:r>
        <w:t xml:space="preserve">the score omits.</w:t>
      </w:r>
    </w:p>
    <w:p>
      <w:pPr>
        <w:pStyle w:val="BodyText"/>
      </w:pPr>
      <w:r>
        <w:t xml:space="preserve">To exclude favourable prior placement as the cause of the formal contraction, all three prior</w:t>
      </w:r>
      <w:r>
        <w:t xml:space="preserve"> </w:t>
      </w:r>
      <w:r>
        <w:t xml:space="preserve">boxes were re-centred at the truth minus one original-prior standard deviation, keeping their</w:t>
      </w:r>
      <w:r>
        <w:t xml:space="preserve"> </w:t>
      </w:r>
      <w:r>
        <w:t xml:space="preserve">original width, and the calibration repeated over 30 noise realisations. The formal likelihood</w:t>
      </w:r>
      <w:r>
        <w:t xml:space="preserve"> </w:t>
      </w:r>
      <w:r>
        <w:t xml:space="preserve">recovered 88%, 95% and 96% of the imposed displacement for old, average and new while retaining</w:t>
      </w:r>
      <w:r>
        <w:t xml:space="preserve"> </w:t>
      </w:r>
      <w:r>
        <w:t xml:space="preserve">27.1%, 28.9% and 28.4% of the displaced prior’s standard deviation, matching the baseline</w:t>
      </w:r>
      <w:r>
        <w:t xml:space="preserve"> </w:t>
      </w:r>
      <w:r>
        <w:t xml:space="preserve">contraction despite the deliberately truth-displaced prior. The informal comparator recovered</w:t>
      </w:r>
      <w:r>
        <w:t xml:space="preserve"> </w:t>
      </w:r>
      <w:r>
        <w:t xml:space="preserve">substantially less at both thresholds.</w:t>
      </w:r>
    </w:p>
    <w:p>
      <w:pPr>
        <w:pStyle w:val="BodyText"/>
      </w:pPr>
      <w:r>
        <w:t xml:space="preserve">The OLDUP check reversed the old-zone displacement alone. Because the non-positivity constraint</w:t>
      </w:r>
      <w:r>
        <w:t xml:space="preserve"> </w:t>
      </w:r>
      <w:r>
        <w:t xml:space="preserve">shifted its realised midpoint to −0.655 m day</w:t>
      </w:r>
      <w:r>
        <w:rPr>
          <w:vertAlign w:val="superscript"/>
        </w:rPr>
        <w:t xml:space="preserve">-1</w:t>
      </w:r>
      <w:r>
        <w:t xml:space="preserve">, the upward displacement is about 0.92</w:t>
      </w:r>
      <w:r>
        <w:t xml:space="preserve"> </w:t>
      </w:r>
      <w:r>
        <w:t xml:space="preserve">original-prior standard deviations rather than a full one. Formal recovery for old was 88%</w:t>
      </w:r>
      <w:r>
        <w:t xml:space="preserve"> </w:t>
      </w:r>
      <w:r>
        <w:t xml:space="preserve">downward and 112% upward, symmetric within the noise, whereas informal recovery moved strongly</w:t>
      </w:r>
      <w:r>
        <w:t xml:space="preserve"> </w:t>
      </w:r>
      <w:r>
        <w:t xml:space="preserve">with the direction of displacement. The pronounced identifiability gradient reported in the</w:t>
      </w:r>
      <w:r>
        <w:t xml:space="preserve"> </w:t>
      </w:r>
      <w:r>
        <w:t xml:space="preserve">original analysis, in which old appears far better constrained than average or new, is therefore</w:t>
      </w:r>
      <w:r>
        <w:t xml:space="preserve"> </w:t>
      </w:r>
      <w:r>
        <w:t xml:space="preserve">a property of the weighting rule rather than a ranking of what the monitoring array can resolve.</w:t>
      </w:r>
      <w:r>
        <w:t xml:space="preserve"> </w:t>
      </w:r>
      <w:r>
        <w:t xml:space="preserve">Full threshold and 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 [-1.172, -0.811], [-0.137, -0.082]</w:t>
      </w:r>
      <w:r>
        <w:t xml:space="preserve"> </w:t>
      </w:r>
      <w:r>
        <w:t xml:space="preserve">and [-0.060, -0.029] m day</w:t>
      </w:r>
      <w:r>
        <w:rPr>
          <w:vertAlign w:val="superscript"/>
        </w:rPr>
        <w:t xml:space="preserve">-1</w:t>
      </w:r>
      <w:r>
        <w:t xml:space="preserve">, each covering its true value. Endpoints obtained by bisection are</w:t>
      </w:r>
      <w:r>
        <w:t xml:space="preserve"> </w:t>
      </w:r>
      <w:r>
        <w:t xml:space="preserve">quoted rather than grid endpoints, which understate the half-width by 39.0%, 14.9% and 28.1% and</w:t>
      </w:r>
      <w:r>
        <w:t xml:space="preserve"> </w:t>
      </w:r>
      <w:r>
        <w:t xml:space="preserve">are used here only for visualisation. Finally, repeating the calibration over 100 independent noise realisations gave a mean bias of at</w:t>
      </w:r>
      <w:r>
        <w:t xml:space="preserve"> </w:t>
      </w:r>
      <w:r>
        <w:t xml:space="preserve">most 0.15 times the empirical sampling standard deviation. The ratio of empirical spread to the</w:t>
      </w:r>
      <w:r>
        <w:t xml:space="preserve"> </w:t>
      </w:r>
      <w:r>
        <w:t xml:space="preserve">Cramér–Rao bound of 1.04, 1.06 and 1.12, and 90% interval coverage of 0.89, 0.88 and 0.85, are</w:t>
      </w:r>
      <w:r>
        <w:t xml:space="preserve"> </w:t>
      </w:r>
      <w:r>
        <w:t xml:space="preserve">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 effective sample size at about 126 of 294 at a</w:t>
      </w:r>
      <w:r>
        <w:t xml:space="preserve"> </w:t>
      </w:r>
      <w:r>
        <w:t xml:space="preserve">correlation of 0.4. Recomputing the Fisher information from the full block covariance instead</w:t>
      </w:r>
      <w:r>
        <w:t xml:space="preserve"> </w:t>
      </w:r>
      <w:r>
        <w:t xml:space="preserve">widened the three bounds by 1.48, 1.49 and 1.44 times, to 37.5%, 43.5% and 41.7% of the prior</w:t>
      </w:r>
      <w:r>
        <w:t xml:space="preserve"> </w:t>
      </w:r>
      <w:r>
        <w:t xml:space="preserve">standard deviation. At this strength correlation reduces precision without removing identifiability under the study</w:t>
      </w:r>
      <w:r>
        <w:t xml:space="preserve"> </w:t>
      </w:r>
      <w:r>
        <w:t xml:space="preserve">criterion.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sign asymmetry is consistent with a downward bias pushing more readings onto the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 new</w:t>
      </w:r>
      <w:r>
        <w:t xml:space="preserve"> </w:t>
      </w:r>
      <w:r>
        <w:t xml:space="preserve">(node 113, −0.10). Contamination crosses zone boundaries. A −0.10 offset at new-zone node 107 displaced the average coefficient by 1.59. Per-arm results are in Appendix F.</w:t>
      </w:r>
    </w:p>
    <w:p>
      <w:pPr>
        <w:pStyle w:val="BodyText"/>
      </w:pPr>
      <w:r>
        <w:t xml:space="preserve">In the tested ramps drift tracked the mean offset far more closely than the endpoint. A ramp reaching a given offset by the end of the window displaced the estimate by 0.89 to 0.99</w:t>
      </w:r>
      <w:r>
        <w:t xml:space="preserve"> </w:t>
      </w:r>
      <w:r>
        <w:t xml:space="preserve">times a constant offset at half that value, but only 0.45 to 0.64 times one at the endpoint</w:t>
      </w:r>
      <w:r>
        <w:t xml:space="preserve"> </w:t>
      </w:r>
      <w:r>
        <w:t xml:space="preserve">value. A sensor drifting to +0.10 mg L</w:t>
      </w:r>
      <w:r>
        <w:rPr>
          <w:vertAlign w:val="superscript"/>
        </w:rPr>
        <w:t xml:space="preserve">-1</w:t>
      </w:r>
      <w:r>
        <w:t xml:space="preserve"> </w:t>
      </w:r>
      <w:r>
        <w:t xml:space="preserve">therefore behaves much more like a constant +0.05 than</w:t>
      </w:r>
      <w:r>
        <w:t xml:space="preserve"> </w:t>
      </w:r>
      <w:r>
        <w:t xml:space="preserve">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422231" cy="2009846"/>
            <wp:effectExtent b="0" l="0" r="0" t="0"/>
            <wp:docPr descr="Figure 4. Standardised effect of each error source. (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422231" cy="2009846"/>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1"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field wall</w:t>
      </w:r>
      <w:r>
        <w:t xml:space="preserve"> </w:t>
      </w:r>
      <w:r>
        <w:t xml:space="preserve">reactivity varies with pipe condition</w:t>
      </w:r>
      <w:r>
        <w:t xml:space="preserve"> </w:t>
      </w:r>
      <w:r>
        <w:t xml:space="preserve">(Hallam</w:t>
      </w:r>
      <w:r>
        <w:t xml:space="preserve"> </w:t>
      </w:r>
      <w:r>
        <w:rPr>
          <w:i/>
          <w:iCs/>
        </w:rPr>
        <w:t xml:space="preserve">et al.</w:t>
      </w:r>
      <w:r>
        <w:t xml:space="preserve">, 2002)</w:t>
      </w:r>
      <w:r>
        <w:t xml:space="preserve"> </w:t>
      </w:r>
      <w:r>
        <w:t xml:space="preserve">and is unlikely to be uniform within any</w:t>
      </w:r>
      <w:r>
        <w:t xml:space="preserve"> </w:t>
      </w:r>
      <w:r>
        <w:t xml:space="preserve">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Aggregate fit quality gave little warning here. The grid-based residual rises from its</w:t>
      </w:r>
      <w:r>
        <w:t xml:space="preserve"> </w:t>
      </w:r>
      <w:r>
        <w:t xml:space="preserve">homogeneous resolution floor of 0.0055 mg L</w:t>
      </w:r>
      <w:r>
        <w:rPr>
          <w:vertAlign w:val="superscript"/>
        </w:rPr>
        <w:t xml:space="preserve">-1</w:t>
      </w:r>
      <w:r>
        <w:t xml:space="preserve"> </w:t>
      </w:r>
      <w:r>
        <w:t xml:space="preserve">to 0.0068, leaving 0.0013 attributable to the</w:t>
      </w:r>
      <w:r>
        <w:t xml:space="preserve"> </w:t>
      </w:r>
      <w:r>
        <w:t xml:space="preserve">imposed heterogeneity, and the best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80"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while holding each zone’s arithmetic mean fixed separates two candidate</w:t>
      </w:r>
      <w:r>
        <w:t xml:space="preserve"> </w:t>
      </w:r>
      <w:r>
        <w:t xml:space="preserve">targets for a homogeneous grouped fit, the arithmetic mean and a length-weighted directional</w:t>
      </w:r>
      <w:r>
        <w:t xml:space="preserve"> </w:t>
      </w:r>
      <w:r>
        <w:t xml:space="preserve">comparator. In the paired reference realisation the control-adjusted displacements were −1.55,</w:t>
      </w:r>
      <w:r>
        <w:t xml:space="preserve"> </w:t>
      </w:r>
      <w:r>
        <w:t xml:space="preserve">−1.89 and −1.65 baseline posterior standard deviations for old, average and new, while the best</w:t>
      </w:r>
      <w:r>
        <w:t xml:space="preserve"> </w:t>
      </w:r>
      <w:r>
        <w:t xml:space="preserve">RMSE remained 0.0968 mg L</w:t>
      </w:r>
      <w:r>
        <w:rPr>
          <w:vertAlign w:val="superscript"/>
        </w:rPr>
        <w:t xml:space="preserve">-1</w:t>
      </w:r>
      <w:r>
        <w:t xml:space="preserve"> </w:t>
      </w:r>
      <w:r>
        <w:t xml:space="preserve">against a realised noise RMSE of 0.0973.</w:t>
      </w:r>
    </w:p>
    <w:p>
      <w:pPr>
        <w:pStyle w:val="BodyText"/>
      </w:pPr>
      <w:r>
        <w:t xml:space="preserve">Across 30 noise realisations at</w:t>
      </w:r>
      <w:r>
        <w:t xml:space="preserve"> </w:t>
      </w:r>
      <m:oMath>
        <m:r>
          <m:t>λ</m:t>
        </m:r>
        <m:r>
          <m:rPr>
            <m:sty m:val="p"/>
          </m:rPr>
          <m:t>=</m:t>
        </m:r>
        <m:r>
          <m:t>0.50</m:t>
        </m:r>
      </m:oMath>
      <w:r>
        <w:t xml:space="preserve"> </w:t>
      </w:r>
      <w:r>
        <w:t xml:space="preserve">the median raw fractions of the</w:t>
      </w:r>
      <w:r>
        <w:t xml:space="preserve"> </w:t>
      </w:r>
      <w:r>
        <w:t xml:space="preserve">arithmetic-to-length-weighted gap travelled were 0.86, 1.12 and 0.92. Their 5th-to-95th ranges</w:t>
      </w:r>
      <w:r>
        <w:t xml:space="preserve"> </w:t>
      </w:r>
      <w:r>
        <w:t xml:space="preserve">overlap and all contain unity, so the zones cannot be ordered by displacement magnitude; the</w:t>
      </w:r>
      <w:r>
        <w:t xml:space="preserve"> </w:t>
      </w:r>
      <w:r>
        <w:t xml:space="preserve">apparent average-zone overshoot in Figure 5C is not stable across draws. At</w:t>
      </w:r>
      <w:r>
        <w:t xml:space="preserve"> </w:t>
      </w:r>
      <m:oMath>
        <m:r>
          <m:t>λ</m:t>
        </m:r>
        <m:r>
          <m:rPr>
            <m:sty m:val="p"/>
          </m:rPr>
          <m:t>=</m:t>
        </m:r>
        <m:r>
          <m:t>0.75</m:t>
        </m:r>
      </m:oMath>
      <w:r>
        <w:t xml:space="preserve"> </w:t>
      </w:r>
      <w:r>
        <w:t xml:space="preserve">all</w:t>
      </w:r>
      <w:r>
        <w:t xml:space="preserve"> </w:t>
      </w:r>
      <w:r>
        <w:t xml:space="preserve">three intervals exclude zero, resolving movement in the length-weighted direction but not its</w:t>
      </w:r>
      <w:r>
        <w:t xml:space="preserve"> </w:t>
      </w:r>
      <w:r>
        <w:t xml:space="preserve">size.</w:t>
      </w:r>
    </w:p>
    <w:p>
      <w:pPr>
        <w:pStyle w:val="BodyText"/>
      </w:pPr>
      <w:r>
        <w:t xml:space="preserve">The informal comparator did not attenuate the effect uniformly. For the old zone it returned only</w:t>
      </w:r>
      <w:r>
        <w:t xml:space="preserve"> </w:t>
      </w:r>
      <w:r>
        <w:t xml:space="preserve">46% to 59% of the formal displacement at every non-zero amplitude, whereas the average-zone</w:t>
      </w:r>
      <w:r>
        <w:t xml:space="preserve"> </w:t>
      </w:r>
      <w:r>
        <w:t xml:space="preserve">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and the new-zone</w:t>
      </w:r>
      <w:r>
        <w:t xml:space="preserve"> </w:t>
      </w:r>
      <w:r>
        <w:t xml:space="preserve">attenuation is mild throughout. The effect of the informal rule is therefore zone-specific: where</w:t>
      </w:r>
      <w:r>
        <w:t xml:space="preserve"> </w:t>
      </w:r>
      <w:r>
        <w:t xml:space="preserve">it does attenuate, a study relying on it would understate how far structural misspecification</w:t>
      </w:r>
      <w:r>
        <w:t xml:space="preserve"> </w:t>
      </w:r>
      <w:r>
        <w:t xml:space="preserve">moves that coefficient, but the halving seen for old cannot be assumed for the weakly decaying</w:t>
      </w:r>
      <w:r>
        <w:t xml:space="preserve"> </w:t>
      </w:r>
      <w:r>
        <w:t xml:space="preserve">zones. The full amplitude sweep is reported in Table E4.</w:t>
      </w:r>
    </w:p>
    <w:p>
      <w:pPr>
        <w:pStyle w:val="CaptionedFigure"/>
      </w:pPr>
      <w:r>
        <w:drawing>
          <wp:inline>
            <wp:extent cx="5681196" cy="2041930"/>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8" name="Picture"/>
            <a:graphic>
              <a:graphicData uri="http://schemas.openxmlformats.org/drawingml/2006/picture">
                <pic:pic>
                  <pic:nvPicPr>
                    <pic:cNvPr descr="figures/paper/fig5_symmetric_vs_structured.png" id="79" name="Picture"/>
                    <pic:cNvPicPr>
                      <a:picLocks noChangeArrowheads="1" noChangeAspect="1"/>
                    </pic:cNvPicPr>
                  </pic:nvPicPr>
                  <pic:blipFill>
                    <a:blip r:embed="rId77"/>
                    <a:stretch>
                      <a:fillRect/>
                    </a:stretch>
                  </pic:blipFill>
                  <pic:spPr bwMode="auto">
                    <a:xfrm>
                      <a:off x="0" y="0"/>
                      <a:ext cx="5681196" cy="2041930"/>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0"/>
    <w:bookmarkEnd w:id="81"/>
    <w:bookmarkStart w:id="88" w:name="X44cb885e018a13507da67f983d6df8610da438a"/>
    <w:p>
      <w:pPr>
        <w:pStyle w:val="Heading2"/>
      </w:pPr>
      <w:r>
        <w:t xml:space="preserve">3.5 Predictive accuracy is not parameter identification</w:t>
      </w:r>
    </w:p>
    <w:bookmarkStart w:id="82" w:name="leaving-out-one-monitor"/>
    <w:p>
      <w:pPr>
        <w:pStyle w:val="Heading3"/>
      </w:pPr>
      <w:r>
        <w:t xml:space="preserve">3.5.1 Leaving out one monitor</w:t>
      </w:r>
    </w:p>
    <w:p>
      <w:pPr>
        <w:pStyle w:val="FirstParagraph"/>
      </w:pPr>
      <w:r>
        <w:t xml:space="preserve">Withholding each of the six monitors in turn and refitting gives held-out RMSEs between 0.092 and</w:t>
      </w:r>
      <w:r>
        <w:t xml:space="preserve"> </w:t>
      </w:r>
      <w:r>
        <w:t xml:space="preserve">0.103 mg L</w:t>
      </w:r>
      <w:r>
        <w:rPr>
          <w:vertAlign w:val="superscript"/>
        </w:rPr>
        <w:t xml:space="preserve">-1</w:t>
      </w:r>
      <w:r>
        <w:t xml:space="preserve"> </w:t>
      </w:r>
      <w:r>
        <w:t xml:space="preserve">against an observation noise standard deviation of 0.1, with 90% predictive</w:t>
      </w:r>
      <w:r>
        <w:t xml:space="preserve"> </w:t>
      </w:r>
      <w:r>
        <w:t xml:space="preserve">interval coverage between 0.90 and 0.94 (Table 5). Taken at face value that is good held-out</w:t>
      </w:r>
      <w:r>
        <w:t xml:space="preserve"> </w:t>
      </w:r>
      <w:r>
        <w:t xml:space="preserve">performance at all six monitors.</w:t>
      </w:r>
    </w:p>
    <w:p>
      <w:pPr>
        <w:pStyle w:val="BodyText"/>
      </w:pPr>
      <w:r>
        <w:t xml:space="preserve">Two observations qualify that reading. Each zone retains its second monitor throughout, so the</w:t>
      </w:r>
      <w:r>
        <w:t xml:space="preserve"> </w:t>
      </w:r>
      <w:r>
        <w:t xml:space="preserve">test establishes prediction at an unseen monitor while its zone remains locally observed. And the</w:t>
      </w:r>
      <w:r>
        <w:t xml:space="preserve"> </w:t>
      </w:r>
      <w:r>
        <w:t xml:space="preserve">informal comparator achieved almost the same held-out RMSE, 0.092 to 0.102 mg L</w:t>
      </w:r>
      <w:r>
        <w:rPr>
          <w:vertAlign w:val="superscript"/>
        </w:rPr>
        <w:t xml:space="preserve">-1</w:t>
      </w:r>
      <w:r>
        <w:t xml:space="preserve">, despite the</w:t>
      </w:r>
      <w:r>
        <w:t xml:space="preserve"> </w:t>
      </w:r>
      <w:r>
        <w:t xml:space="preserve">much broader parameter distributions of Section 3.2, so a weighting rule can extract very little</w:t>
      </w:r>
      <w:r>
        <w:t xml:space="preserve"> </w:t>
      </w:r>
      <w:r>
        <w:t xml:space="preserve">parameter information and still predict concentrations about as well.</w:t>
      </w:r>
    </w:p>
    <w:bookmarkEnd w:id="82"/>
    <w:bookmarkStart w:id="83" w:name="leaving-out-a-whole-zone"/>
    <w:p>
      <w:pPr>
        <w:pStyle w:val="Heading3"/>
      </w:pPr>
      <w:r>
        <w:t xml:space="preserve">3.5.2 Leaving out a whole zone</w:t>
      </w:r>
    </w:p>
    <w:p>
      <w:pPr>
        <w:pStyle w:val="FirstParagraph"/>
      </w:pPr>
      <w:r>
        <w:t xml:space="preserve">Withholding both monitors of a zone removed the local update for the old and average</w:t>
      </w:r>
      <w:r>
        <w:t xml:space="preserve"> </w:t>
      </w:r>
      <w:r>
        <w:t xml:space="preserve">coefficients. Both returned to their prior midpoints to three decimal places and retained 100% of</w:t>
      </w:r>
      <w:r>
        <w:t xml:space="preserve"> </w:t>
      </w:r>
      <w:r>
        <w:t xml:space="preserve">the prior standard deviation. The new coefficient retained about 57%, consistent with its</w:t>
      </w:r>
      <w:r>
        <w:t xml:space="preserve"> </w:t>
      </w:r>
      <w:r>
        <w:t xml:space="preserve">upstream position and with the cross-zone sensitivity visible in the Fisher analysis of Section</w:t>
      </w:r>
      <w:r>
        <w:t xml:space="preserve"> </w:t>
      </w:r>
      <w:r>
        <w:t xml:space="preserve">3.3.3.</w:t>
      </w:r>
    </w:p>
    <w:p>
      <w:pPr>
        <w:pStyle w:val="BodyText"/>
      </w:pPr>
      <w:r>
        <w:t xml:space="preserve">Held-out prediction nevertheless stayed near the noise scale, with RMSEs of</w:t>
      </w:r>
      <w:r>
        <w:t xml:space="preserve"> </w:t>
      </w:r>
      <w:r>
        <w:t xml:space="preserve">0.0999, 0.0988 and 0.1006 mg L</w:t>
      </w:r>
      <w:r>
        <w:rPr>
          <w:vertAlign w:val="superscript"/>
        </w:rPr>
        <w:t xml:space="preserve">-1</w:t>
      </w:r>
      <w:r>
        <w:t xml:space="preserve"> </w:t>
      </w:r>
      <w:r>
        <w:t xml:space="preserve">and coverage between 0.90 and 0.96 (Figure 6). Repeating the</w:t>
      </w:r>
      <w:r>
        <w:t xml:space="preserve"> </w:t>
      </w:r>
      <w:r>
        <w:t xml:space="preserve">design under ±20% per-pipe heterogeneity across eight independent fields produced the same</w:t>
      </w:r>
      <w:r>
        <w:t xml:space="preserve"> </w:t>
      </w:r>
      <w:r>
        <w:t xml:space="preserve">qualitative separation, with errors at unmonitored junctions between 0.8% and 1.2%. In a separate</w:t>
      </w:r>
      <w:r>
        <w:t xml:space="preserve"> </w:t>
      </w:r>
      <w:r>
        <w:t xml:space="preserve">spatial validation using all six monitors, predictions at twenty junctions that never entered any</w:t>
      </w:r>
      <w:r>
        <w:t xml:space="preserve"> </w:t>
      </w:r>
      <w:r>
        <w:t xml:space="preserve">calibration had a median normalised mean absolute error of 0.83% under the primary likelihood,</w:t>
      </w:r>
      <w:r>
        <w:t xml:space="preserve"> </w:t>
      </w:r>
      <w:r>
        <w:t xml:space="preserve">with an interquartile range of 0.41% to 1.45%.</w:t>
      </w:r>
    </w:p>
    <w:p>
      <w:pPr>
        <w:pStyle w:val="BodyText"/>
      </w:pPr>
      <w:r>
        <w:t xml:space="preserve">The predictive bands at those junctions are less flattering and are reported for that reason.</w:t>
      </w:r>
      <w:r>
        <w:t xml:space="preserve"> </w:t>
      </w:r>
      <w:r>
        <w:t xml:space="preserve">Against a nominal 90%, median pointwise coverage was 1.00 under both band</w:t>
      </w:r>
      <w:r>
        <w:t xml:space="preserve"> </w:t>
      </w:r>
      <w:r>
        <w:t xml:space="preserve">constructions and both weighting rules, so the bands are conservative rather than calibrated in</w:t>
      </w:r>
      <w:r>
        <w:t xml:space="preserve"> </w:t>
      </w:r>
      <w:r>
        <w:t xml:space="preserve">this model-matched design, and the same caution applies to the apparently near-nominal coverage of the held-out monitor</w:t>
      </w:r>
      <w:r>
        <w:t xml:space="preserve"> </w:t>
      </w:r>
      <w:r>
        <w:t xml:space="preserve">designs. Cross-coefficient compensation was small, the largest shift in a</w:t>
      </w:r>
      <w:r>
        <w:t xml:space="preserve"> </w:t>
      </w:r>
      <w:r>
        <w:t xml:space="preserve">retained coefficient being 0.0086 m day</w:t>
      </w:r>
      <w:r>
        <w:rPr>
          <w:vertAlign w:val="superscript"/>
        </w:rPr>
        <w:t xml:space="preserve">-1</w:t>
      </w:r>
      <w:r>
        <w:t xml:space="preserve">. For old and average the prior midpoints lie close</w:t>
      </w:r>
      <w:r>
        <w:t xml:space="preserve"> </w:t>
      </w:r>
      <w:r>
        <w:t xml:space="preserve">enough to the imposed truths that a prior-dominated coefficient still predicts within the 0.1 mg</w:t>
      </w:r>
      <w:r>
        <w:t xml:space="preserve"> </w:t>
      </w:r>
      <w:r>
        <w:t xml:space="preserve">L</w:t>
      </w:r>
      <w:r>
        <w:rPr>
          <w:vertAlign w:val="superscript"/>
        </w:rPr>
        <w:t xml:space="preserve">-1</w:t>
      </w:r>
      <w:r>
        <w:t xml:space="preserve"> </w:t>
      </w:r>
      <w:r>
        <w:t xml:space="preserve">noise scale, whereas the new coefficient retains genuine information from monitors outside</w:t>
      </w:r>
      <w:r>
        <w:t xml:space="preserve"> </w:t>
      </w:r>
      <w:r>
        <w:t xml:space="preserve">its own zone. Good held-out prediction therefore did not imply local parameter identification.</w:t>
      </w:r>
    </w:p>
    <w:bookmarkEnd w:id="83"/>
    <w:bookmarkStart w:id="87" w:name="X68f19514e01396656c07c61bd9e2aff5b14a223"/>
    <w:p>
      <w:pPr>
        <w:pStyle w:val="Heading3"/>
      </w:pPr>
      <w:r>
        <w:t xml:space="preserve">3.5.3 What predictive validation does and does not license</w:t>
      </w:r>
    </w:p>
    <w:p>
      <w:pPr>
        <w:pStyle w:val="FirstParagraph"/>
      </w:pPr>
      <w:r>
        <w:t xml:space="preserve">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w:t>
      </w:r>
      <w:r>
        <w:t xml:space="preserve"> </w:t>
      </w:r>
      <w:r>
        <w:t xml:space="preserve">passes. Nor is any of this an external validation, for the reasons set out in Section 3.7.3.</w:t>
      </w:r>
    </w:p>
    <w:p>
      <w:pPr>
        <w:pStyle w:val="CaptionedFigure"/>
      </w:pPr>
      <w:r>
        <w:drawing>
          <wp:inline>
            <wp:extent cx="5591819" cy="2470484"/>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5" name="Picture"/>
            <a:graphic>
              <a:graphicData uri="http://schemas.openxmlformats.org/drawingml/2006/picture">
                <pic:pic>
                  <pic:nvPicPr>
                    <pic:cNvPr descr="figures/paper/fig6_prediction_without_identification.png" id="86" name="Picture"/>
                    <pic:cNvPicPr>
                      <a:picLocks noChangeArrowheads="1" noChangeAspect="1"/>
                    </pic:cNvPicPr>
                  </pic:nvPicPr>
                  <pic:blipFill>
                    <a:blip r:embed="rId84"/>
                    <a:stretch>
                      <a:fillRect/>
                    </a:stretch>
                  </pic:blipFill>
                  <pic:spPr bwMode="auto">
                    <a:xfrm>
                      <a:off x="0" y="0"/>
                      <a:ext cx="5591819" cy="2470484"/>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7"/>
    <w:bookmarkEnd w:id="88"/>
    <w:bookmarkStart w:id="95" w:name="X18a78fb24137a841c027c2d5aa826b00ca777e2"/>
    <w:p>
      <w:pPr>
        <w:pStyle w:val="Heading2"/>
      </w:pPr>
      <w:r>
        <w:t xml:space="preserve">3.6 Propagation to operational low-chlorine risk</w:t>
      </w:r>
    </w:p>
    <w:bookmarkStart w:id="89" w:name="Xc055e23747760d795e741d8a0b84e2d3ce1b6f3"/>
    <w:p>
      <w:pPr>
        <w:pStyle w:val="Heading3"/>
      </w:pPr>
      <w:r>
        <w:t xml:space="preserve">3.6.1 Duration, depth and hydraulic interpretation</w:t>
      </w:r>
    </w:p>
    <w:p>
      <w:pPr>
        <w:pStyle w:val="FirstParagraph"/>
      </w:pPr>
      <w:r>
        <w:t xml:space="preserve">The ensemble was propagated to all 92 junctions and summarised with several metrics rather than</w:t>
      </w:r>
      <w:r>
        <w:t xml:space="preserve"> </w:t>
      </w:r>
      <w:r>
        <w:t xml:space="preserve">one. The values in this section carry the baseline weights and are conditional on its single</w:t>
      </w:r>
      <w:r>
        <w:t xml:space="preserve"> </w:t>
      </w:r>
      <w:r>
        <w:t xml:space="preserve">reference observation realisation. Node 145 spends 12.0 h below 0.2 mg L</w:t>
      </w:r>
      <w:r>
        <w:rPr>
          <w:vertAlign w:val="superscript"/>
        </w:rPr>
        <w:t xml:space="preserve">-1</w:t>
      </w:r>
      <w:r>
        <w:t xml:space="preserve">, accumulates a deficit of 1.68 mg L</w:t>
      </w:r>
      <w:r>
        <w:rPr>
          <w:vertAlign w:val="superscript"/>
        </w:rPr>
        <w:t xml:space="preserve">-1</w:t>
      </w:r>
      <w:r>
        <w:t xml:space="preserve"> </w:t>
      </w:r>
      <w:r>
        <w:t xml:space="preserve">h and has a</w:t>
      </w:r>
      <w:r>
        <w:t xml:space="preserve"> </w:t>
      </w:r>
      <w:r>
        <w:t xml:space="preserve">median window minimum of 0.031 mg L</w:t>
      </w:r>
      <w:r>
        <w:rPr>
          <w:vertAlign w:val="superscript"/>
        </w:rPr>
        <w:t xml:space="preserve">-1</w:t>
      </w:r>
      <w:r>
        <w:t xml:space="preserve">. Node 129 spends twice as long below the threshold yet</w:t>
      </w:r>
      <w:r>
        <w:t xml:space="preserve"> </w:t>
      </w:r>
      <w:r>
        <w:t xml:space="preserve">accumulates only 0.84 mg L</w:t>
      </w:r>
      <w:r>
        <w:rPr>
          <w:vertAlign w:val="superscript"/>
        </w:rPr>
        <w:t xml:space="preserve">-1</w:t>
      </w:r>
      <w:r>
        <w:t xml:space="preserve"> </w:t>
      </w:r>
      <w:r>
        <w:t xml:space="preserve">h, with a median minimum of 0.147. Duration measures persistence and deficit combines it with depth, so the two rank the network</w:t>
      </w:r>
      <w:r>
        <w:t xml:space="preserve"> </w:t>
      </w:r>
      <w:r>
        <w:t xml:space="preserve">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89"/>
    <w:bookmarkStart w:id="90"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whole-network ranking appears stable.</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0"/>
    <w:bookmarkStart w:id="94"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Adding the prescribed temperature uncertainty at the 12</w:t>
      </w:r>
      <w:r>
        <w:t xml:space="preserve"> </w:t>
      </w:r>
      <w:r>
        <w:t xml:space="preserve">degree Celsius baseline moves the network-mean cumulative deficit only from 0.218 to</w:t>
      </w:r>
      <w:r>
        <w:t xml:space="preserve"> </w:t>
      </w:r>
      <w:r>
        <w:t xml:space="preserve">0.222 mg L</w:t>
      </w:r>
      <w:r>
        <w:rPr>
          <w:vertAlign w:val="superscript"/>
        </w:rPr>
        <w:t xml:space="preserve">-1</w:t>
      </w:r>
      <w:r>
        <w:t xml:space="preserve"> </w:t>
      </w:r>
      <w:r>
        <w:t xml:space="preserve">h, leaving the breach count and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rises from 55.4 to 64.7 and 67.8 L s</w:t>
      </w:r>
      <w:r>
        <w:rPr>
          <w:vertAlign w:val="superscript"/>
        </w:rPr>
        <w:t xml:space="preserve">-1</w:t>
      </w:r>
      <w:r>
        <w:t xml:space="preserve">, and the network-mean cumulative deficit from</w:t>
      </w:r>
      <w:r>
        <w:t xml:space="preserve"> </w:t>
      </w:r>
      <w:r>
        <w:t xml:space="preserve">0.222 to 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The dose scales the reservoir boundary concentration and the tank initial concentration together,</w:t>
      </w:r>
      <w:r>
        <w:t xml:space="preserve"> </w:t>
      </w:r>
      <w:r>
        <w:t xml:space="preserve">so the whole source regime moves consistently. Demand at risk falls only to 64.7 L s</w:t>
      </w:r>
      <w:r>
        <w:rPr>
          <w:vertAlign w:val="superscript"/>
        </w:rPr>
        <w:t xml:space="preserve">-1</w:t>
      </w:r>
      <w:r>
        <w:t xml:space="preserve"> </w:t>
      </w:r>
      <w:r>
        <w:t xml:space="preserve">at both</w:t>
      </w:r>
      <w:r>
        <w:t xml:space="preserve"> </w:t>
      </w:r>
      <w:r>
        <w:t xml:space="preserve">doses, however, and never returns to the baseline 55.4. The identical figure at both doses is a plateau of the binary classification, not evidence</w:t>
      </w:r>
      <w:r>
        <w:t xml:space="preserve"> </w:t>
      </w:r>
      <w:r>
        <w:t xml:space="preserve">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6724"/>
            <wp:effectExtent b="0" l="0" r="0" t="0"/>
            <wp:docPr descr="Figure 7. Risk robustness is metric-specific. (A) Rank of the leading nodes under \bar{P} = E[D]/48 against cumulative deficit E[A]. (B) Top-six overlap with the reference ranking under three selected perturbations, each over 30 noise realisations, both metrics. (C) Expected duration against deficit for all 92 junctions." title="" id="92" name="Picture"/>
            <a:graphic>
              <a:graphicData uri="http://schemas.openxmlformats.org/drawingml/2006/picture">
                <pic:pic>
                  <pic:nvPicPr>
                    <pic:cNvPr descr="figures/paper/fig7_metric_specific_risk.png" id="93" name="Picture"/>
                    <pic:cNvPicPr>
                      <a:picLocks noChangeArrowheads="1" noChangeAspect="1"/>
                    </pic:cNvPicPr>
                  </pic:nvPicPr>
                  <pic:blipFill>
                    <a:blip r:embed="rId91"/>
                    <a:stretch>
                      <a:fillRect/>
                    </a:stretch>
                  </pic:blipFill>
                  <pic:spPr bwMode="auto">
                    <a:xfrm>
                      <a:off x="0" y="0"/>
                      <a:ext cx="5720156" cy="2126724"/>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each over 30 noise realisations, both metrics. (C) Expected duration against deficit for all 92 junctions.</w:t>
      </w:r>
    </w:p>
    <w:bookmarkEnd w:id="94"/>
    <w:bookmarkEnd w:id="95"/>
    <w:bookmarkStart w:id="100"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6"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 prediction errors stay close</w:t>
      </w:r>
      <w:r>
        <w:t xml:space="preserve"> </w:t>
      </w:r>
      <w:r>
        <w:t xml:space="preserve">to the observation-noise scale. Under bulk-decay misspecification and sensor bias, displacements</w:t>
      </w:r>
      <w:r>
        <w:t xml:space="preserve"> </w:t>
      </w:r>
      <w:r>
        <w:t xml:space="preserve">of several posterior standard deviations often left the leading set ranked by cumulative deficit</w:t>
      </w:r>
      <w:r>
        <w:t xml:space="preserve"> </w:t>
      </w:r>
      <w:r>
        <w:t xml:space="preserve">unchanged, while the ranking by time-averaged breach probability was considerably more</w:t>
      </w:r>
      <w:r>
        <w:t xml:space="preserve"> </w:t>
      </w:r>
      <w:r>
        <w:t xml:space="preserve">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6"/>
    <w:bookmarkStart w:id="97"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7"/>
    <w:bookmarkStart w:id="98"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 chlorine-concentration criteria but not the water-age or</w:t>
      </w:r>
      <w:r>
        <w:t xml:space="preserve"> </w:t>
      </w:r>
      <w:r>
        <w:t xml:space="preserve">cumulative-deficit criteria within the 168 h horizon. Absolute water-age and severity magnitudes</w:t>
      </w:r>
      <w:r>
        <w:t xml:space="preserve"> </w:t>
      </w:r>
      <w:r>
        <w:t xml:space="preserve">therefore remain horizon-dependent, even though the concentration field underlying the inference</w:t>
      </w:r>
      <w:r>
        <w:t xml:space="preserve"> </w:t>
      </w:r>
      <w:r>
        <w:t xml:space="preserve">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8"/>
    <w:bookmarkStart w:id="99"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99"/>
    <w:bookmarkEnd w:id="100"/>
    <w:bookmarkEnd w:id="101"/>
    <w:bookmarkStart w:id="102"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w:t>
      </w:r>
      <w:r>
        <w:t xml:space="preserve"> </w:t>
      </w:r>
      <w:r>
        <w:t xml:space="preserve">bound 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2"/>
    <w:bookmarkStart w:id="103" w:name="acknowledgements"/>
    <w:p>
      <w:pPr>
        <w:pStyle w:val="Heading1"/>
      </w:pPr>
      <w:r>
        <w:t xml:space="preserve">Acknowledgements</w:t>
      </w:r>
    </w:p>
    <w:p>
      <w:pPr>
        <w:pStyle w:val="FirstParagraph"/>
      </w:pPr>
      <w:r>
        <w:t xml:space="preserve">The author thanks the supervisory team for guidance throughout the project. The EPANET Net3</w:t>
      </w:r>
      <w:r>
        <w:t xml:space="preserve"> </w:t>
      </w:r>
      <w:r>
        <w:t xml:space="preserve">example network is distributed with EPANET; all simulations were run through WNTR.</w:t>
      </w:r>
    </w:p>
    <w:bookmarkEnd w:id="103"/>
    <w:bookmarkStart w:id="157" w:name="references"/>
    <w:p>
      <w:pPr>
        <w:pStyle w:val="Heading1"/>
      </w:pPr>
      <w:r>
        <w:t xml:space="preserve">References</w:t>
      </w:r>
    </w:p>
    <w:bookmarkStart w:id="156" w:name="refs"/>
    <w:bookmarkStart w:id="105" w:name="ref-Aisopou2024"/>
    <w:p>
      <w:pPr>
        <w:pStyle w:val="Bibliography"/>
      </w:pPr>
      <w:r>
        <w:t xml:space="preserve">Aisopou, A. &amp; Stoianov, I. (2024) Evaluation of free-chlorine data from online sensors in a water supply network.</w:t>
      </w:r>
      <w:r>
        <w:t xml:space="preserve"> </w:t>
      </w:r>
      <w:r>
        <w:rPr>
          <w:i/>
          <w:iCs/>
        </w:rPr>
        <w:t xml:space="preserve">Engineering Proceedings</w:t>
      </w:r>
      <w:r>
        <w:t xml:space="preserve">. 69(1), 144.</w:t>
      </w:r>
      <w:r>
        <w:t xml:space="preserve"> </w:t>
      </w:r>
      <w:hyperlink r:id="rId104">
        <w:r>
          <w:rPr>
            <w:rStyle w:val="Hyperlink"/>
          </w:rPr>
          <w:t xml:space="preserve">10.3390/engproc2024069144</w:t>
        </w:r>
      </w:hyperlink>
      <w:r>
        <w:t xml:space="preserve">.</w:t>
      </w:r>
    </w:p>
    <w:bookmarkEnd w:id="105"/>
    <w:bookmarkStart w:id="107" w:name="ref-Anthropic2026Claude"/>
    <w:p>
      <w:pPr>
        <w:pStyle w:val="Bibliography"/>
      </w:pPr>
      <w:r>
        <w:t xml:space="preserve">Anthropic (2026)</w:t>
      </w:r>
      <w:r>
        <w:t xml:space="preserve"> </w:t>
      </w:r>
      <w:r>
        <w:t xml:space="preserve">Claude Opus 5</w:t>
      </w:r>
      <w:r>
        <w:t xml:space="preserve">. Large language model. Available at:</w:t>
      </w:r>
      <w:r>
        <w:t xml:space="preserve"> </w:t>
      </w:r>
      <w:hyperlink r:id="rId106">
        <w:r>
          <w:rPr>
            <w:rStyle w:val="Hyperlink"/>
          </w:rPr>
          <w:t xml:space="preserve">https://claude.ai</w:t>
        </w:r>
      </w:hyperlink>
      <w:r>
        <w:t xml:space="preserve"> </w:t>
      </w:r>
      <w:r>
        <w:t xml:space="preserve">(Accessed: 12 August 2026).</w:t>
      </w:r>
    </w:p>
    <w:bookmarkEnd w:id="107"/>
    <w:bookmarkStart w:id="109"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8">
        <w:r>
          <w:rPr>
            <w:rStyle w:val="Hyperlink"/>
          </w:rPr>
          <w:t xml:space="preserve">10.1002/hyp.3360060305</w:t>
        </w:r>
      </w:hyperlink>
      <w:r>
        <w:t xml:space="preserve">.</w:t>
      </w:r>
    </w:p>
    <w:bookmarkEnd w:id="109"/>
    <w:bookmarkStart w:id="111"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10">
        <w:r>
          <w:rPr>
            <w:rStyle w:val="Hyperlink"/>
          </w:rPr>
          <w:t xml:space="preserve">10.1002/hyp.10082</w:t>
        </w:r>
      </w:hyperlink>
      <w:r>
        <w:t xml:space="preserve">.</w:t>
      </w:r>
    </w:p>
    <w:bookmarkEnd w:id="111"/>
    <w:bookmarkStart w:id="113"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12">
        <w:r>
          <w:rPr>
            <w:rStyle w:val="Hyperlink"/>
          </w:rPr>
          <w:t xml:space="preserve">10.1029/2000WR900350</w:t>
        </w:r>
      </w:hyperlink>
      <w:r>
        <w:t xml:space="preserve">.</w:t>
      </w:r>
    </w:p>
    <w:bookmarkEnd w:id="113"/>
    <w:bookmarkStart w:id="115" w:name="ref-GomezCoronel2023GAChlorine"/>
    <w:p>
      <w:pPr>
        <w:pStyle w:val="Bibliography"/>
      </w:pPr>
      <w:r>
        <w:t xml:space="preserve">Gómez-Coronel, L., Delgado-Aguiñaga, J.A., Santos-Ruiz, I. &amp; Navarro-Díaz, A. (2023) Estimation of chlorine concentration in water distribution systems based on a genetic algorithm.</w:t>
      </w:r>
      <w:r>
        <w:t xml:space="preserve"> </w:t>
      </w:r>
      <w:r>
        <w:rPr>
          <w:i/>
          <w:iCs/>
        </w:rPr>
        <w:t xml:space="preserve">Processes</w:t>
      </w:r>
      <w:r>
        <w:t xml:space="preserve">. 11(3), 676.</w:t>
      </w:r>
      <w:r>
        <w:t xml:space="preserve"> </w:t>
      </w:r>
      <w:hyperlink r:id="rId114">
        <w:r>
          <w:rPr>
            <w:rStyle w:val="Hyperlink"/>
          </w:rPr>
          <w:t xml:space="preserve">10.3390/pr11030676</w:t>
        </w:r>
      </w:hyperlink>
      <w:r>
        <w:t xml:space="preserve">.</w:t>
      </w:r>
    </w:p>
    <w:bookmarkEnd w:id="115"/>
    <w:bookmarkStart w:id="117"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6">
        <w:r>
          <w:rPr>
            <w:rStyle w:val="Hyperlink"/>
          </w:rPr>
          <w:t xml:space="preserve">10.1016/S0043-1354(02)00056-8</w:t>
        </w:r>
      </w:hyperlink>
      <w:r>
        <w:t xml:space="preserve">.</w:t>
      </w:r>
    </w:p>
    <w:bookmarkEnd w:id="117"/>
    <w:bookmarkStart w:id="119" w:name="ref-Hua1999"/>
    <w:p>
      <w:pPr>
        <w:pStyle w:val="Bibliography"/>
      </w:pPr>
      <w:r>
        <w:t xml:space="preserve">Hua, F., West, J.R., Barker, R.A. &amp; Forster, C.F. (1999) Modelling of chlorine decay in municipal water supplies.</w:t>
      </w:r>
      <w:r>
        <w:t xml:space="preserve"> </w:t>
      </w:r>
      <w:r>
        <w:rPr>
          <w:i/>
          <w:iCs/>
        </w:rPr>
        <w:t xml:space="preserve">Water Research</w:t>
      </w:r>
      <w:r>
        <w:t xml:space="preserve">. 33(12), 2735–2746.</w:t>
      </w:r>
      <w:r>
        <w:t xml:space="preserve"> </w:t>
      </w:r>
      <w:hyperlink r:id="rId118">
        <w:r>
          <w:rPr>
            <w:rStyle w:val="Hyperlink"/>
          </w:rPr>
          <w:t xml:space="preserve">10.1016/S0043-1354(98)00519-3</w:t>
        </w:r>
      </w:hyperlink>
      <w:r>
        <w:t xml:space="preserve">.</w:t>
      </w:r>
    </w:p>
    <w:bookmarkEnd w:id="119"/>
    <w:bookmarkStart w:id="121" w:name="ref-Hutton2014Uncertainty"/>
    <w:p>
      <w:pPr>
        <w:pStyle w:val="Bibliography"/>
      </w:pPr>
      <w:r>
        <w:t xml:space="preserve">Hutton, C.J., Kapelan, Z., Vamvakeridou-Lyroudia, L. &amp; Savić, D.A. (2014) Dealing with uncertainty in water distribution system models: A framework for real-time modeling and data assimilation.</w:t>
      </w:r>
      <w:r>
        <w:t xml:space="preserve"> </w:t>
      </w:r>
      <w:r>
        <w:rPr>
          <w:i/>
          <w:iCs/>
        </w:rPr>
        <w:t xml:space="preserve">Journal of Water Resources Planning and Management</w:t>
      </w:r>
      <w:r>
        <w:t xml:space="preserve">. 140(2), 169–183.</w:t>
      </w:r>
      <w:r>
        <w:t xml:space="preserve"> </w:t>
      </w:r>
      <w:hyperlink r:id="rId120">
        <w:r>
          <w:rPr>
            <w:rStyle w:val="Hyperlink"/>
          </w:rPr>
          <w:t xml:space="preserve">10.1061/(ASCE)WR.1943-5452.0000325</w:t>
        </w:r>
      </w:hyperlink>
      <w:r>
        <w:t xml:space="preserve">.</w:t>
      </w:r>
    </w:p>
    <w:bookmarkEnd w:id="121"/>
    <w:bookmarkStart w:id="123" w:name="ref-Jenks2025BayesianDisinfectant"/>
    <w:p>
      <w:pPr>
        <w:pStyle w:val="Bibliography"/>
      </w:pPr>
      <w:r>
        <w:t xml:space="preserve">Jenks, B., Ulusoy, A.-J. &amp; Stoianov, I. (2025) Bayesian inference for quantifying parameter uncertainty in disinfectant decay models.</w:t>
      </w:r>
      <w:r>
        <w:t xml:space="preserve"> </w:t>
      </w:r>
      <w:r>
        <w:rPr>
          <w:i/>
          <w:iCs/>
        </w:rPr>
        <w:t xml:space="preserve">Proceedings of the 21st</w:t>
      </w:r>
      <w:r>
        <w:rPr>
          <w:i/>
          <w:iCs/>
        </w:rPr>
        <w:t xml:space="preserve"> </w:t>
      </w:r>
      <w:r>
        <w:rPr>
          <w:i/>
          <w:iCs/>
        </w:rPr>
        <w:t xml:space="preserve">Computing and Control for the Water Industry Conference</w:t>
      </w:r>
      <w:r>
        <w:rPr>
          <w:i/>
          <w:iCs/>
        </w:rPr>
        <w:t xml:space="preserve"> </w:t>
      </w:r>
      <w:r>
        <w:rPr>
          <w:i/>
          <w:iCs/>
        </w:rPr>
        <w:t xml:space="preserve">(CCWI 2025)</w:t>
      </w:r>
      <w:r>
        <w:t xml:space="preserve">. Sheffield, UK: The University of Sheffield.</w:t>
      </w:r>
      <w:r>
        <w:t xml:space="preserve"> </w:t>
      </w:r>
      <w:hyperlink r:id="rId122">
        <w:r>
          <w:rPr>
            <w:rStyle w:val="Hyperlink"/>
          </w:rPr>
          <w:t xml:space="preserve">10.15131/shef.data.29921225</w:t>
        </w:r>
      </w:hyperlink>
      <w:r>
        <w:t xml:space="preserve">.</w:t>
      </w:r>
    </w:p>
    <w:bookmarkEnd w:id="123"/>
    <w:bookmarkStart w:id="125"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24">
        <w:r>
          <w:rPr>
            <w:rStyle w:val="Hyperlink"/>
          </w:rPr>
          <w:t xml:space="preserve">10.1016/j.envsoft.2017.06.022</w:t>
        </w:r>
      </w:hyperlink>
      <w:r>
        <w:t xml:space="preserve">.</w:t>
      </w:r>
    </w:p>
    <w:bookmarkEnd w:id="125"/>
    <w:bookmarkStart w:id="127"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26">
        <w:r>
          <w:rPr>
            <w:rStyle w:val="Hyperlink"/>
          </w:rPr>
          <w:t xml:space="preserve">10.1016/j.jhydrol.2006.04.046</w:t>
        </w:r>
      </w:hyperlink>
      <w:r>
        <w:t xml:space="preserve">.</w:t>
      </w:r>
    </w:p>
    <w:bookmarkEnd w:id="127"/>
    <w:bookmarkStart w:id="129"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28">
        <w:r>
          <w:rPr>
            <w:rStyle w:val="Hyperlink"/>
          </w:rPr>
          <w:t xml:space="preserve">10.1061/(ASCE)0733-9496(2003)129:2(124)</w:t>
        </w:r>
      </w:hyperlink>
      <w:r>
        <w:t xml:space="preserve">.</w:t>
      </w:r>
    </w:p>
    <w:bookmarkEnd w:id="129"/>
    <w:bookmarkStart w:id="131"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30">
        <w:r>
          <w:rPr>
            <w:rStyle w:val="Hyperlink"/>
          </w:rPr>
          <w:t xml:space="preserve">10.1016/j.proeng.2014.02.135</w:t>
        </w:r>
      </w:hyperlink>
      <w:r>
        <w:t xml:space="preserve">.</w:t>
      </w:r>
    </w:p>
    <w:bookmarkEnd w:id="131"/>
    <w:bookmarkStart w:id="133" w:name="ref-Owen1998"/>
    <w:p>
      <w:pPr>
        <w:pStyle w:val="Bibliography"/>
      </w:pPr>
      <w:r>
        <w:t xml:space="preserve">Owen, A.B. (1998) Scrambling</w:t>
      </w:r>
      <w:r>
        <w:t xml:space="preserve"> </w:t>
      </w:r>
      <w:r>
        <w:t xml:space="preserve">Sobol’</w:t>
      </w:r>
      <w:r>
        <w:t xml:space="preserve"> </w:t>
      </w:r>
      <w:r>
        <w:t xml:space="preserve">and</w:t>
      </w:r>
      <w:r>
        <w:t xml:space="preserve"> </w:t>
      </w:r>
      <w:r>
        <w:t xml:space="preserve">Niederreiter–Xing</w:t>
      </w:r>
      <w:r>
        <w:t xml:space="preserve"> </w:t>
      </w:r>
      <w:r>
        <w:t xml:space="preserve">points.</w:t>
      </w:r>
      <w:r>
        <w:t xml:space="preserve"> </w:t>
      </w:r>
      <w:r>
        <w:rPr>
          <w:i/>
          <w:iCs/>
        </w:rPr>
        <w:t xml:space="preserve">Journal of Complexity</w:t>
      </w:r>
      <w:r>
        <w:t xml:space="preserve">. 14(4), 466–489.</w:t>
      </w:r>
      <w:r>
        <w:t xml:space="preserve"> </w:t>
      </w:r>
      <w:hyperlink r:id="rId132">
        <w:r>
          <w:rPr>
            <w:rStyle w:val="Hyperlink"/>
          </w:rPr>
          <w:t xml:space="preserve">10.1006/jcom.1998.0487</w:t>
        </w:r>
      </w:hyperlink>
      <w:r>
        <w:t xml:space="preserve">.</w:t>
      </w:r>
    </w:p>
    <w:bookmarkEnd w:id="133"/>
    <w:bookmarkStart w:id="135" w:name="ref-PeiroviMinaee2019GAPSO"/>
    <w:p>
      <w:pPr>
        <w:pStyle w:val="Bibliography"/>
      </w:pPr>
      <w:r>
        <w:t xml:space="preserve">Peirovi Minaee, R., Afsharnia, M., Moghaddam, A., Ebrahimi, A.A., Askarishahi, M. &amp; Mokhtari, M. (2019) Calibration of water quality model for distribution networks using genetic algorithm, particle swarm optimization, and hybrid methods.</w:t>
      </w:r>
      <w:r>
        <w:t xml:space="preserve"> </w:t>
      </w:r>
      <w:r>
        <w:rPr>
          <w:i/>
          <w:iCs/>
        </w:rPr>
        <w:t xml:space="preserve">MethodsX</w:t>
      </w:r>
      <w:r>
        <w:t xml:space="preserve">. 6, 540–548.</w:t>
      </w:r>
      <w:r>
        <w:t xml:space="preserve"> </w:t>
      </w:r>
      <w:hyperlink r:id="rId134">
        <w:r>
          <w:rPr>
            <w:rStyle w:val="Hyperlink"/>
          </w:rPr>
          <w:t xml:space="preserve">10.1016/j.mex.2019.03.008</w:t>
        </w:r>
      </w:hyperlink>
      <w:r>
        <w:t xml:space="preserve">.</w:t>
      </w:r>
    </w:p>
    <w:bookmarkEnd w:id="135"/>
    <w:bookmarkStart w:id="137"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36">
        <w:r>
          <w:rPr>
            <w:rStyle w:val="Hyperlink"/>
          </w:rPr>
          <w:t xml:space="preserve">10.1016/S0043-1354(99)00097-4</w:t>
        </w:r>
      </w:hyperlink>
      <w:r>
        <w:t xml:space="preserve">.</w:t>
      </w:r>
    </w:p>
    <w:bookmarkEnd w:id="137"/>
    <w:bookmarkStart w:id="139" w:name="ref-Rajakumar2019EnKF"/>
    <w:p>
      <w:pPr>
        <w:pStyle w:val="Bibliography"/>
      </w:pPr>
      <w:r>
        <w:t xml:space="preserve">Rajakumar, A.G., Mohan Kumar, M.S., Amrutur, B. &amp; Kapelan, Z. (2019) Real-time water quality modeling with ensemble</w:t>
      </w:r>
      <w:r>
        <w:t xml:space="preserve"> </w:t>
      </w:r>
      <w:r>
        <w:t xml:space="preserve">Kalman</w:t>
      </w:r>
      <w:r>
        <w:t xml:space="preserve"> </w:t>
      </w:r>
      <w:r>
        <w:t xml:space="preserve">filter for state and parameter estimation in water distribution networks.</w:t>
      </w:r>
      <w:r>
        <w:t xml:space="preserve"> </w:t>
      </w:r>
      <w:r>
        <w:rPr>
          <w:i/>
          <w:iCs/>
        </w:rPr>
        <w:t xml:space="preserve">Journal of Water Resources Planning and Management</w:t>
      </w:r>
      <w:r>
        <w:t xml:space="preserve">. 145(11), 04019049.</w:t>
      </w:r>
      <w:r>
        <w:t xml:space="preserve"> </w:t>
      </w:r>
      <w:hyperlink r:id="rId138">
        <w:r>
          <w:rPr>
            <w:rStyle w:val="Hyperlink"/>
          </w:rPr>
          <w:t xml:space="preserve">10.1061/(ASCE)WR.1943-5452.0001118</w:t>
        </w:r>
      </w:hyperlink>
      <w:r>
        <w:t xml:space="preserve">.</w:t>
      </w:r>
    </w:p>
    <w:bookmarkEnd w:id="139"/>
    <w:bookmarkStart w:id="141"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40">
        <w:r>
          <w:rPr>
            <w:rStyle w:val="Hyperlink"/>
          </w:rPr>
          <w:t xml:space="preserve">10.1093/bioinformatics/btp358</w:t>
        </w:r>
      </w:hyperlink>
      <w:r>
        <w:t xml:space="preserve">.</w:t>
      </w:r>
    </w:p>
    <w:bookmarkEnd w:id="141"/>
    <w:bookmarkStart w:id="142"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42"/>
    <w:bookmarkStart w:id="144"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43">
        <w:r>
          <w:rPr>
            <w:rStyle w:val="Hyperlink"/>
          </w:rPr>
          <w:t xml:space="preserve">10.1061/(ASCE)0733-9372(1994)120:4(803)</w:t>
        </w:r>
      </w:hyperlink>
      <w:r>
        <w:t xml:space="preserve">.</w:t>
      </w:r>
    </w:p>
    <w:bookmarkEnd w:id="144"/>
    <w:bookmarkStart w:id="145"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45"/>
    <w:bookmarkStart w:id="147" w:name="ref-Sobol1967"/>
    <w:p>
      <w:pPr>
        <w:pStyle w:val="Bibliography"/>
      </w:pPr>
      <w:r>
        <w:t xml:space="preserve">Sobol’, I.M. (1967) On the distribution of points in a cube and the approximate evaluation of integrals.</w:t>
      </w:r>
      <w:r>
        <w:t xml:space="preserve"> </w:t>
      </w:r>
      <w:r>
        <w:rPr>
          <w:i/>
          <w:iCs/>
        </w:rPr>
        <w:t xml:space="preserve">USSR Computational Mathematics and Mathematical Physics</w:t>
      </w:r>
      <w:r>
        <w:t xml:space="preserve">. 7(4), 86–112.</w:t>
      </w:r>
      <w:r>
        <w:t xml:space="preserve"> </w:t>
      </w:r>
      <w:hyperlink r:id="rId146">
        <w:r>
          <w:rPr>
            <w:rStyle w:val="Hyperlink"/>
          </w:rPr>
          <w:t xml:space="preserve">10.1016/0041-5553(67)90144-9</w:t>
        </w:r>
      </w:hyperlink>
      <w:r>
        <w:t xml:space="preserve">.</w:t>
      </w:r>
    </w:p>
    <w:bookmarkEnd w:id="147"/>
    <w:bookmarkStart w:id="149"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48">
        <w:r>
          <w:rPr>
            <w:rStyle w:val="Hyperlink"/>
          </w:rPr>
          <w:t xml:space="preserve">10.1029/2008WR006822</w:t>
        </w:r>
      </w:hyperlink>
      <w:r>
        <w:t xml:space="preserve">.</w:t>
      </w:r>
    </w:p>
    <w:bookmarkEnd w:id="149"/>
    <w:bookmarkStart w:id="151"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50">
        <w:r>
          <w:rPr>
            <w:rStyle w:val="Hyperlink"/>
          </w:rPr>
          <w:t xml:space="preserve">10.1002/j.1551-8833.1997.tb08259.x</w:t>
        </w:r>
      </w:hyperlink>
      <w:r>
        <w:t xml:space="preserve">.</w:t>
      </w:r>
    </w:p>
    <w:bookmarkEnd w:id="151"/>
    <w:bookmarkStart w:id="153" w:name="ref-WNTRdocs"/>
    <w:p>
      <w:pPr>
        <w:pStyle w:val="Bibliography"/>
      </w:pPr>
      <w:r>
        <w:t xml:space="preserve">WNTR Development Team (2026)</w:t>
      </w:r>
      <w:r>
        <w:t xml:space="preserve"> </w:t>
      </w:r>
      <w:r>
        <w:t xml:space="preserve">WNTR</w:t>
      </w:r>
      <w:r>
        <w:t xml:space="preserve"> </w:t>
      </w:r>
      <w:r>
        <w:t xml:space="preserve">documentation: units. Available at:</w:t>
      </w:r>
      <w:r>
        <w:t xml:space="preserve"> </w:t>
      </w:r>
      <w:hyperlink r:id="rId152">
        <w:r>
          <w:rPr>
            <w:rStyle w:val="Hyperlink"/>
          </w:rPr>
          <w:t xml:space="preserve">https://usepa.github.io/WNTR/units.html</w:t>
        </w:r>
      </w:hyperlink>
      <w:r>
        <w:t xml:space="preserve"> </w:t>
      </w:r>
      <w:r>
        <w:t xml:space="preserve">(Accessed: 11 August 2026).</w:t>
      </w:r>
    </w:p>
    <w:bookmarkEnd w:id="153"/>
    <w:bookmarkStart w:id="155" w:name="ref-Wu2022BEAR"/>
    <w:p>
      <w:pPr>
        <w:pStyle w:val="Bibliography"/>
      </w:pPr>
      <w:r>
        <w:t xml:space="preserve">Wu, X., Marshall, L. &amp; Sharma, A. (2022) Quantifying input uncertainty in the calibration of water quality models: Reordering errors via the secant method.</w:t>
      </w:r>
      <w:r>
        <w:t xml:space="preserve"> </w:t>
      </w:r>
      <w:r>
        <w:rPr>
          <w:i/>
          <w:iCs/>
        </w:rPr>
        <w:t xml:space="preserve">Hydrology and Earth System Sciences</w:t>
      </w:r>
      <w:r>
        <w:t xml:space="preserve">. 26(5), 1203–1221.</w:t>
      </w:r>
      <w:r>
        <w:t xml:space="preserve"> </w:t>
      </w:r>
      <w:hyperlink r:id="rId154">
        <w:r>
          <w:rPr>
            <w:rStyle w:val="Hyperlink"/>
          </w:rPr>
          <w:t xml:space="preserve">10.5194/hess-26-1203-2022</w:t>
        </w:r>
      </w:hyperlink>
      <w:r>
        <w:t xml:space="preserve">.</w:t>
      </w:r>
    </w:p>
    <w:bookmarkEnd w:id="155"/>
    <w:bookmarkEnd w:id="156"/>
    <w:bookmarkEnd w:id="157"/>
    <w:bookmarkStart w:id="158" w:name="statement-on-the-use-of-generative-ai"/>
    <w:p>
      <w:pPr>
        <w:pStyle w:val="Heading1"/>
      </w:pPr>
      <w:r>
        <w:t xml:space="preserve">Statement on the use of generative AI</w:t>
      </w:r>
    </w:p>
    <w:p>
      <w:pPr>
        <w:pStyle w:val="FirstParagraph"/>
      </w:pPr>
      <w:r>
        <w:t xml:space="preserve">I acknowledge the use of Claude Opus 5 (Anthropic, https://claude.ai), accessed through the</w:t>
      </w:r>
      <w:r>
        <w:t xml:space="preserve"> </w:t>
      </w:r>
      <w:r>
        <w:t xml:space="preserve">Claude Code command-line interface (https://claude.com/claude-code), to restructure the</w:t>
      </w:r>
      <w:r>
        <w:t xml:space="preserve"> </w:t>
      </w:r>
      <w:r>
        <w:t xml:space="preserve">manuscript, to write the figure and table generation code, and to cross-check the manuscript</w:t>
      </w:r>
      <w:r>
        <w:t xml:space="preserve"> </w:t>
      </w:r>
      <w:r>
        <w:t xml:space="preserve">against the stored numerical results</w:t>
      </w:r>
      <w:r>
        <w:t xml:space="preserve"> </w:t>
      </w:r>
      <w:r>
        <w:t xml:space="preserve">(Anthropic, 2026)</w:t>
      </w:r>
      <w:r>
        <w:t xml:space="preserve">. I confirm that no content generated</w:t>
      </w:r>
      <w:r>
        <w:t xml:space="preserve"> </w:t>
      </w:r>
      <w:r>
        <w:t xml:space="preserve">by AI has been presented as my own work.</w:t>
      </w:r>
    </w:p>
    <w:p>
      <w:pPr>
        <w:pStyle w:val="BodyText"/>
      </w:pPr>
      <w:r>
        <w:t xml:space="preserve">The departmental policy treats AI-generated text, ideas and computer code as third-party</w:t>
      </w:r>
      <w:r>
        <w:t xml:space="preserve"> </w:t>
      </w:r>
      <w:r>
        <w:t xml:space="preserve">material requiring citation, so the tool is cited above and the code it wrote is identified by</w:t>
      </w:r>
      <w:r>
        <w:t xml:space="preserve"> </w:t>
      </w:r>
      <w:r>
        <w:t xml:space="preserve">file below. The paragraphs that follow give the expanded description.</w:t>
      </w:r>
    </w:p>
    <w:p>
      <w:pPr>
        <w:pStyle w:val="BodyText"/>
      </w:pPr>
      <w:r>
        <w:rPr>
          <w:b/>
          <w:bCs/>
        </w:rPr>
        <w:t xml:space="preserve">Where AI led and the author reviewed.</w:t>
      </w:r>
      <w:r>
        <w:t xml:space="preserve"> </w:t>
      </w:r>
      <w:r>
        <w:t xml:space="preserve">The restructuring of the paper into its present</w:t>
      </w:r>
      <w:r>
        <w:t xml:space="preserve"> </w:t>
      </w:r>
      <w:r>
        <w:t xml:space="preserve">four-section layout, and the whole of</w:t>
      </w:r>
      <w:r>
        <w:t xml:space="preserve"> </w:t>
      </w:r>
      <w:r>
        <w:rPr>
          <w:rStyle w:val="VerbatimChar"/>
        </w:rPr>
        <w:t xml:space="preserve">Net3/paper_figs.py</w:t>
      </w:r>
      <w:r>
        <w:t xml:space="preserve">, which renders the seven figures and</w:t>
      </w:r>
      <w:r>
        <w:t xml:space="preserve"> </w:t>
      </w:r>
      <w:r>
        <w:t xml:space="preserve">the table bodies from values already computed and stored in</w:t>
      </w:r>
      <w:r>
        <w:t xml:space="preserve"> </w:t>
      </w:r>
      <w:r>
        <w:rPr>
          <w:rStyle w:val="VerbatimChar"/>
        </w:rPr>
        <w:t xml:space="preserve">Net3/baseline_cache/</w:t>
      </w:r>
      <w:r>
        <w:t xml:space="preserve">. It reads</w:t>
      </w:r>
      <w:r>
        <w:t xml:space="preserve"> </w:t>
      </w:r>
      <w:r>
        <w:t xml:space="preserve">those artifacts and plots them; it computes no result. Every output was read and accepted or</w:t>
      </w:r>
      <w:r>
        <w:t xml:space="preserve"> </w:t>
      </w:r>
      <w:r>
        <w:t xml:space="preserve">rejected by the author.</w:t>
      </w:r>
    </w:p>
    <w:p>
      <w:pPr>
        <w:pStyle w:val="BodyText"/>
      </w:pPr>
      <w:r>
        <w:rPr>
          <w:b/>
          <w:bCs/>
        </w:rPr>
        <w:t xml:space="preserve">Where AI executed and the author verified independently.</w:t>
      </w:r>
      <w:r>
        <w:t xml:space="preserve"> </w:t>
      </w:r>
      <w:r>
        <w:t xml:space="preserve">Numerical cross-checking of the</w:t>
      </w:r>
      <w:r>
        <w:t xml:space="preserve"> </w:t>
      </w:r>
      <w:r>
        <w:t xml:space="preserve">manuscript against the stored artifacts, one registered comparison per quoted figure, run by</w:t>
      </w:r>
      <w:r>
        <w:t xml:space="preserve"> </w:t>
      </w:r>
      <w:r>
        <w:rPr>
          <w:rStyle w:val="VerbatimChar"/>
        </w:rPr>
        <w:t xml:space="preserve">Net3/validate_artifacts.py</w:t>
      </w:r>
      <w:r>
        <w:t xml:space="preserve">.</w:t>
      </w:r>
    </w:p>
    <w:p>
      <w:pPr>
        <w:pStyle w:val="BodyText"/>
      </w:pPr>
      <w:r>
        <w:rPr>
          <w:b/>
          <w:bCs/>
        </w:rPr>
        <w:t xml:space="preserve">Where AI changed a conclusion.</w:t>
      </w:r>
      <w:r>
        <w:t xml:space="preserve"> </w:t>
      </w:r>
      <w:r>
        <w:t xml:space="preserve">Three cases in which a single noise realisation had been</w:t>
      </w:r>
      <w:r>
        <w:t xml:space="preserve"> </w:t>
      </w:r>
      <w:r>
        <w:t xml:space="preserve">presented as a repeated result were identified by AI review: an incorrect posterior width in</w:t>
      </w:r>
      <w:r>
        <w:t xml:space="preserve"> </w:t>
      </w:r>
      <w:r>
        <w:t xml:space="preserve">Figure 6, an incorrect evidence basis in Table 3, and a contradiction between the summary and</w:t>
      </w:r>
      <w:r>
        <w:t xml:space="preserve"> </w:t>
      </w:r>
      <w:r>
        <w:t xml:space="preserve">detail sections of</w:t>
      </w:r>
      <w:r>
        <w:t xml:space="preserve"> </w:t>
      </w:r>
      <w:r>
        <w:rPr>
          <w:rStyle w:val="VerbatimChar"/>
        </w:rPr>
        <w:t xml:space="preserve">RESULTS_LOG.md</w:t>
      </w:r>
      <w:r>
        <w:t xml:space="preserve">. A fourth was a mismatch between the quantity plotted in</w:t>
      </w:r>
      <w:r>
        <w:t xml:space="preserve"> </w:t>
      </w:r>
      <w:r>
        <w:t xml:space="preserve">Figure 5C and the quantity defined in Section 2.6.3 and reported in Table 4. All four were</w:t>
      </w:r>
      <w:r>
        <w:t xml:space="preserve"> </w:t>
      </w:r>
      <w:r>
        <w:t xml:space="preserve">corrected.</w:t>
      </w:r>
    </w:p>
    <w:p>
      <w:pPr>
        <w:pStyle w:val="BodyText"/>
      </w:pPr>
      <w:r>
        <w:rPr>
          <w:b/>
          <w:bCs/>
        </w:rPr>
        <w:t xml:space="preserve">Where the author worked without AI.</w:t>
      </w:r>
      <w:r>
        <w:t xml:space="preserve"> </w:t>
      </w:r>
      <w:r>
        <w:t xml:space="preserve">The whole experimental design; every</w:t>
      </w:r>
      <w:r>
        <w:t xml:space="preserve"> </w:t>
      </w:r>
      <w:r>
        <w:rPr>
          <w:rStyle w:val="VerbatimChar"/>
        </w:rPr>
        <w:t xml:space="preserve">step*.py</w:t>
      </w:r>
      <w:r>
        <w:t xml:space="preserve"> </w:t>
      </w:r>
      <w:r>
        <w:t xml:space="preserve">computation script; and all scientific judgements, including which results to report and how</w:t>
      </w:r>
      <w:r>
        <w:t xml:space="preserve"> </w:t>
      </w:r>
      <w:r>
        <w:t xml:space="preserve">strongly to state them.</w:t>
      </w:r>
    </w:p>
    <w:p>
      <w:pPr>
        <w:pStyle w:val="BodyText"/>
      </w:pPr>
      <w:r>
        <w:rPr>
          <w:b/>
          <w:bCs/>
        </w:rPr>
        <w:t xml:space="preserve">Where AI was not used at all.</w:t>
      </w:r>
      <w:r>
        <w:t xml:space="preserve"> </w:t>
      </w:r>
      <w:r>
        <w:t xml:space="preserve">The EPANET/WNTR simulations themselves and the generation of</w:t>
      </w:r>
      <w:r>
        <w:t xml:space="preserve"> </w:t>
      </w:r>
      <w:r>
        <w:t xml:space="preserve">any numerical result.</w:t>
      </w:r>
    </w:p>
    <w:p>
      <w:pPr>
        <w:pStyle w:val="BodyText"/>
      </w:pPr>
      <w:r>
        <w:t xml:space="preserve">Every number in this paper is the output of a deterministic computation stored under</w:t>
      </w:r>
      <w:r>
        <w:t xml:space="preserve"> </w:t>
      </w:r>
      <w:r>
        <w:rPr>
          <w:rStyle w:val="VerbatimChar"/>
        </w:rPr>
        <w:t xml:space="preserve">Net3/baseline_cache/</w:t>
      </w:r>
      <w:r>
        <w:t xml:space="preserve">. No numerical result was generated by an AI tool.</w:t>
      </w:r>
    </w:p>
    <w:bookmarkEnd w:id="158"/>
    <w:bookmarkStart w:id="168"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59"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59"/>
    <w:bookmarkStart w:id="160"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60"/>
    <w:bookmarkStart w:id="161"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61"/>
    <w:bookmarkStart w:id="162"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62"/>
    <w:bookmarkStart w:id="163"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p>
      <w:pPr>
        <w:pStyle w:val="BodyText"/>
      </w:pPr>
      <w:r>
        <w:t xml:space="preserve">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Amplitude</w:t>
            </w:r>
          </w:p>
        </w:tc>
        <w:tc>
          <w:tcPr/>
          <w:p>
            <w:pPr>
              <w:pStyle w:val="Compact"/>
            </w:pPr>
            <w:r>
              <w:t xml:space="preserve">old formal</w:t>
            </w:r>
          </w:p>
        </w:tc>
        <w:tc>
          <w:tcPr/>
          <w:p>
            <w:pPr>
              <w:pStyle w:val="Compact"/>
            </w:pPr>
            <w:r>
              <w:t xml:space="preserve">old informal</w:t>
            </w:r>
          </w:p>
        </w:tc>
        <w:tc>
          <w:tcPr/>
          <w:p>
            <w:pPr>
              <w:pStyle w:val="Compact"/>
            </w:pPr>
            <w:r>
              <w:t xml:space="preserve">average formal</w:t>
            </w:r>
          </w:p>
        </w:tc>
        <w:tc>
          <w:tcPr/>
          <w:p>
            <w:pPr>
              <w:pStyle w:val="Compact"/>
            </w:pPr>
            <w:r>
              <w:t xml:space="preserve">average informal</w:t>
            </w:r>
          </w:p>
        </w:tc>
        <w:tc>
          <w:tcPr/>
          <w:p>
            <w:pPr>
              <w:pStyle w:val="Compact"/>
            </w:pPr>
            <w:r>
              <w:t xml:space="preserve">new formal</w:t>
            </w:r>
          </w:p>
        </w:tc>
        <w:tc>
          <w:tcPr/>
          <w:p>
            <w:pPr>
              <w:pStyle w:val="Compact"/>
            </w:pPr>
            <w:r>
              <w:t xml:space="preserve">new informal</w:t>
            </w:r>
          </w:p>
        </w:tc>
      </w:tr>
      <w:tr>
        <w:tc>
          <w:tcPr/>
          <w:p>
            <w:pPr>
              <w:pStyle w:val="Compact"/>
            </w:pPr>
            <w:r>
              <w:t xml:space="preserve">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0.25</w:t>
            </w:r>
          </w:p>
        </w:tc>
        <w:tc>
          <w:tcPr/>
          <w:p>
            <w:pPr>
              <w:pStyle w:val="Compact"/>
            </w:pPr>
            <w:r>
              <w:t xml:space="preserve">1.10 [-0.29, 2.47]</w:t>
            </w:r>
          </w:p>
        </w:tc>
        <w:tc>
          <w:tcPr/>
          <w:p>
            <w:pPr>
              <w:pStyle w:val="Compact"/>
            </w:pPr>
            <w:r>
              <w:t xml:space="preserve">0.65 [-0.05, 1.11]</w:t>
            </w:r>
          </w:p>
        </w:tc>
        <w:tc>
          <w:tcPr/>
          <w:p>
            <w:pPr>
              <w:pStyle w:val="Compact"/>
            </w:pPr>
            <w:r>
              <w:t xml:space="preserve">1.26 [-0.95, 3.72]</w:t>
            </w:r>
          </w:p>
        </w:tc>
        <w:tc>
          <w:tcPr/>
          <w:p>
            <w:pPr>
              <w:pStyle w:val="Compact"/>
            </w:pPr>
            <w:r>
              <w:t xml:space="preserve">2.00 [1.12, 2.77]</w:t>
            </w:r>
          </w:p>
        </w:tc>
        <w:tc>
          <w:tcPr/>
          <w:p>
            <w:pPr>
              <w:pStyle w:val="Compact"/>
            </w:pPr>
            <w:r>
              <w:t xml:space="preserve">0.98 [-0.89, 2.66]</w:t>
            </w:r>
          </w:p>
        </w:tc>
        <w:tc>
          <w:tcPr/>
          <w:p>
            <w:pPr>
              <w:pStyle w:val="Compact"/>
            </w:pPr>
            <w:r>
              <w:t xml:space="preserve">0.89 [0.29, 1.52]</w:t>
            </w:r>
          </w:p>
        </w:tc>
      </w:tr>
      <w:tr>
        <w:tc>
          <w:tcPr/>
          <w:p>
            <w:pPr>
              <w:pStyle w:val="Compact"/>
            </w:pPr>
            <w:r>
              <w:t xml:space="preserve">0.50</w:t>
            </w:r>
          </w:p>
        </w:tc>
        <w:tc>
          <w:tcPr/>
          <w:p>
            <w:pPr>
              <w:pStyle w:val="Compact"/>
            </w:pPr>
            <w:r>
              <w:t xml:space="preserve">0.86 [0.12, 1.46]</w:t>
            </w:r>
          </w:p>
        </w:tc>
        <w:tc>
          <w:tcPr/>
          <w:p>
            <w:pPr>
              <w:pStyle w:val="Compact"/>
            </w:pPr>
            <w:r>
              <w:t xml:space="preserve">0.43 [0.16, 0.69]</w:t>
            </w:r>
          </w:p>
        </w:tc>
        <w:tc>
          <w:tcPr/>
          <w:p>
            <w:pPr>
              <w:pStyle w:val="Compact"/>
            </w:pPr>
            <w:r>
              <w:t xml:space="preserve">1.12 [-0.07, 2.43]</w:t>
            </w:r>
          </w:p>
        </w:tc>
        <w:tc>
          <w:tcPr/>
          <w:p>
            <w:pPr>
              <w:pStyle w:val="Compact"/>
            </w:pPr>
            <w:r>
              <w:t xml:space="preserve">1.22 [0.98, 1.66]</w:t>
            </w:r>
          </w:p>
        </w:tc>
        <w:tc>
          <w:tcPr/>
          <w:p>
            <w:pPr>
              <w:pStyle w:val="Compact"/>
            </w:pPr>
            <w:r>
              <w:t xml:space="preserve">0.92 [-0.03, 1.78]</w:t>
            </w:r>
          </w:p>
        </w:tc>
        <w:tc>
          <w:tcPr/>
          <w:p>
            <w:pPr>
              <w:pStyle w:val="Compact"/>
            </w:pPr>
            <w:r>
              <w:t xml:space="preserve">0.78 [0.40, 1.08]</w:t>
            </w:r>
          </w:p>
        </w:tc>
      </w:tr>
      <w:tr>
        <w:tc>
          <w:tcPr/>
          <w:p>
            <w:pPr>
              <w:pStyle w:val="Compact"/>
            </w:pPr>
            <w:r>
              <w:t xml:space="preserve">0.75</w:t>
            </w:r>
          </w:p>
        </w:tc>
        <w:tc>
          <w:tcPr/>
          <w:p>
            <w:pPr>
              <w:pStyle w:val="Compact"/>
            </w:pPr>
            <w:r>
              <w:t xml:space="preserve">0.74 [0.23, 1.06]</w:t>
            </w:r>
          </w:p>
        </w:tc>
        <w:tc>
          <w:tcPr/>
          <w:p>
            <w:pPr>
              <w:pStyle w:val="Compact"/>
            </w:pPr>
            <w:r>
              <w:t xml:space="preserve">0.34 [0.16, 0.52]</w:t>
            </w:r>
          </w:p>
        </w:tc>
        <w:tc>
          <w:tcPr/>
          <w:p>
            <w:pPr>
              <w:pStyle w:val="Compact"/>
            </w:pPr>
            <w:r>
              <w:t xml:space="preserve">1.07 [0.22, 1.93]</w:t>
            </w:r>
          </w:p>
        </w:tc>
        <w:tc>
          <w:tcPr/>
          <w:p>
            <w:pPr>
              <w:pStyle w:val="Compact"/>
            </w:pPr>
            <w:r>
              <w:t xml:space="preserve">0.97 [0.74, 1.26]</w:t>
            </w:r>
          </w:p>
        </w:tc>
        <w:tc>
          <w:tcPr/>
          <w:p>
            <w:pPr>
              <w:pStyle w:val="Compact"/>
            </w:pPr>
            <w:r>
              <w:t xml:space="preserve">0.89 [0.26, 1.46]</w:t>
            </w:r>
          </w:p>
        </w:tc>
        <w:tc>
          <w:tcPr/>
          <w:p>
            <w:pPr>
              <w:pStyle w:val="Compact"/>
            </w:pPr>
            <w:r>
              <w:t xml:space="preserve">0.72 [0.43, 0.92]</w:t>
            </w:r>
          </w:p>
        </w:tc>
      </w:tr>
    </w:tbl>
    <w:bookmarkEnd w:id="163"/>
    <w:bookmarkStart w:id="164"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64"/>
    <w:bookmarkStart w:id="165"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65"/>
    <w:bookmarkStart w:id="166"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66"/>
    <w:bookmarkStart w:id="167"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naming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p>
      <w:pPr>
        <w:pStyle w:val="BodyText"/>
      </w:pPr>
      <w:r>
        <w:t xml:space="preserve">One dependency crosses sections and is easy to miss when reproducing a single result. Every</w:t>
      </w:r>
      <w:r>
        <w:t xml:space="preserve"> </w:t>
      </w:r>
      <w:r>
        <w:t xml:space="preserve">displacement reported in baseline posterior standard deviations is divided by the median</w:t>
      </w:r>
      <w:r>
        <w:t xml:space="preserve"> </w:t>
      </w:r>
      <w:r>
        <w:t xml:space="preserve">posterior standard deviation over 30 noise realisations at the baseline noise level, which</w:t>
      </w:r>
      <w:r>
        <w:t xml:space="preserve"> </w:t>
      </w:r>
      <w:r>
        <w:rPr>
          <w:rStyle w:val="VerbatimChar"/>
        </w:rPr>
        <w:t xml:space="preserve">step6_noise_sensitivity.py</w:t>
      </w:r>
      <w:r>
        <w:t xml:space="preserve"> </w:t>
      </w:r>
      <w:r>
        <w:t xml:space="preserve">writes, and not by the standard deviation of the run being reported.</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 and the standardising denominator for 3.3.2, 3.4 and 3.6.2</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3.6.2,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2.5.5, 3.3.3, 3.6.2</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67"/>
    <w:bookmarkEnd w:id="168"/>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106" Target="https://claude.ai" TargetMode="External" /><Relationship Type="http://schemas.openxmlformats.org/officeDocument/2006/relationships/hyperlink" Id="rId110" Target="https://doi.org/10.1002/hyp.10082" TargetMode="External" /><Relationship Type="http://schemas.openxmlformats.org/officeDocument/2006/relationships/hyperlink" Id="rId108" Target="https://doi.org/10.1002/hyp.3360060305" TargetMode="External" /><Relationship Type="http://schemas.openxmlformats.org/officeDocument/2006/relationships/hyperlink" Id="rId150" Target="https://doi.org/10.1002/j.1551-8833.1997.tb08259.x" TargetMode="External" /><Relationship Type="http://schemas.openxmlformats.org/officeDocument/2006/relationships/hyperlink" Id="rId132" Target="https://doi.org/10.1006/jcom.1998.0487" TargetMode="External" /><Relationship Type="http://schemas.openxmlformats.org/officeDocument/2006/relationships/hyperlink" Id="rId146" Target="https://doi.org/10.1016/0041-5553(67)90144-9" TargetMode="External" /><Relationship Type="http://schemas.openxmlformats.org/officeDocument/2006/relationships/hyperlink" Id="rId116" Target="https://doi.org/10.1016/S0043-1354(02)00056-8" TargetMode="External" /><Relationship Type="http://schemas.openxmlformats.org/officeDocument/2006/relationships/hyperlink" Id="rId118" Target="https://doi.org/10.1016/S0043-1354(98)00519-3" TargetMode="External" /><Relationship Type="http://schemas.openxmlformats.org/officeDocument/2006/relationships/hyperlink" Id="rId136" Target="https://doi.org/10.1016/S0043-1354(99)00097-4" TargetMode="External" /><Relationship Type="http://schemas.openxmlformats.org/officeDocument/2006/relationships/hyperlink" Id="rId124" Target="https://doi.org/10.1016/j.envsoft.2017.06.022" TargetMode="External" /><Relationship Type="http://schemas.openxmlformats.org/officeDocument/2006/relationships/hyperlink" Id="rId126" Target="https://doi.org/10.1016/j.jhydrol.2006.04.046" TargetMode="External" /><Relationship Type="http://schemas.openxmlformats.org/officeDocument/2006/relationships/hyperlink" Id="rId134" Target="https://doi.org/10.1016/j.mex.2019.03.008" TargetMode="External" /><Relationship Type="http://schemas.openxmlformats.org/officeDocument/2006/relationships/hyperlink" Id="rId130" Target="https://doi.org/10.1016/j.proeng.2014.02.135" TargetMode="External" /><Relationship Type="http://schemas.openxmlformats.org/officeDocument/2006/relationships/hyperlink" Id="rId112" Target="https://doi.org/10.1029/2000WR900350" TargetMode="External" /><Relationship Type="http://schemas.openxmlformats.org/officeDocument/2006/relationships/hyperlink" Id="rId148" Target="https://doi.org/10.1029/2008WR006822" TargetMode="External" /><Relationship Type="http://schemas.openxmlformats.org/officeDocument/2006/relationships/hyperlink" Id="rId143" Target="https://doi.org/10.1061/(ASCE)0733-9372(1994)120:4(803)" TargetMode="External" /><Relationship Type="http://schemas.openxmlformats.org/officeDocument/2006/relationships/hyperlink" Id="rId128" Target="https://doi.org/10.1061/(ASCE)0733-9496(2003)129:2(124)" TargetMode="External" /><Relationship Type="http://schemas.openxmlformats.org/officeDocument/2006/relationships/hyperlink" Id="rId120" Target="https://doi.org/10.1061/(ASCE)WR.1943-5452.0000325" TargetMode="External" /><Relationship Type="http://schemas.openxmlformats.org/officeDocument/2006/relationships/hyperlink" Id="rId138" Target="https://doi.org/10.1061/(ASCE)WR.1943-5452.0001118" TargetMode="External" /><Relationship Type="http://schemas.openxmlformats.org/officeDocument/2006/relationships/hyperlink" Id="rId140" Target="https://doi.org/10.1093/bioinformatics/btp358" TargetMode="External" /><Relationship Type="http://schemas.openxmlformats.org/officeDocument/2006/relationships/hyperlink" Id="rId122" Target="https://doi.org/10.15131/shef.data.29921225" TargetMode="External" /><Relationship Type="http://schemas.openxmlformats.org/officeDocument/2006/relationships/hyperlink" Id="rId104" Target="https://doi.org/10.3390/engproc2024069144" TargetMode="External" /><Relationship Type="http://schemas.openxmlformats.org/officeDocument/2006/relationships/hyperlink" Id="rId114" Target="https://doi.org/10.3390/pr11030676" TargetMode="External" /><Relationship Type="http://schemas.openxmlformats.org/officeDocument/2006/relationships/hyperlink" Id="rId154" Target="https://doi.org/10.5194/hess-26-1203-2022" TargetMode="External" /><Relationship Type="http://schemas.openxmlformats.org/officeDocument/2006/relationships/hyperlink" Id="rId152" Target="https://usepa.github.io/WNTR/units.html" TargetMode="External" /></Relationships>
</file>

<file path=word/_rels/footnotes.xml.rels><?xml version="1.0" encoding="UTF-8"?><Relationships xmlns="http://schemas.openxmlformats.org/package/2006/relationships"><Relationship Type="http://schemas.openxmlformats.org/officeDocument/2006/relationships/hyperlink" Id="rId106" Target="https://claude.ai" TargetMode="External" /><Relationship Type="http://schemas.openxmlformats.org/officeDocument/2006/relationships/hyperlink" Id="rId110" Target="https://doi.org/10.1002/hyp.10082" TargetMode="External" /><Relationship Type="http://schemas.openxmlformats.org/officeDocument/2006/relationships/hyperlink" Id="rId108" Target="https://doi.org/10.1002/hyp.3360060305" TargetMode="External" /><Relationship Type="http://schemas.openxmlformats.org/officeDocument/2006/relationships/hyperlink" Id="rId150" Target="https://doi.org/10.1002/j.1551-8833.1997.tb08259.x" TargetMode="External" /><Relationship Type="http://schemas.openxmlformats.org/officeDocument/2006/relationships/hyperlink" Id="rId132" Target="https://doi.org/10.1006/jcom.1998.0487" TargetMode="External" /><Relationship Type="http://schemas.openxmlformats.org/officeDocument/2006/relationships/hyperlink" Id="rId146" Target="https://doi.org/10.1016/0041-5553(67)90144-9" TargetMode="External" /><Relationship Type="http://schemas.openxmlformats.org/officeDocument/2006/relationships/hyperlink" Id="rId116" Target="https://doi.org/10.1016/S0043-1354(02)00056-8" TargetMode="External" /><Relationship Type="http://schemas.openxmlformats.org/officeDocument/2006/relationships/hyperlink" Id="rId118" Target="https://doi.org/10.1016/S0043-1354(98)00519-3" TargetMode="External" /><Relationship Type="http://schemas.openxmlformats.org/officeDocument/2006/relationships/hyperlink" Id="rId136" Target="https://doi.org/10.1016/S0043-1354(99)00097-4" TargetMode="External" /><Relationship Type="http://schemas.openxmlformats.org/officeDocument/2006/relationships/hyperlink" Id="rId124" Target="https://doi.org/10.1016/j.envsoft.2017.06.022" TargetMode="External" /><Relationship Type="http://schemas.openxmlformats.org/officeDocument/2006/relationships/hyperlink" Id="rId126" Target="https://doi.org/10.1016/j.jhydrol.2006.04.046" TargetMode="External" /><Relationship Type="http://schemas.openxmlformats.org/officeDocument/2006/relationships/hyperlink" Id="rId134" Target="https://doi.org/10.1016/j.mex.2019.03.008" TargetMode="External" /><Relationship Type="http://schemas.openxmlformats.org/officeDocument/2006/relationships/hyperlink" Id="rId130" Target="https://doi.org/10.1016/j.proeng.2014.02.135" TargetMode="External" /><Relationship Type="http://schemas.openxmlformats.org/officeDocument/2006/relationships/hyperlink" Id="rId112" Target="https://doi.org/10.1029/2000WR900350" TargetMode="External" /><Relationship Type="http://schemas.openxmlformats.org/officeDocument/2006/relationships/hyperlink" Id="rId148" Target="https://doi.org/10.1029/2008WR006822" TargetMode="External" /><Relationship Type="http://schemas.openxmlformats.org/officeDocument/2006/relationships/hyperlink" Id="rId143" Target="https://doi.org/10.1061/(ASCE)0733-9372(1994)120:4(803)" TargetMode="External" /><Relationship Type="http://schemas.openxmlformats.org/officeDocument/2006/relationships/hyperlink" Id="rId128" Target="https://doi.org/10.1061/(ASCE)0733-9496(2003)129:2(124)" TargetMode="External" /><Relationship Type="http://schemas.openxmlformats.org/officeDocument/2006/relationships/hyperlink" Id="rId120" Target="https://doi.org/10.1061/(ASCE)WR.1943-5452.0000325" TargetMode="External" /><Relationship Type="http://schemas.openxmlformats.org/officeDocument/2006/relationships/hyperlink" Id="rId138" Target="https://doi.org/10.1061/(ASCE)WR.1943-5452.0001118" TargetMode="External" /><Relationship Type="http://schemas.openxmlformats.org/officeDocument/2006/relationships/hyperlink" Id="rId140" Target="https://doi.org/10.1093/bioinformatics/btp358" TargetMode="External" /><Relationship Type="http://schemas.openxmlformats.org/officeDocument/2006/relationships/hyperlink" Id="rId122" Target="https://doi.org/10.15131/shef.data.29921225" TargetMode="External" /><Relationship Type="http://schemas.openxmlformats.org/officeDocument/2006/relationships/hyperlink" Id="rId104" Target="https://doi.org/10.3390/engproc2024069144" TargetMode="External" /><Relationship Type="http://schemas.openxmlformats.org/officeDocument/2006/relationships/hyperlink" Id="rId114" Target="https://doi.org/10.3390/pr11030676" TargetMode="External" /><Relationship Type="http://schemas.openxmlformats.org/officeDocument/2006/relationships/hyperlink" Id="rId154" Target="https://doi.org/10.5194/hess-26-1203-2022" TargetMode="External" /><Relationship Type="http://schemas.openxmlformats.org/officeDocument/2006/relationships/hyperlink" Id="rId152" Target="https://usepa.github.io/WNTR/uni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dc:language>en-GB</dc:language>
  <cp:keywords/>
  <dcterms:created xsi:type="dcterms:W3CDTF">2026-08-12T12:54:40Z</dcterms:created>
  <dcterms:modified xsi:type="dcterms:W3CDTF">2026-08-12T12:54:40Z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