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CC01"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Hello </w:t>
      </w:r>
      <w:proofErr w:type="spellStart"/>
      <w:r w:rsidRPr="006306B4">
        <w:rPr>
          <w:rFonts w:eastAsia="宋体"/>
          <w:color w:val="000000"/>
          <w:kern w:val="0"/>
        </w:rPr>
        <w:t>Ruixin</w:t>
      </w:r>
      <w:proofErr w:type="spellEnd"/>
      <w:r w:rsidRPr="006306B4">
        <w:rPr>
          <w:rFonts w:eastAsia="宋体"/>
          <w:color w:val="000000"/>
          <w:kern w:val="0"/>
        </w:rPr>
        <w:t>,</w:t>
      </w:r>
    </w:p>
    <w:p w14:paraId="34473587" w14:textId="77777777" w:rsidR="006306B4" w:rsidRPr="006306B4" w:rsidRDefault="006306B4" w:rsidP="006306B4">
      <w:pPr>
        <w:widowControl/>
        <w:jc w:val="left"/>
        <w:rPr>
          <w:rFonts w:eastAsia="宋体"/>
          <w:color w:val="000000"/>
          <w:kern w:val="0"/>
        </w:rPr>
      </w:pPr>
    </w:p>
    <w:p w14:paraId="2ADD5CED" w14:textId="77777777" w:rsidR="006306B4" w:rsidRPr="006306B4" w:rsidRDefault="006306B4" w:rsidP="006306B4">
      <w:pPr>
        <w:widowControl/>
        <w:jc w:val="left"/>
        <w:rPr>
          <w:rFonts w:eastAsia="宋体"/>
          <w:color w:val="000000"/>
          <w:kern w:val="0"/>
        </w:rPr>
      </w:pPr>
      <w:r w:rsidRPr="006306B4">
        <w:rPr>
          <w:rFonts w:eastAsia="宋体"/>
          <w:color w:val="000000"/>
          <w:kern w:val="0"/>
        </w:rPr>
        <w:t>This is a very good first draft. The work needed before 21 August is more of fine tuning the narrative and discussion, and the presentation.</w:t>
      </w:r>
    </w:p>
    <w:p w14:paraId="0942C49F" w14:textId="77777777" w:rsidR="006306B4" w:rsidRPr="006306B4" w:rsidRDefault="006306B4" w:rsidP="006306B4">
      <w:pPr>
        <w:widowControl/>
        <w:jc w:val="left"/>
        <w:rPr>
          <w:rFonts w:eastAsia="宋体"/>
          <w:color w:val="000000"/>
          <w:kern w:val="0"/>
        </w:rPr>
      </w:pPr>
      <w:r w:rsidRPr="006306B4">
        <w:rPr>
          <w:rFonts w:eastAsia="宋体"/>
          <w:color w:val="000000"/>
          <w:kern w:val="0"/>
        </w:rPr>
        <w:t>Please review my suggestions - I believe you have plenty of time to implement these. Let me know if you have further questions.</w:t>
      </w:r>
    </w:p>
    <w:p w14:paraId="617DB70A" w14:textId="77777777" w:rsidR="006306B4" w:rsidRPr="006306B4" w:rsidRDefault="006306B4" w:rsidP="006306B4">
      <w:pPr>
        <w:widowControl/>
        <w:jc w:val="left"/>
        <w:rPr>
          <w:rFonts w:eastAsia="宋体"/>
          <w:color w:val="000000"/>
          <w:kern w:val="0"/>
        </w:rPr>
      </w:pPr>
    </w:p>
    <w:p w14:paraId="2EE3EC13" w14:textId="77777777" w:rsidR="006306B4" w:rsidRPr="006306B4" w:rsidRDefault="006306B4" w:rsidP="006306B4">
      <w:pPr>
        <w:widowControl/>
        <w:jc w:val="left"/>
        <w:rPr>
          <w:rFonts w:eastAsia="宋体"/>
          <w:color w:val="000000"/>
          <w:kern w:val="0"/>
        </w:rPr>
      </w:pPr>
      <w:r w:rsidRPr="006306B4">
        <w:rPr>
          <w:rFonts w:eastAsia="宋体"/>
          <w:color w:val="000000"/>
          <w:kern w:val="0"/>
        </w:rPr>
        <w:t>In answer to your questions:</w:t>
      </w:r>
    </w:p>
    <w:p w14:paraId="78E46EE3" w14:textId="77777777" w:rsidR="006306B4" w:rsidRPr="006306B4" w:rsidRDefault="006306B4" w:rsidP="006306B4">
      <w:pPr>
        <w:widowControl/>
        <w:jc w:val="left"/>
        <w:rPr>
          <w:rFonts w:eastAsia="宋体"/>
          <w:color w:val="000000"/>
          <w:kern w:val="0"/>
        </w:rPr>
      </w:pPr>
    </w:p>
    <w:p w14:paraId="6E7F006F" w14:textId="77777777" w:rsidR="006306B4" w:rsidRPr="006306B4" w:rsidRDefault="006306B4" w:rsidP="006306B4">
      <w:pPr>
        <w:widowControl/>
        <w:jc w:val="left"/>
        <w:rPr>
          <w:rFonts w:eastAsia="宋体"/>
          <w:color w:val="000000"/>
          <w:kern w:val="0"/>
        </w:rPr>
      </w:pPr>
      <w:r w:rsidRPr="006306B4">
        <w:rPr>
          <w:rFonts w:eastAsia="宋体"/>
          <w:b/>
          <w:bCs/>
          <w:color w:val="000000"/>
          <w:kern w:val="0"/>
        </w:rPr>
        <w:t>Question 1 (the concentration unit):</w:t>
      </w:r>
    </w:p>
    <w:p w14:paraId="194099D6"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The interpretation is correct. WNTR's own conversion code converts "MASS/L to kg/m³" and back; setting an internal quality of 1.0 with </w:t>
      </w:r>
      <w:proofErr w:type="spellStart"/>
      <w:r w:rsidRPr="006306B4">
        <w:rPr>
          <w:rFonts w:eastAsia="宋体"/>
          <w:color w:val="000000"/>
          <w:kern w:val="0"/>
        </w:rPr>
        <w:t>inpfile_units</w:t>
      </w:r>
      <w:proofErr w:type="spellEnd"/>
      <w:r w:rsidRPr="006306B4">
        <w:rPr>
          <w:rFonts w:eastAsia="宋体"/>
          <w:color w:val="000000"/>
          <w:kern w:val="0"/>
        </w:rPr>
        <w:t xml:space="preserve">='mg/L' writes 1000.0 into the INP's [QUALITY] section; and simulation results return in the internal frame (1.0 comes back as 1.0). So </w:t>
      </w:r>
      <w:proofErr w:type="spellStart"/>
      <w:r w:rsidRPr="006306B4">
        <w:rPr>
          <w:rFonts w:eastAsia="宋体"/>
          <w:color w:val="000000"/>
          <w:kern w:val="0"/>
        </w:rPr>
        <w:t>initial_quality</w:t>
      </w:r>
      <w:proofErr w:type="spellEnd"/>
      <w:r w:rsidRPr="006306B4">
        <w:rPr>
          <w:rFonts w:eastAsia="宋体"/>
          <w:color w:val="000000"/>
          <w:kern w:val="0"/>
        </w:rPr>
        <w:t xml:space="preserve"> = 1.0 was indeed 1.0 kg/m³, </w:t>
      </w:r>
      <w:proofErr w:type="spellStart"/>
      <w:r w:rsidRPr="006306B4">
        <w:rPr>
          <w:rFonts w:eastAsia="宋体"/>
          <w:color w:val="000000"/>
          <w:kern w:val="0"/>
        </w:rPr>
        <w:t>inpfile_units</w:t>
      </w:r>
      <w:proofErr w:type="spellEnd"/>
      <w:r w:rsidRPr="006306B4">
        <w:rPr>
          <w:rFonts w:eastAsia="宋体"/>
          <w:color w:val="000000"/>
          <w:kern w:val="0"/>
        </w:rPr>
        <w:t xml:space="preserve"> is only a file-label with its own write-time conversion, and the correction is appropriate. The §2.2.4 equivalence test (2.3×10⁻⁷ relative difference) is exactly the right validation but the draft reports that it passed without saying why it had to: first-order kinetics are concentration-scale-invariant, so with every absolute quantity co-rescaled (source, tanks, σ, the 0.2 mg/L threshold, and the tolerance-to-source ratio, which was managed fine), the corrected pipeline is the same numerical experiment. One sentence saying so converts "the test passed" into "the test must </w:t>
      </w:r>
      <w:proofErr w:type="gramStart"/>
      <w:r w:rsidRPr="006306B4">
        <w:rPr>
          <w:rFonts w:eastAsia="宋体"/>
          <w:color w:val="000000"/>
          <w:kern w:val="0"/>
        </w:rPr>
        <w:t>pass, and</w:t>
      </w:r>
      <w:proofErr w:type="gramEnd"/>
      <w:r w:rsidRPr="006306B4">
        <w:rPr>
          <w:rFonts w:eastAsia="宋体"/>
          <w:color w:val="000000"/>
          <w:kern w:val="0"/>
        </w:rPr>
        <w:t xml:space="preserve"> does" - and any residual beyond solver tolerance would have </w:t>
      </w:r>
      <w:proofErr w:type="spellStart"/>
      <w:r w:rsidRPr="006306B4">
        <w:rPr>
          <w:rFonts w:eastAsia="宋体"/>
          <w:color w:val="000000"/>
          <w:kern w:val="0"/>
        </w:rPr>
        <w:t>signalled</w:t>
      </w:r>
      <w:proofErr w:type="spellEnd"/>
      <w:r w:rsidRPr="006306B4">
        <w:rPr>
          <w:rFonts w:eastAsia="宋体"/>
          <w:color w:val="000000"/>
          <w:kern w:val="0"/>
        </w:rPr>
        <w:t xml:space="preserve"> a second error. I would also add a one-line warning to Appendix B or the repository README: this same root cause (concentrations converted ×1000 on file-write) explains a genuine WNTR 1.4 defect we measured in the teaching notebooks, where the zero-order bulk coefficient is passed through raw while concentrations are scaled, yielding rates 10⁻³ of nominal. </w:t>
      </w:r>
    </w:p>
    <w:p w14:paraId="5E5A75CA" w14:textId="77777777" w:rsidR="006306B4" w:rsidRPr="006306B4" w:rsidRDefault="006306B4" w:rsidP="006306B4">
      <w:pPr>
        <w:widowControl/>
        <w:jc w:val="left"/>
        <w:rPr>
          <w:rFonts w:eastAsia="宋体"/>
          <w:color w:val="000000"/>
          <w:kern w:val="0"/>
        </w:rPr>
      </w:pPr>
    </w:p>
    <w:p w14:paraId="4F65B86C" w14:textId="77777777" w:rsidR="006306B4" w:rsidRPr="006306B4" w:rsidRDefault="006306B4" w:rsidP="006306B4">
      <w:pPr>
        <w:widowControl/>
        <w:jc w:val="left"/>
        <w:rPr>
          <w:rFonts w:eastAsia="宋体"/>
          <w:color w:val="000000"/>
          <w:kern w:val="0"/>
        </w:rPr>
      </w:pPr>
      <w:r w:rsidRPr="006306B4">
        <w:rPr>
          <w:rFonts w:eastAsia="宋体"/>
          <w:b/>
          <w:bCs/>
          <w:color w:val="000000"/>
          <w:kern w:val="0"/>
        </w:rPr>
        <w:t>Question 2 (the GLUE reinterpretation):</w:t>
      </w:r>
    </w:p>
    <w:p w14:paraId="0C60F29C"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Because the unit correction and the change of inference rule were both introduced as the work progressed, I was wondering whether the much stronger contraction now reported reflects the new likelihood or is partly an artefact of the corrected units. You explain this well: First, the unit-equivalence test of §2.2.4 shows that the corrected implementation reproduces the superseded concentration field to a maximum relative difference of 2.3×10⁻⁷, so the two versions present the same numerical </w:t>
      </w:r>
      <w:proofErr w:type="gramStart"/>
      <w:r w:rsidRPr="006306B4">
        <w:rPr>
          <w:rFonts w:eastAsia="宋体"/>
          <w:color w:val="000000"/>
          <w:kern w:val="0"/>
        </w:rPr>
        <w:t>experiment</w:t>
      </w:r>
      <w:proofErr w:type="gramEnd"/>
      <w:r w:rsidRPr="006306B4">
        <w:rPr>
          <w:rFonts w:eastAsia="宋体"/>
          <w:color w:val="000000"/>
          <w:kern w:val="0"/>
        </w:rPr>
        <w:t xml:space="preserve"> and the unit correction cannot account for any change in contraction. Second, §2.3.1 evaluates the censored, </w:t>
      </w:r>
      <w:proofErr w:type="spellStart"/>
      <w:r w:rsidRPr="006306B4">
        <w:rPr>
          <w:rFonts w:eastAsia="宋体"/>
          <w:color w:val="000000"/>
          <w:kern w:val="0"/>
        </w:rPr>
        <w:t>iid</w:t>
      </w:r>
      <w:proofErr w:type="spellEnd"/>
      <w:r w:rsidRPr="006306B4">
        <w:rPr>
          <w:rFonts w:eastAsia="宋体"/>
          <w:color w:val="000000"/>
          <w:kern w:val="0"/>
        </w:rPr>
        <w:t xml:space="preserve"> and informal rules on the same 8192 Sobol draws and the same cached model predictions, so no difference between them can arise from sampling or from separate forward simulations. Third, §3.2.1–3.2.2 identify the mechanism: the informal score omits the information factor N from its exponent, rendering it equivalent to a formal likelihood with an effective error standard deviation of </w:t>
      </w:r>
      <w:proofErr w:type="spellStart"/>
      <w:r w:rsidRPr="006306B4">
        <w:rPr>
          <w:rFonts w:eastAsia="宋体"/>
          <w:color w:val="000000"/>
          <w:kern w:val="0"/>
        </w:rPr>
        <w:t>σ√N</w:t>
      </w:r>
      <w:proofErr w:type="spellEnd"/>
      <w:r w:rsidRPr="006306B4">
        <w:rPr>
          <w:rFonts w:eastAsia="宋体"/>
          <w:color w:val="000000"/>
          <w:kern w:val="0"/>
        </w:rPr>
        <w:t xml:space="preserve"> ≈ 1.71 mg L⁻¹, and tightening the </w:t>
      </w:r>
      <w:proofErr w:type="spellStart"/>
      <w:r w:rsidRPr="006306B4">
        <w:rPr>
          <w:rFonts w:eastAsia="宋体"/>
          <w:color w:val="000000"/>
          <w:kern w:val="0"/>
        </w:rPr>
        <w:t>behavioural</w:t>
      </w:r>
      <w:proofErr w:type="spellEnd"/>
      <w:r w:rsidRPr="006306B4">
        <w:rPr>
          <w:rFonts w:eastAsia="宋体"/>
          <w:color w:val="000000"/>
          <w:kern w:val="0"/>
        </w:rPr>
        <w:t xml:space="preserve"> threshold demonstrably fails to compensate, while the direction-dependent recovery under displaced priors confirms that this </w:t>
      </w:r>
      <w:proofErr w:type="spellStart"/>
      <w:r w:rsidRPr="006306B4">
        <w:rPr>
          <w:rFonts w:eastAsia="宋体"/>
          <w:color w:val="000000"/>
          <w:kern w:val="0"/>
        </w:rPr>
        <w:t>behaviour</w:t>
      </w:r>
      <w:proofErr w:type="spellEnd"/>
      <w:r w:rsidRPr="006306B4">
        <w:rPr>
          <w:rFonts w:eastAsia="宋体"/>
          <w:color w:val="000000"/>
          <w:kern w:val="0"/>
        </w:rPr>
        <w:t xml:space="preserve"> is a property of the score rather than of </w:t>
      </w:r>
      <w:r w:rsidRPr="006306B4">
        <w:rPr>
          <w:rFonts w:eastAsia="宋体"/>
          <w:color w:val="000000"/>
          <w:kern w:val="0"/>
        </w:rPr>
        <w:lastRenderedPageBreak/>
        <w:t xml:space="preserve">the observations. The comparison between the censored and </w:t>
      </w:r>
      <w:proofErr w:type="spellStart"/>
      <w:r w:rsidRPr="006306B4">
        <w:rPr>
          <w:rFonts w:eastAsia="宋体"/>
          <w:color w:val="000000"/>
          <w:kern w:val="0"/>
        </w:rPr>
        <w:t>iid</w:t>
      </w:r>
      <w:proofErr w:type="spellEnd"/>
      <w:r w:rsidRPr="006306B4">
        <w:rPr>
          <w:rFonts w:eastAsia="宋体"/>
          <w:color w:val="000000"/>
          <w:kern w:val="0"/>
        </w:rPr>
        <w:t xml:space="preserve"> formal rules provides a further control, showing that the treatment of the ten floored readings contributes essentially nothing to the formal–informal difference.</w:t>
      </w:r>
    </w:p>
    <w:p w14:paraId="7E48094F" w14:textId="77777777" w:rsidR="006306B4" w:rsidRPr="006306B4" w:rsidRDefault="006306B4" w:rsidP="006306B4">
      <w:pPr>
        <w:widowControl/>
        <w:jc w:val="left"/>
        <w:rPr>
          <w:rFonts w:eastAsia="宋体"/>
          <w:color w:val="000000"/>
          <w:kern w:val="0"/>
        </w:rPr>
      </w:pPr>
      <w:r w:rsidRPr="006306B4">
        <w:rPr>
          <w:rFonts w:eastAsia="宋体"/>
          <w:color w:val="000000"/>
          <w:kern w:val="0"/>
        </w:rPr>
        <w:t>The conclusion that the earlier weak contraction was a consequence of the scoring rule is therefore fully supported. Documenting the revised interpretation in the response matrix is the appropriate way to record it, and the retraction sentence in §3.2.2 explains this well.</w:t>
      </w:r>
    </w:p>
    <w:p w14:paraId="2C9A1635"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Two points of wording/explanation should remain. The stated scope that the finding concerns the specific pseudo-likelihood implemented in the original analysis, and not </w:t>
      </w:r>
      <w:proofErr w:type="spellStart"/>
      <w:r w:rsidRPr="006306B4">
        <w:rPr>
          <w:rFonts w:eastAsia="宋体"/>
          <w:color w:val="000000"/>
          <w:kern w:val="0"/>
        </w:rPr>
        <w:t>behavioural</w:t>
      </w:r>
      <w:proofErr w:type="spellEnd"/>
      <w:r w:rsidRPr="006306B4">
        <w:rPr>
          <w:rFonts w:eastAsia="宋体"/>
          <w:color w:val="000000"/>
          <w:kern w:val="0"/>
        </w:rPr>
        <w:t xml:space="preserve"> uncertainty estimation in general, is correct. And the abstract's statement that all three coefficients contracted to 25–31% of their prior standard deviation should carry the qualifier "under known bulk decay and unbiased sensors", since the Case C analysis of §3.3.3 properly withdraws practical identifiability of the average- and new-zone coefficients once bulk decay and monitor offsets are treated as unknown together. The conclusions already state this conditionality; and you should state this in the abstract.</w:t>
      </w:r>
    </w:p>
    <w:p w14:paraId="2E52C87F" w14:textId="77777777" w:rsidR="006306B4" w:rsidRPr="006306B4" w:rsidRDefault="006306B4" w:rsidP="006306B4">
      <w:pPr>
        <w:widowControl/>
        <w:jc w:val="left"/>
        <w:rPr>
          <w:rFonts w:eastAsia="宋体"/>
          <w:color w:val="000000"/>
          <w:kern w:val="0"/>
        </w:rPr>
      </w:pPr>
    </w:p>
    <w:p w14:paraId="38E2706D" w14:textId="77777777" w:rsidR="006306B4" w:rsidRPr="006306B4" w:rsidRDefault="006306B4" w:rsidP="006306B4">
      <w:pPr>
        <w:widowControl/>
        <w:jc w:val="left"/>
        <w:rPr>
          <w:rFonts w:eastAsia="宋体"/>
          <w:color w:val="000000"/>
          <w:kern w:val="0"/>
        </w:rPr>
      </w:pPr>
      <w:r w:rsidRPr="006306B4">
        <w:rPr>
          <w:rFonts w:eastAsia="宋体"/>
          <w:b/>
          <w:bCs/>
          <w:color w:val="000000"/>
          <w:kern w:val="0"/>
        </w:rPr>
        <w:t>Question 3 (the word limit):</w:t>
      </w:r>
    </w:p>
    <w:p w14:paraId="61FFD997"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First check the guidelines you were given on what counts: captions total 672 words and references 321 here, and I am not sure whether your thesis should exclude one or both - that alone may halve the problem. Moving detailed methodological material to appendices is acceptable and already the thesis's established pattern (A–H exist), with one rule: the main text must remain self-standing, so the likelihood specification (2.3.2), the </w:t>
      </w:r>
      <w:proofErr w:type="spellStart"/>
      <w:r w:rsidRPr="006306B4">
        <w:rPr>
          <w:rFonts w:eastAsia="宋体"/>
          <w:color w:val="000000"/>
          <w:kern w:val="0"/>
        </w:rPr>
        <w:t>σ√N</w:t>
      </w:r>
      <w:proofErr w:type="spellEnd"/>
      <w:r w:rsidRPr="006306B4">
        <w:rPr>
          <w:rFonts w:eastAsia="宋体"/>
          <w:color w:val="000000"/>
          <w:kern w:val="0"/>
        </w:rPr>
        <w:t xml:space="preserve"> derivation, Table 3, the Fisher A/B/C summary, and Tables 4–5 stay. Named candidates to move or condense, with rough savings: the six-diagnostic warm-up detail in §2.2.2 (keep the rule and outcome), the Schur/step-size mechanics of §2.4.3, the arm-by-arm enumeration in §2.5.3, whose per-arm results are already in Appendix F, the four-metric definitional prose of §2.6.3, which Table 2 already carries, the block-bootstrap and scenario-draw mechanics of §2.8.2/2.8.4, and halving §3.1.2's second paragraph. The figure captions currently carry methods-grade caveats duplicated in the text; trimming each to one or two sentences saves ~300 if captions count. Finally, the recurring caveat refrains ("not forecasts," "not comparable," "descriptive, not significance") can be consolidated once into §3.7 as a reading guide. My guess is that you could </w:t>
      </w:r>
      <w:proofErr w:type="gramStart"/>
      <w:r w:rsidRPr="006306B4">
        <w:rPr>
          <w:rFonts w:eastAsia="宋体"/>
          <w:color w:val="000000"/>
          <w:kern w:val="0"/>
        </w:rPr>
        <w:t>cut  ≈</w:t>
      </w:r>
      <w:proofErr w:type="gramEnd"/>
      <w:r w:rsidRPr="006306B4">
        <w:rPr>
          <w:rFonts w:eastAsia="宋体"/>
          <w:color w:val="000000"/>
          <w:kern w:val="0"/>
        </w:rPr>
        <w:t xml:space="preserve">1,100–1,300 words without losing an argument. Do not cut §3.7.1–3.7.2 as they describe the </w:t>
      </w:r>
      <w:proofErr w:type="gramStart"/>
      <w:r w:rsidRPr="006306B4">
        <w:rPr>
          <w:rFonts w:eastAsia="宋体"/>
          <w:color w:val="000000"/>
          <w:kern w:val="0"/>
        </w:rPr>
        <w:t>contribution, and</w:t>
      </w:r>
      <w:proofErr w:type="gramEnd"/>
      <w:r w:rsidRPr="006306B4">
        <w:rPr>
          <w:rFonts w:eastAsia="宋体"/>
          <w:color w:val="000000"/>
          <w:kern w:val="0"/>
        </w:rPr>
        <w:t xml:space="preserve"> prefer these targeted moves over a blanket Discussion cut.</w:t>
      </w:r>
    </w:p>
    <w:p w14:paraId="2F4B6773" w14:textId="77777777" w:rsidR="006306B4" w:rsidRPr="006306B4" w:rsidRDefault="006306B4" w:rsidP="006306B4">
      <w:pPr>
        <w:widowControl/>
        <w:jc w:val="left"/>
        <w:rPr>
          <w:rFonts w:eastAsia="宋体"/>
          <w:color w:val="000000"/>
          <w:kern w:val="0"/>
        </w:rPr>
      </w:pPr>
    </w:p>
    <w:p w14:paraId="7ACC6856" w14:textId="77777777" w:rsidR="006306B4" w:rsidRPr="006306B4" w:rsidRDefault="006306B4" w:rsidP="006306B4">
      <w:pPr>
        <w:widowControl/>
        <w:jc w:val="left"/>
        <w:rPr>
          <w:rFonts w:eastAsia="宋体"/>
          <w:color w:val="000000"/>
          <w:kern w:val="0"/>
        </w:rPr>
      </w:pPr>
    </w:p>
    <w:p w14:paraId="0ECBA8FA" w14:textId="77777777" w:rsidR="006306B4" w:rsidRPr="006306B4" w:rsidRDefault="006306B4" w:rsidP="006306B4">
      <w:pPr>
        <w:widowControl/>
        <w:jc w:val="left"/>
        <w:rPr>
          <w:rFonts w:eastAsia="宋体"/>
          <w:color w:val="000000"/>
          <w:kern w:val="0"/>
        </w:rPr>
      </w:pPr>
      <w:r w:rsidRPr="006306B4">
        <w:rPr>
          <w:rFonts w:eastAsia="宋体"/>
          <w:b/>
          <w:bCs/>
          <w:color w:val="000000"/>
          <w:kern w:val="0"/>
        </w:rPr>
        <w:t>Code presentation</w:t>
      </w:r>
    </w:p>
    <w:p w14:paraId="361E2A5B" w14:textId="77777777" w:rsidR="006306B4" w:rsidRPr="006306B4" w:rsidRDefault="006306B4" w:rsidP="006306B4">
      <w:pPr>
        <w:widowControl/>
        <w:jc w:val="left"/>
        <w:rPr>
          <w:rFonts w:eastAsia="宋体"/>
          <w:color w:val="000000"/>
          <w:kern w:val="0"/>
        </w:rPr>
      </w:pPr>
      <w:r w:rsidRPr="006306B4">
        <w:rPr>
          <w:rFonts w:eastAsia="宋体"/>
          <w:color w:val="000000"/>
          <w:kern w:val="0"/>
        </w:rPr>
        <w:t xml:space="preserve">Please create a </w:t>
      </w:r>
      <w:proofErr w:type="spellStart"/>
      <w:r w:rsidRPr="006306B4">
        <w:rPr>
          <w:rFonts w:eastAsia="宋体"/>
          <w:color w:val="000000"/>
          <w:kern w:val="0"/>
        </w:rPr>
        <w:t>GitHUB</w:t>
      </w:r>
      <w:proofErr w:type="spellEnd"/>
      <w:r w:rsidRPr="006306B4">
        <w:rPr>
          <w:rFonts w:eastAsia="宋体"/>
          <w:color w:val="000000"/>
          <w:kern w:val="0"/>
        </w:rPr>
        <w:t xml:space="preserve"> repository (you have access via your imperial college email), not appendix listings - it is important for the assessment: a tagged release or pinned commit hash quoted in the paper, the environment pinned to exact WNTR/EPANET versions (essential given the version-specific </w:t>
      </w:r>
      <w:proofErr w:type="spellStart"/>
      <w:r w:rsidRPr="006306B4">
        <w:rPr>
          <w:rFonts w:eastAsia="宋体"/>
          <w:color w:val="000000"/>
          <w:kern w:val="0"/>
        </w:rPr>
        <w:t>behaviours</w:t>
      </w:r>
      <w:proofErr w:type="spellEnd"/>
      <w:r w:rsidRPr="006306B4">
        <w:rPr>
          <w:rFonts w:eastAsia="宋体"/>
          <w:color w:val="000000"/>
          <w:kern w:val="0"/>
        </w:rPr>
        <w:t xml:space="preserve"> this very thesis documents), the hash-checked Net3 file already in place, and the §2.2.4 verification checks </w:t>
      </w:r>
      <w:r w:rsidRPr="006306B4">
        <w:rPr>
          <w:rFonts w:eastAsia="宋体"/>
          <w:color w:val="000000"/>
          <w:kern w:val="0"/>
        </w:rPr>
        <w:lastRenderedPageBreak/>
        <w:t>shipped as runnable tests. A one-page appendix mapping sections to scripts completes it. </w:t>
      </w:r>
    </w:p>
    <w:p w14:paraId="3E4BACFD" w14:textId="77777777" w:rsidR="006306B4" w:rsidRPr="006306B4" w:rsidRDefault="006306B4" w:rsidP="006306B4">
      <w:pPr>
        <w:widowControl/>
        <w:jc w:val="left"/>
        <w:rPr>
          <w:rFonts w:eastAsia="宋体"/>
          <w:color w:val="000000"/>
          <w:kern w:val="0"/>
        </w:rPr>
      </w:pPr>
    </w:p>
    <w:p w14:paraId="78384E22" w14:textId="77777777" w:rsidR="006306B4" w:rsidRPr="006306B4" w:rsidRDefault="006306B4" w:rsidP="006306B4">
      <w:pPr>
        <w:widowControl/>
        <w:jc w:val="left"/>
        <w:rPr>
          <w:rFonts w:eastAsia="宋体"/>
          <w:color w:val="000000"/>
          <w:kern w:val="0"/>
        </w:rPr>
      </w:pPr>
      <w:r w:rsidRPr="006306B4">
        <w:rPr>
          <w:rFonts w:eastAsia="宋体"/>
          <w:b/>
          <w:bCs/>
          <w:color w:val="000000"/>
          <w:kern w:val="0"/>
        </w:rPr>
        <w:t>Specific suggestions for corrections:</w:t>
      </w:r>
    </w:p>
    <w:p w14:paraId="231A6198"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Vasconcelos et al. (1997) is cited in §1.1 but missing from the reference list, so add it, and re-run a cite-to-list check. </w:t>
      </w:r>
    </w:p>
    <w:p w14:paraId="461EC5A2"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The document contains only one true equation object; the remaining display equations are typed as plain text runs, which is why they extract garbled and will degrade on PDF export. PLEASE retype them as proper Word equations and inspect the exported PDF. </w:t>
      </w:r>
    </w:p>
    <w:p w14:paraId="2590A149"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No heading styles are applied, so examiners get no navigation pane and no TOC; applying Heading 1–3 is a ten-minute fix. </w:t>
      </w:r>
    </w:p>
    <w:p w14:paraId="3888214C"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 xml:space="preserve">Appendices A, B, C, F and H are referenced but absent from this file, and D, E, G are never cited. PLEASE ensure the submission bundle contains every referenced appendix plus the response </w:t>
      </w:r>
      <w:proofErr w:type="gramStart"/>
      <w:r w:rsidRPr="006306B4">
        <w:rPr>
          <w:rFonts w:eastAsia="宋体"/>
          <w:color w:val="000000"/>
          <w:kern w:val="0"/>
        </w:rPr>
        <w:t>matrix, and</w:t>
      </w:r>
      <w:proofErr w:type="gramEnd"/>
      <w:r w:rsidRPr="006306B4">
        <w:rPr>
          <w:rFonts w:eastAsia="宋体"/>
          <w:color w:val="000000"/>
          <w:kern w:val="0"/>
        </w:rPr>
        <w:t xml:space="preserve"> reconcile the lettering. </w:t>
      </w:r>
    </w:p>
    <w:p w14:paraId="597227CA"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The abstract qualifier from Question 2 above. </w:t>
      </w:r>
    </w:p>
    <w:p w14:paraId="0B6D5FA8"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 xml:space="preserve">The §2.2.4 invariance-rationale sentence, </w:t>
      </w:r>
      <w:proofErr w:type="spellStart"/>
      <w:r w:rsidRPr="006306B4">
        <w:rPr>
          <w:rFonts w:eastAsia="宋体"/>
          <w:color w:val="000000"/>
          <w:kern w:val="0"/>
        </w:rPr>
        <w:t>itemising</w:t>
      </w:r>
      <w:proofErr w:type="spellEnd"/>
      <w:r w:rsidRPr="006306B4">
        <w:rPr>
          <w:rFonts w:eastAsia="宋体"/>
          <w:color w:val="000000"/>
          <w:kern w:val="0"/>
        </w:rPr>
        <w:t xml:space="preserve"> that σ and the threshold were co-rescaled. </w:t>
      </w:r>
    </w:p>
    <w:p w14:paraId="7DFB5963"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Verify the cross-reference in §3.5.2: "the Fisher analysis of Section 3.2.3" looks like it should point to §3.3.3. </w:t>
      </w:r>
    </w:p>
    <w:p w14:paraId="2EA1355C"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 xml:space="preserve">One sentence acknowledging the field-relevant converse of §3.3.1: correctly modelling </w:t>
      </w:r>
      <w:proofErr w:type="gramStart"/>
      <w:r w:rsidRPr="006306B4">
        <w:rPr>
          <w:rFonts w:eastAsia="宋体"/>
          <w:color w:val="000000"/>
          <w:kern w:val="0"/>
        </w:rPr>
        <w:t>AR(</w:t>
      </w:r>
      <w:proofErr w:type="gramEnd"/>
      <w:r w:rsidRPr="006306B4">
        <w:rPr>
          <w:rFonts w:eastAsia="宋体"/>
          <w:color w:val="000000"/>
          <w:kern w:val="0"/>
        </w:rPr>
        <w:t xml:space="preserve">1) widens intervals, but fitting an </w:t>
      </w:r>
      <w:proofErr w:type="spellStart"/>
      <w:r w:rsidRPr="006306B4">
        <w:rPr>
          <w:rFonts w:eastAsia="宋体"/>
          <w:color w:val="000000"/>
          <w:kern w:val="0"/>
        </w:rPr>
        <w:t>iid</w:t>
      </w:r>
      <w:proofErr w:type="spellEnd"/>
      <w:r w:rsidRPr="006306B4">
        <w:rPr>
          <w:rFonts w:eastAsia="宋体"/>
          <w:color w:val="000000"/>
          <w:kern w:val="0"/>
        </w:rPr>
        <w:t xml:space="preserve"> likelihood to genuinely correlated field data would produce </w:t>
      </w:r>
      <w:proofErr w:type="gramStart"/>
      <w:r w:rsidRPr="006306B4">
        <w:rPr>
          <w:rFonts w:eastAsia="宋体"/>
          <w:color w:val="000000"/>
          <w:kern w:val="0"/>
        </w:rPr>
        <w:t>overconfidence .</w:t>
      </w:r>
      <w:proofErr w:type="gramEnd"/>
      <w:r w:rsidRPr="006306B4">
        <w:rPr>
          <w:rFonts w:eastAsia="宋体"/>
          <w:color w:val="000000"/>
          <w:kern w:val="0"/>
        </w:rPr>
        <w:t> </w:t>
      </w:r>
    </w:p>
    <w:p w14:paraId="7988D0C7" w14:textId="77777777" w:rsidR="006306B4" w:rsidRPr="006306B4" w:rsidRDefault="006306B4" w:rsidP="006306B4">
      <w:pPr>
        <w:widowControl/>
        <w:numPr>
          <w:ilvl w:val="0"/>
          <w:numId w:val="1"/>
        </w:numPr>
        <w:jc w:val="left"/>
        <w:rPr>
          <w:rFonts w:eastAsia="宋体"/>
          <w:color w:val="000000"/>
          <w:kern w:val="0"/>
        </w:rPr>
      </w:pPr>
      <w:r w:rsidRPr="006306B4">
        <w:rPr>
          <w:rFonts w:eastAsia="宋体"/>
          <w:color w:val="000000"/>
          <w:kern w:val="0"/>
        </w:rPr>
        <w:t>A style pass targeting sentence length (§3.1.2's second paragraph especially), which doubles as part of the cut.</w:t>
      </w:r>
    </w:p>
    <w:p w14:paraId="10BE51A4" w14:textId="77777777" w:rsidR="006306B4" w:rsidRPr="006306B4" w:rsidRDefault="006306B4" w:rsidP="006306B4">
      <w:pPr>
        <w:widowControl/>
        <w:jc w:val="left"/>
        <w:rPr>
          <w:rFonts w:eastAsia="宋体"/>
          <w:color w:val="000000"/>
          <w:kern w:val="0"/>
        </w:rPr>
      </w:pPr>
    </w:p>
    <w:p w14:paraId="704EB0E7" w14:textId="77777777" w:rsidR="006306B4" w:rsidRPr="006306B4" w:rsidRDefault="006306B4" w:rsidP="006306B4">
      <w:pPr>
        <w:widowControl/>
        <w:jc w:val="left"/>
        <w:rPr>
          <w:rFonts w:eastAsia="宋体"/>
          <w:color w:val="000000"/>
          <w:kern w:val="0"/>
        </w:rPr>
      </w:pPr>
      <w:r w:rsidRPr="006306B4">
        <w:rPr>
          <w:rFonts w:eastAsia="宋体"/>
          <w:color w:val="000000"/>
          <w:kern w:val="0"/>
        </w:rPr>
        <w:t>Hope this helps</w:t>
      </w:r>
    </w:p>
    <w:p w14:paraId="15E59431" w14:textId="77777777" w:rsidR="006306B4" w:rsidRPr="006306B4" w:rsidRDefault="006306B4" w:rsidP="006306B4">
      <w:pPr>
        <w:widowControl/>
        <w:jc w:val="left"/>
        <w:rPr>
          <w:rFonts w:eastAsia="宋体"/>
          <w:color w:val="000000"/>
          <w:kern w:val="0"/>
        </w:rPr>
      </w:pPr>
    </w:p>
    <w:p w14:paraId="2372E276" w14:textId="77777777" w:rsidR="006306B4" w:rsidRPr="006306B4" w:rsidRDefault="006306B4" w:rsidP="006306B4">
      <w:pPr>
        <w:widowControl/>
        <w:jc w:val="left"/>
        <w:rPr>
          <w:rFonts w:eastAsia="宋体"/>
          <w:color w:val="000000"/>
          <w:kern w:val="0"/>
        </w:rPr>
      </w:pPr>
      <w:r w:rsidRPr="006306B4">
        <w:rPr>
          <w:rFonts w:eastAsia="宋体"/>
          <w:color w:val="000000"/>
          <w:kern w:val="0"/>
        </w:rPr>
        <w:t>Ivan</w:t>
      </w:r>
    </w:p>
    <w:p w14:paraId="56114F74" w14:textId="77777777" w:rsidR="00966446" w:rsidRPr="0084529C" w:rsidRDefault="00966446"/>
    <w:sectPr w:rsidR="00966446" w:rsidRPr="008452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E3069"/>
    <w:multiLevelType w:val="multilevel"/>
    <w:tmpl w:val="C8CC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96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B4"/>
    <w:rsid w:val="00445BE9"/>
    <w:rsid w:val="006306B4"/>
    <w:rsid w:val="008429EA"/>
    <w:rsid w:val="0084529C"/>
    <w:rsid w:val="00901AF7"/>
    <w:rsid w:val="00966446"/>
    <w:rsid w:val="00F67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C6A9C9"/>
  <w15:chartTrackingRefBased/>
  <w15:docId w15:val="{391DC255-B4B7-A74D-A938-32BAD89A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00C"/>
    <w:pPr>
      <w:widowControl w:val="0"/>
      <w:spacing w:after="0" w:line="240" w:lineRule="auto"/>
      <w:jc w:val="both"/>
    </w:pPr>
    <w:rPr>
      <w:rFonts w:ascii="Times New Roman" w:eastAsia="Times New Roman" w:hAnsi="Times New Roman" w:cs="Times New Roman"/>
      <w:sz w:val="24"/>
      <w14:ligatures w14:val="none"/>
    </w:rPr>
  </w:style>
  <w:style w:type="paragraph" w:styleId="1">
    <w:name w:val="heading 1"/>
    <w:basedOn w:val="a"/>
    <w:next w:val="a"/>
    <w:link w:val="10"/>
    <w:uiPriority w:val="9"/>
    <w:qFormat/>
    <w:rsid w:val="006306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06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06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06B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306B4"/>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6306B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306B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306B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306B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级标题"/>
    <w:basedOn w:val="a"/>
    <w:autoRedefine/>
    <w:qFormat/>
    <w:rsid w:val="00F6700C"/>
    <w:pPr>
      <w:tabs>
        <w:tab w:val="left" w:pos="240"/>
      </w:tabs>
      <w:adjustRightInd w:val="0"/>
      <w:snapToGrid w:val="0"/>
      <w:spacing w:before="480" w:after="360"/>
      <w:outlineLvl w:val="0"/>
    </w:pPr>
    <w:rPr>
      <w:b/>
      <w:sz w:val="32"/>
    </w:rPr>
  </w:style>
  <w:style w:type="paragraph" w:customStyle="1" w:styleId="21">
    <w:name w:val="2级标题"/>
    <w:basedOn w:val="a"/>
    <w:autoRedefine/>
    <w:qFormat/>
    <w:rsid w:val="00F6700C"/>
    <w:pPr>
      <w:tabs>
        <w:tab w:val="left" w:pos="240"/>
      </w:tabs>
      <w:adjustRightInd w:val="0"/>
      <w:snapToGrid w:val="0"/>
      <w:spacing w:before="480" w:after="360"/>
      <w:outlineLvl w:val="1"/>
    </w:pPr>
    <w:rPr>
      <w:b/>
      <w:bCs/>
      <w:sz w:val="28"/>
      <w:szCs w:val="28"/>
    </w:rPr>
  </w:style>
  <w:style w:type="paragraph" w:customStyle="1" w:styleId="31">
    <w:name w:val="3级标题"/>
    <w:basedOn w:val="a"/>
    <w:autoRedefine/>
    <w:qFormat/>
    <w:rsid w:val="00F6700C"/>
    <w:pPr>
      <w:tabs>
        <w:tab w:val="left" w:pos="709"/>
      </w:tabs>
      <w:adjustRightInd w:val="0"/>
      <w:snapToGrid w:val="0"/>
      <w:spacing w:before="480" w:after="360"/>
      <w:outlineLvl w:val="2"/>
    </w:pPr>
    <w:rPr>
      <w:b/>
      <w:bCs/>
      <w:sz w:val="26"/>
      <w:szCs w:val="26"/>
    </w:rPr>
  </w:style>
  <w:style w:type="paragraph" w:customStyle="1" w:styleId="a3">
    <w:name w:val="图表标题"/>
    <w:basedOn w:val="a"/>
    <w:autoRedefine/>
    <w:qFormat/>
    <w:rsid w:val="00F6700C"/>
    <w:pPr>
      <w:spacing w:line="320" w:lineRule="exact"/>
      <w:jc w:val="center"/>
    </w:pPr>
    <w:rPr>
      <w:szCs w:val="21"/>
    </w:rPr>
  </w:style>
  <w:style w:type="paragraph" w:customStyle="1" w:styleId="a4">
    <w:name w:val="参考文献"/>
    <w:basedOn w:val="a"/>
    <w:autoRedefine/>
    <w:qFormat/>
    <w:rsid w:val="00F6700C"/>
    <w:pPr>
      <w:adjustRightInd w:val="0"/>
      <w:spacing w:line="360" w:lineRule="exact"/>
    </w:pPr>
    <w:rPr>
      <w:rFonts w:cs="宋体"/>
      <w:sz w:val="22"/>
      <w:szCs w:val="22"/>
    </w:rPr>
  </w:style>
  <w:style w:type="character" w:customStyle="1" w:styleId="-">
    <w:name w:val="封面-论文英文题目"/>
    <w:qFormat/>
    <w:rsid w:val="00F6700C"/>
    <w:rPr>
      <w:rFonts w:ascii="Times New Roman" w:eastAsia="Times New Roman" w:hAnsi="Times New Roman"/>
      <w:b/>
      <w:sz w:val="36"/>
    </w:rPr>
  </w:style>
  <w:style w:type="character" w:customStyle="1" w:styleId="10">
    <w:name w:val="标题 1 字符"/>
    <w:basedOn w:val="a0"/>
    <w:link w:val="1"/>
    <w:uiPriority w:val="9"/>
    <w:rsid w:val="006306B4"/>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6306B4"/>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6306B4"/>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6306B4"/>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6306B4"/>
    <w:rPr>
      <w:rFonts w:cstheme="majorBidi"/>
      <w:color w:val="0F4761" w:themeColor="accent1" w:themeShade="BF"/>
      <w:sz w:val="24"/>
      <w14:ligatures w14:val="none"/>
    </w:rPr>
  </w:style>
  <w:style w:type="character" w:customStyle="1" w:styleId="60">
    <w:name w:val="标题 6 字符"/>
    <w:basedOn w:val="a0"/>
    <w:link w:val="6"/>
    <w:uiPriority w:val="9"/>
    <w:semiHidden/>
    <w:rsid w:val="006306B4"/>
    <w:rPr>
      <w:rFonts w:cstheme="majorBidi"/>
      <w:b/>
      <w:bCs/>
      <w:color w:val="0F4761" w:themeColor="accent1" w:themeShade="BF"/>
      <w:sz w:val="24"/>
      <w14:ligatures w14:val="none"/>
    </w:rPr>
  </w:style>
  <w:style w:type="character" w:customStyle="1" w:styleId="70">
    <w:name w:val="标题 7 字符"/>
    <w:basedOn w:val="a0"/>
    <w:link w:val="7"/>
    <w:uiPriority w:val="9"/>
    <w:semiHidden/>
    <w:rsid w:val="006306B4"/>
    <w:rPr>
      <w:rFonts w:cstheme="majorBidi"/>
      <w:b/>
      <w:bCs/>
      <w:color w:val="595959" w:themeColor="text1" w:themeTint="A6"/>
      <w:sz w:val="24"/>
      <w14:ligatures w14:val="none"/>
    </w:rPr>
  </w:style>
  <w:style w:type="character" w:customStyle="1" w:styleId="80">
    <w:name w:val="标题 8 字符"/>
    <w:basedOn w:val="a0"/>
    <w:link w:val="8"/>
    <w:uiPriority w:val="9"/>
    <w:semiHidden/>
    <w:rsid w:val="006306B4"/>
    <w:rPr>
      <w:rFonts w:cstheme="majorBidi"/>
      <w:color w:val="595959" w:themeColor="text1" w:themeTint="A6"/>
      <w:sz w:val="24"/>
      <w14:ligatures w14:val="none"/>
    </w:rPr>
  </w:style>
  <w:style w:type="character" w:customStyle="1" w:styleId="90">
    <w:name w:val="标题 9 字符"/>
    <w:basedOn w:val="a0"/>
    <w:link w:val="9"/>
    <w:uiPriority w:val="9"/>
    <w:semiHidden/>
    <w:rsid w:val="006306B4"/>
    <w:rPr>
      <w:rFonts w:eastAsiaTheme="majorEastAsia" w:cstheme="majorBidi"/>
      <w:color w:val="595959" w:themeColor="text1" w:themeTint="A6"/>
      <w:sz w:val="24"/>
      <w14:ligatures w14:val="none"/>
    </w:rPr>
  </w:style>
  <w:style w:type="paragraph" w:styleId="a5">
    <w:name w:val="Title"/>
    <w:basedOn w:val="a"/>
    <w:next w:val="a"/>
    <w:link w:val="a6"/>
    <w:uiPriority w:val="10"/>
    <w:qFormat/>
    <w:rsid w:val="006306B4"/>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6306B4"/>
    <w:rPr>
      <w:rFonts w:asciiTheme="majorHAnsi" w:eastAsiaTheme="majorEastAsia" w:hAnsiTheme="majorHAnsi" w:cstheme="majorBidi"/>
      <w:spacing w:val="-10"/>
      <w:kern w:val="28"/>
      <w:sz w:val="56"/>
      <w:szCs w:val="56"/>
      <w14:ligatures w14:val="none"/>
    </w:rPr>
  </w:style>
  <w:style w:type="paragraph" w:styleId="a7">
    <w:name w:val="Subtitle"/>
    <w:basedOn w:val="a"/>
    <w:next w:val="a"/>
    <w:link w:val="a8"/>
    <w:uiPriority w:val="11"/>
    <w:qFormat/>
    <w:rsid w:val="006306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6306B4"/>
    <w:rPr>
      <w:rFonts w:asciiTheme="majorHAnsi" w:eastAsiaTheme="majorEastAsia" w:hAnsiTheme="majorHAnsi" w:cstheme="majorBidi"/>
      <w:color w:val="595959" w:themeColor="text1" w:themeTint="A6"/>
      <w:spacing w:val="15"/>
      <w:sz w:val="28"/>
      <w:szCs w:val="28"/>
      <w14:ligatures w14:val="none"/>
    </w:rPr>
  </w:style>
  <w:style w:type="paragraph" w:styleId="a9">
    <w:name w:val="Quote"/>
    <w:basedOn w:val="a"/>
    <w:next w:val="a"/>
    <w:link w:val="aa"/>
    <w:uiPriority w:val="29"/>
    <w:qFormat/>
    <w:rsid w:val="006306B4"/>
    <w:pPr>
      <w:spacing w:before="160" w:after="160"/>
      <w:jc w:val="center"/>
    </w:pPr>
    <w:rPr>
      <w:i/>
      <w:iCs/>
      <w:color w:val="404040" w:themeColor="text1" w:themeTint="BF"/>
    </w:rPr>
  </w:style>
  <w:style w:type="character" w:customStyle="1" w:styleId="aa">
    <w:name w:val="引用 字符"/>
    <w:basedOn w:val="a0"/>
    <w:link w:val="a9"/>
    <w:uiPriority w:val="29"/>
    <w:rsid w:val="006306B4"/>
    <w:rPr>
      <w:rFonts w:ascii="Times New Roman" w:eastAsia="Times New Roman" w:hAnsi="Times New Roman" w:cs="Times New Roman"/>
      <w:i/>
      <w:iCs/>
      <w:color w:val="404040" w:themeColor="text1" w:themeTint="BF"/>
      <w:sz w:val="24"/>
      <w14:ligatures w14:val="none"/>
    </w:rPr>
  </w:style>
  <w:style w:type="paragraph" w:styleId="ab">
    <w:name w:val="List Paragraph"/>
    <w:basedOn w:val="a"/>
    <w:uiPriority w:val="34"/>
    <w:qFormat/>
    <w:rsid w:val="006306B4"/>
    <w:pPr>
      <w:ind w:left="720"/>
      <w:contextualSpacing/>
    </w:pPr>
  </w:style>
  <w:style w:type="character" w:styleId="ac">
    <w:name w:val="Intense Emphasis"/>
    <w:basedOn w:val="a0"/>
    <w:uiPriority w:val="21"/>
    <w:qFormat/>
    <w:rsid w:val="006306B4"/>
    <w:rPr>
      <w:i/>
      <w:iCs/>
      <w:color w:val="0F4761" w:themeColor="accent1" w:themeShade="BF"/>
    </w:rPr>
  </w:style>
  <w:style w:type="paragraph" w:styleId="ad">
    <w:name w:val="Intense Quote"/>
    <w:basedOn w:val="a"/>
    <w:next w:val="a"/>
    <w:link w:val="ae"/>
    <w:uiPriority w:val="30"/>
    <w:qFormat/>
    <w:rsid w:val="00630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6306B4"/>
    <w:rPr>
      <w:rFonts w:ascii="Times New Roman" w:eastAsia="Times New Roman" w:hAnsi="Times New Roman" w:cs="Times New Roman"/>
      <w:i/>
      <w:iCs/>
      <w:color w:val="0F4761" w:themeColor="accent1" w:themeShade="BF"/>
      <w:sz w:val="24"/>
      <w14:ligatures w14:val="none"/>
    </w:rPr>
  </w:style>
  <w:style w:type="character" w:styleId="af">
    <w:name w:val="Intense Reference"/>
    <w:basedOn w:val="a0"/>
    <w:uiPriority w:val="32"/>
    <w:qFormat/>
    <w:rsid w:val="00630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299263">
      <w:bodyDiv w:val="1"/>
      <w:marLeft w:val="0"/>
      <w:marRight w:val="0"/>
      <w:marTop w:val="0"/>
      <w:marBottom w:val="0"/>
      <w:divBdr>
        <w:top w:val="none" w:sz="0" w:space="0" w:color="auto"/>
        <w:left w:val="none" w:sz="0" w:space="0" w:color="auto"/>
        <w:bottom w:val="none" w:sz="0" w:space="0" w:color="auto"/>
        <w:right w:val="none" w:sz="0" w:space="0" w:color="auto"/>
      </w:divBdr>
      <w:divsChild>
        <w:div w:id="1544977487">
          <w:marLeft w:val="0"/>
          <w:marRight w:val="0"/>
          <w:marTop w:val="0"/>
          <w:marBottom w:val="0"/>
          <w:divBdr>
            <w:top w:val="none" w:sz="0" w:space="0" w:color="auto"/>
            <w:left w:val="none" w:sz="0" w:space="0" w:color="auto"/>
            <w:bottom w:val="none" w:sz="0" w:space="0" w:color="auto"/>
            <w:right w:val="none" w:sz="0" w:space="0" w:color="auto"/>
          </w:divBdr>
        </w:div>
        <w:div w:id="229657407">
          <w:marLeft w:val="0"/>
          <w:marRight w:val="0"/>
          <w:marTop w:val="0"/>
          <w:marBottom w:val="0"/>
          <w:divBdr>
            <w:top w:val="none" w:sz="0" w:space="0" w:color="auto"/>
            <w:left w:val="none" w:sz="0" w:space="0" w:color="auto"/>
            <w:bottom w:val="none" w:sz="0" w:space="0" w:color="auto"/>
            <w:right w:val="none" w:sz="0" w:space="0" w:color="auto"/>
          </w:divBdr>
        </w:div>
        <w:div w:id="1100105583">
          <w:marLeft w:val="0"/>
          <w:marRight w:val="0"/>
          <w:marTop w:val="0"/>
          <w:marBottom w:val="0"/>
          <w:divBdr>
            <w:top w:val="none" w:sz="0" w:space="0" w:color="auto"/>
            <w:left w:val="none" w:sz="0" w:space="0" w:color="auto"/>
            <w:bottom w:val="none" w:sz="0" w:space="0" w:color="auto"/>
            <w:right w:val="none" w:sz="0" w:space="0" w:color="auto"/>
          </w:divBdr>
        </w:div>
        <w:div w:id="37316278">
          <w:marLeft w:val="0"/>
          <w:marRight w:val="0"/>
          <w:marTop w:val="0"/>
          <w:marBottom w:val="0"/>
          <w:divBdr>
            <w:top w:val="none" w:sz="0" w:space="0" w:color="auto"/>
            <w:left w:val="none" w:sz="0" w:space="0" w:color="auto"/>
            <w:bottom w:val="none" w:sz="0" w:space="0" w:color="auto"/>
            <w:right w:val="none" w:sz="0" w:space="0" w:color="auto"/>
          </w:divBdr>
        </w:div>
        <w:div w:id="1779838681">
          <w:marLeft w:val="0"/>
          <w:marRight w:val="0"/>
          <w:marTop w:val="0"/>
          <w:marBottom w:val="0"/>
          <w:divBdr>
            <w:top w:val="none" w:sz="0" w:space="0" w:color="auto"/>
            <w:left w:val="none" w:sz="0" w:space="0" w:color="auto"/>
            <w:bottom w:val="none" w:sz="0" w:space="0" w:color="auto"/>
            <w:right w:val="none" w:sz="0" w:space="0" w:color="auto"/>
          </w:divBdr>
        </w:div>
        <w:div w:id="1413233306">
          <w:marLeft w:val="0"/>
          <w:marRight w:val="0"/>
          <w:marTop w:val="0"/>
          <w:marBottom w:val="0"/>
          <w:divBdr>
            <w:top w:val="none" w:sz="0" w:space="0" w:color="auto"/>
            <w:left w:val="none" w:sz="0" w:space="0" w:color="auto"/>
            <w:bottom w:val="none" w:sz="0" w:space="0" w:color="auto"/>
            <w:right w:val="none" w:sz="0" w:space="0" w:color="auto"/>
          </w:divBdr>
        </w:div>
        <w:div w:id="1344092503">
          <w:marLeft w:val="0"/>
          <w:marRight w:val="0"/>
          <w:marTop w:val="0"/>
          <w:marBottom w:val="0"/>
          <w:divBdr>
            <w:top w:val="none" w:sz="0" w:space="0" w:color="auto"/>
            <w:left w:val="none" w:sz="0" w:space="0" w:color="auto"/>
            <w:bottom w:val="none" w:sz="0" w:space="0" w:color="auto"/>
            <w:right w:val="none" w:sz="0" w:space="0" w:color="auto"/>
          </w:divBdr>
        </w:div>
        <w:div w:id="1563712335">
          <w:marLeft w:val="0"/>
          <w:marRight w:val="0"/>
          <w:marTop w:val="0"/>
          <w:marBottom w:val="0"/>
          <w:divBdr>
            <w:top w:val="none" w:sz="0" w:space="0" w:color="auto"/>
            <w:left w:val="none" w:sz="0" w:space="0" w:color="auto"/>
            <w:bottom w:val="none" w:sz="0" w:space="0" w:color="auto"/>
            <w:right w:val="none" w:sz="0" w:space="0" w:color="auto"/>
          </w:divBdr>
        </w:div>
        <w:div w:id="439223429">
          <w:marLeft w:val="0"/>
          <w:marRight w:val="0"/>
          <w:marTop w:val="0"/>
          <w:marBottom w:val="0"/>
          <w:divBdr>
            <w:top w:val="none" w:sz="0" w:space="0" w:color="auto"/>
            <w:left w:val="none" w:sz="0" w:space="0" w:color="auto"/>
            <w:bottom w:val="none" w:sz="0" w:space="0" w:color="auto"/>
            <w:right w:val="none" w:sz="0" w:space="0" w:color="auto"/>
          </w:divBdr>
        </w:div>
        <w:div w:id="1806855139">
          <w:marLeft w:val="0"/>
          <w:marRight w:val="0"/>
          <w:marTop w:val="0"/>
          <w:marBottom w:val="0"/>
          <w:divBdr>
            <w:top w:val="none" w:sz="0" w:space="0" w:color="auto"/>
            <w:left w:val="none" w:sz="0" w:space="0" w:color="auto"/>
            <w:bottom w:val="none" w:sz="0" w:space="0" w:color="auto"/>
            <w:right w:val="none" w:sz="0" w:space="0" w:color="auto"/>
          </w:divBdr>
        </w:div>
        <w:div w:id="395669003">
          <w:marLeft w:val="0"/>
          <w:marRight w:val="0"/>
          <w:marTop w:val="0"/>
          <w:marBottom w:val="0"/>
          <w:divBdr>
            <w:top w:val="none" w:sz="0" w:space="0" w:color="auto"/>
            <w:left w:val="none" w:sz="0" w:space="0" w:color="auto"/>
            <w:bottom w:val="none" w:sz="0" w:space="0" w:color="auto"/>
            <w:right w:val="none" w:sz="0" w:space="0" w:color="auto"/>
          </w:divBdr>
        </w:div>
        <w:div w:id="1430389297">
          <w:marLeft w:val="0"/>
          <w:marRight w:val="0"/>
          <w:marTop w:val="0"/>
          <w:marBottom w:val="0"/>
          <w:divBdr>
            <w:top w:val="none" w:sz="0" w:space="0" w:color="auto"/>
            <w:left w:val="none" w:sz="0" w:space="0" w:color="auto"/>
            <w:bottom w:val="none" w:sz="0" w:space="0" w:color="auto"/>
            <w:right w:val="none" w:sz="0" w:space="0" w:color="auto"/>
          </w:divBdr>
        </w:div>
        <w:div w:id="657852004">
          <w:marLeft w:val="0"/>
          <w:marRight w:val="0"/>
          <w:marTop w:val="0"/>
          <w:marBottom w:val="0"/>
          <w:divBdr>
            <w:top w:val="none" w:sz="0" w:space="0" w:color="auto"/>
            <w:left w:val="none" w:sz="0" w:space="0" w:color="auto"/>
            <w:bottom w:val="none" w:sz="0" w:space="0" w:color="auto"/>
            <w:right w:val="none" w:sz="0" w:space="0" w:color="auto"/>
          </w:divBdr>
        </w:div>
        <w:div w:id="837691553">
          <w:marLeft w:val="0"/>
          <w:marRight w:val="0"/>
          <w:marTop w:val="0"/>
          <w:marBottom w:val="0"/>
          <w:divBdr>
            <w:top w:val="none" w:sz="0" w:space="0" w:color="auto"/>
            <w:left w:val="none" w:sz="0" w:space="0" w:color="auto"/>
            <w:bottom w:val="none" w:sz="0" w:space="0" w:color="auto"/>
            <w:right w:val="none" w:sz="0" w:space="0" w:color="auto"/>
          </w:divBdr>
        </w:div>
        <w:div w:id="1196429925">
          <w:marLeft w:val="0"/>
          <w:marRight w:val="0"/>
          <w:marTop w:val="0"/>
          <w:marBottom w:val="0"/>
          <w:divBdr>
            <w:top w:val="none" w:sz="0" w:space="0" w:color="auto"/>
            <w:left w:val="none" w:sz="0" w:space="0" w:color="auto"/>
            <w:bottom w:val="none" w:sz="0" w:space="0" w:color="auto"/>
            <w:right w:val="none" w:sz="0" w:space="0" w:color="auto"/>
          </w:divBdr>
        </w:div>
        <w:div w:id="993949002">
          <w:marLeft w:val="0"/>
          <w:marRight w:val="0"/>
          <w:marTop w:val="0"/>
          <w:marBottom w:val="0"/>
          <w:divBdr>
            <w:top w:val="none" w:sz="0" w:space="0" w:color="auto"/>
            <w:left w:val="none" w:sz="0" w:space="0" w:color="auto"/>
            <w:bottom w:val="none" w:sz="0" w:space="0" w:color="auto"/>
            <w:right w:val="none" w:sz="0" w:space="0" w:color="auto"/>
          </w:divBdr>
        </w:div>
        <w:div w:id="1225144180">
          <w:marLeft w:val="0"/>
          <w:marRight w:val="0"/>
          <w:marTop w:val="0"/>
          <w:marBottom w:val="0"/>
          <w:divBdr>
            <w:top w:val="none" w:sz="0" w:space="0" w:color="auto"/>
            <w:left w:val="none" w:sz="0" w:space="0" w:color="auto"/>
            <w:bottom w:val="none" w:sz="0" w:space="0" w:color="auto"/>
            <w:right w:val="none" w:sz="0" w:space="0" w:color="auto"/>
          </w:divBdr>
        </w:div>
        <w:div w:id="1948922293">
          <w:marLeft w:val="0"/>
          <w:marRight w:val="0"/>
          <w:marTop w:val="0"/>
          <w:marBottom w:val="0"/>
          <w:divBdr>
            <w:top w:val="none" w:sz="0" w:space="0" w:color="auto"/>
            <w:left w:val="none" w:sz="0" w:space="0" w:color="auto"/>
            <w:bottom w:val="none" w:sz="0" w:space="0" w:color="auto"/>
            <w:right w:val="none" w:sz="0" w:space="0" w:color="auto"/>
          </w:divBdr>
        </w:div>
        <w:div w:id="1935047376">
          <w:marLeft w:val="0"/>
          <w:marRight w:val="0"/>
          <w:marTop w:val="0"/>
          <w:marBottom w:val="0"/>
          <w:divBdr>
            <w:top w:val="none" w:sz="0" w:space="0" w:color="auto"/>
            <w:left w:val="none" w:sz="0" w:space="0" w:color="auto"/>
            <w:bottom w:val="none" w:sz="0" w:space="0" w:color="auto"/>
            <w:right w:val="none" w:sz="0" w:space="0" w:color="auto"/>
          </w:divBdr>
        </w:div>
        <w:div w:id="522596293">
          <w:marLeft w:val="0"/>
          <w:marRight w:val="0"/>
          <w:marTop w:val="0"/>
          <w:marBottom w:val="0"/>
          <w:divBdr>
            <w:top w:val="none" w:sz="0" w:space="0" w:color="auto"/>
            <w:left w:val="none" w:sz="0" w:space="0" w:color="auto"/>
            <w:bottom w:val="none" w:sz="0" w:space="0" w:color="auto"/>
            <w:right w:val="none" w:sz="0" w:space="0" w:color="auto"/>
          </w:divBdr>
        </w:div>
        <w:div w:id="922032516">
          <w:marLeft w:val="0"/>
          <w:marRight w:val="0"/>
          <w:marTop w:val="0"/>
          <w:marBottom w:val="0"/>
          <w:divBdr>
            <w:top w:val="none" w:sz="0" w:space="0" w:color="auto"/>
            <w:left w:val="none" w:sz="0" w:space="0" w:color="auto"/>
            <w:bottom w:val="none" w:sz="0" w:space="0" w:color="auto"/>
            <w:right w:val="none" w:sz="0" w:space="0" w:color="auto"/>
          </w:divBdr>
        </w:div>
        <w:div w:id="1785805922">
          <w:marLeft w:val="0"/>
          <w:marRight w:val="0"/>
          <w:marTop w:val="0"/>
          <w:marBottom w:val="0"/>
          <w:divBdr>
            <w:top w:val="none" w:sz="0" w:space="0" w:color="auto"/>
            <w:left w:val="none" w:sz="0" w:space="0" w:color="auto"/>
            <w:bottom w:val="none" w:sz="0" w:space="0" w:color="auto"/>
            <w:right w:val="none" w:sz="0" w:space="0" w:color="auto"/>
          </w:divBdr>
        </w:div>
        <w:div w:id="683364158">
          <w:marLeft w:val="0"/>
          <w:marRight w:val="0"/>
          <w:marTop w:val="0"/>
          <w:marBottom w:val="0"/>
          <w:divBdr>
            <w:top w:val="none" w:sz="0" w:space="0" w:color="auto"/>
            <w:left w:val="none" w:sz="0" w:space="0" w:color="auto"/>
            <w:bottom w:val="none" w:sz="0" w:space="0" w:color="auto"/>
            <w:right w:val="none" w:sz="0" w:space="0" w:color="auto"/>
          </w:divBdr>
        </w:div>
        <w:div w:id="295919589">
          <w:marLeft w:val="0"/>
          <w:marRight w:val="0"/>
          <w:marTop w:val="0"/>
          <w:marBottom w:val="0"/>
          <w:divBdr>
            <w:top w:val="none" w:sz="0" w:space="0" w:color="auto"/>
            <w:left w:val="none" w:sz="0" w:space="0" w:color="auto"/>
            <w:bottom w:val="none" w:sz="0" w:space="0" w:color="auto"/>
            <w:right w:val="none" w:sz="0" w:space="0" w:color="auto"/>
          </w:divBdr>
        </w:div>
        <w:div w:id="2045789289">
          <w:marLeft w:val="0"/>
          <w:marRight w:val="0"/>
          <w:marTop w:val="0"/>
          <w:marBottom w:val="0"/>
          <w:divBdr>
            <w:top w:val="none" w:sz="0" w:space="0" w:color="auto"/>
            <w:left w:val="none" w:sz="0" w:space="0" w:color="auto"/>
            <w:bottom w:val="none" w:sz="0" w:space="0" w:color="auto"/>
            <w:right w:val="none" w:sz="0" w:space="0" w:color="auto"/>
          </w:divBdr>
        </w:div>
        <w:div w:id="162400787">
          <w:marLeft w:val="0"/>
          <w:marRight w:val="0"/>
          <w:marTop w:val="0"/>
          <w:marBottom w:val="0"/>
          <w:divBdr>
            <w:top w:val="none" w:sz="0" w:space="0" w:color="auto"/>
            <w:left w:val="none" w:sz="0" w:space="0" w:color="auto"/>
            <w:bottom w:val="none" w:sz="0" w:space="0" w:color="auto"/>
            <w:right w:val="none" w:sz="0" w:space="0" w:color="auto"/>
          </w:divBdr>
        </w:div>
        <w:div w:id="222060039">
          <w:marLeft w:val="0"/>
          <w:marRight w:val="0"/>
          <w:marTop w:val="0"/>
          <w:marBottom w:val="0"/>
          <w:divBdr>
            <w:top w:val="none" w:sz="0" w:space="0" w:color="auto"/>
            <w:left w:val="none" w:sz="0" w:space="0" w:color="auto"/>
            <w:bottom w:val="none" w:sz="0" w:space="0" w:color="auto"/>
            <w:right w:val="none" w:sz="0" w:space="0" w:color="auto"/>
          </w:divBdr>
        </w:div>
        <w:div w:id="1132139058">
          <w:marLeft w:val="0"/>
          <w:marRight w:val="0"/>
          <w:marTop w:val="0"/>
          <w:marBottom w:val="0"/>
          <w:divBdr>
            <w:top w:val="none" w:sz="0" w:space="0" w:color="auto"/>
            <w:left w:val="none" w:sz="0" w:space="0" w:color="auto"/>
            <w:bottom w:val="none" w:sz="0" w:space="0" w:color="auto"/>
            <w:right w:val="none" w:sz="0" w:space="0" w:color="auto"/>
          </w:divBdr>
        </w:div>
        <w:div w:id="583996732">
          <w:marLeft w:val="0"/>
          <w:marRight w:val="0"/>
          <w:marTop w:val="0"/>
          <w:marBottom w:val="0"/>
          <w:divBdr>
            <w:top w:val="none" w:sz="0" w:space="0" w:color="auto"/>
            <w:left w:val="none" w:sz="0" w:space="0" w:color="auto"/>
            <w:bottom w:val="none" w:sz="0" w:space="0" w:color="auto"/>
            <w:right w:val="none" w:sz="0" w:space="0" w:color="auto"/>
          </w:divBdr>
        </w:div>
        <w:div w:id="746801268">
          <w:marLeft w:val="0"/>
          <w:marRight w:val="0"/>
          <w:marTop w:val="0"/>
          <w:marBottom w:val="0"/>
          <w:divBdr>
            <w:top w:val="none" w:sz="0" w:space="0" w:color="auto"/>
            <w:left w:val="none" w:sz="0" w:space="0" w:color="auto"/>
            <w:bottom w:val="none" w:sz="0" w:space="0" w:color="auto"/>
            <w:right w:val="none" w:sz="0" w:space="0" w:color="auto"/>
          </w:divBdr>
        </w:div>
        <w:div w:id="591400835">
          <w:marLeft w:val="0"/>
          <w:marRight w:val="0"/>
          <w:marTop w:val="0"/>
          <w:marBottom w:val="0"/>
          <w:divBdr>
            <w:top w:val="none" w:sz="0" w:space="0" w:color="auto"/>
            <w:left w:val="none" w:sz="0" w:space="0" w:color="auto"/>
            <w:bottom w:val="none" w:sz="0" w:space="0" w:color="auto"/>
            <w:right w:val="none" w:sz="0" w:space="0" w:color="auto"/>
          </w:divBdr>
        </w:div>
        <w:div w:id="775712774">
          <w:marLeft w:val="0"/>
          <w:marRight w:val="0"/>
          <w:marTop w:val="0"/>
          <w:marBottom w:val="0"/>
          <w:divBdr>
            <w:top w:val="none" w:sz="0" w:space="0" w:color="auto"/>
            <w:left w:val="none" w:sz="0" w:space="0" w:color="auto"/>
            <w:bottom w:val="none" w:sz="0" w:space="0" w:color="auto"/>
            <w:right w:val="none" w:sz="0" w:space="0" w:color="auto"/>
          </w:divBdr>
        </w:div>
        <w:div w:id="1133904133">
          <w:marLeft w:val="0"/>
          <w:marRight w:val="0"/>
          <w:marTop w:val="0"/>
          <w:marBottom w:val="0"/>
          <w:divBdr>
            <w:top w:val="none" w:sz="0" w:space="0" w:color="auto"/>
            <w:left w:val="none" w:sz="0" w:space="0" w:color="auto"/>
            <w:bottom w:val="none" w:sz="0" w:space="0" w:color="auto"/>
            <w:right w:val="none" w:sz="0" w:space="0" w:color="auto"/>
          </w:divBdr>
        </w:div>
        <w:div w:id="930745574">
          <w:marLeft w:val="0"/>
          <w:marRight w:val="0"/>
          <w:marTop w:val="0"/>
          <w:marBottom w:val="0"/>
          <w:divBdr>
            <w:top w:val="none" w:sz="0" w:space="0" w:color="auto"/>
            <w:left w:val="none" w:sz="0" w:space="0" w:color="auto"/>
            <w:bottom w:val="none" w:sz="0" w:space="0" w:color="auto"/>
            <w:right w:val="none" w:sz="0" w:space="0" w:color="auto"/>
          </w:divBdr>
        </w:div>
        <w:div w:id="1851795262">
          <w:marLeft w:val="0"/>
          <w:marRight w:val="0"/>
          <w:marTop w:val="0"/>
          <w:marBottom w:val="0"/>
          <w:divBdr>
            <w:top w:val="none" w:sz="0" w:space="0" w:color="auto"/>
            <w:left w:val="none" w:sz="0" w:space="0" w:color="auto"/>
            <w:bottom w:val="none" w:sz="0" w:space="0" w:color="auto"/>
            <w:right w:val="none" w:sz="0" w:space="0" w:color="auto"/>
          </w:divBdr>
        </w:div>
        <w:div w:id="44961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1130</Words>
  <Characters>6444</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Ruixin</dc:creator>
  <cp:keywords/>
  <dc:description/>
  <cp:lastModifiedBy>Peng, Ruixin</cp:lastModifiedBy>
  <cp:revision>2</cp:revision>
  <dcterms:created xsi:type="dcterms:W3CDTF">2026-08-10T11:05:00Z</dcterms:created>
  <dcterms:modified xsi:type="dcterms:W3CDTF">2026-08-10T11:07:00Z</dcterms:modified>
</cp:coreProperties>
</file>