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Those groups are usually fitted by global search, with genetic and</w:t>
      </w:r>
      <w:r>
        <w:t xml:space="preserve"> </w:t>
      </w:r>
      <w:r>
        <w:t xml:space="preserve">particle-swarm algorithms minimising concentration misfit</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which returns a point estimate rather than a statement about how</w:t>
      </w:r>
      <w:r>
        <w:t xml:space="preserve"> </w:t>
      </w:r>
      <w:r>
        <w:t xml:space="preserve">well the data constrain it.</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w:t>
      </w:r>
      <w:r>
        <w:t xml:space="preserve"> </w:t>
      </w:r>
      <w:r>
        <w:t xml:space="preserve">reduce the effective information in monitored series, and readings at a reporting boundary are</w:t>
      </w:r>
      <w:r>
        <w:t xml:space="preserve"> </w:t>
      </w:r>
      <w:r>
        <w:t xml:space="preserve">censored rather than exact. Systematic offsets or drift bias the inferred parameters while remaining hard to diagnose from</w:t>
      </w:r>
      <w:r>
        <w:t xml:space="preserve"> </w:t>
      </w:r>
      <w:r>
        <w:t xml:space="preserve">fit quality, and online free-chlorine sensors degrade in exactly that way</w:t>
      </w:r>
      <w:r>
        <w:t xml:space="preserve"> </w:t>
      </w:r>
      <w:r>
        <w:t xml:space="preserve">(Hutton</w:t>
      </w:r>
      <w:r>
        <w:t xml:space="preserve"> </w:t>
      </w:r>
      <w:r>
        <w:rPr>
          <w:i/>
          <w:iCs/>
        </w:rPr>
        <w:t xml:space="preserve">et al.</w:t>
      </w:r>
      <w:r>
        <w:t xml:space="preserve">, 2014; 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 between pipes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inferred coefficients represent the underlying</w:t>
      </w:r>
      <w:r>
        <w:t xml:space="preserve"> </w:t>
      </w:r>
      <w:r>
        <w:t xml:space="preserve">reaction process.</w:t>
      </w:r>
    </w:p>
    <w:p>
      <w:pPr>
        <w:pStyle w:val="BodyText"/>
      </w:pPr>
      <w:r>
        <w:t xml:space="preserve">Uncertainty here has been approached by assimilating observations in real time, updating states</w:t>
      </w:r>
      <w:r>
        <w:t xml:space="preserve"> </w:t>
      </w:r>
      <w:r>
        <w:t xml:space="preserve">and parameters together</w:t>
      </w:r>
      <w:r>
        <w:t xml:space="preserve"> </w:t>
      </w:r>
      <w:r>
        <w:t xml:space="preserve">(Hutton</w:t>
      </w:r>
      <w:r>
        <w:t xml:space="preserve"> </w:t>
      </w:r>
      <w:r>
        <w:rPr>
          <w:i/>
          <w:iCs/>
        </w:rPr>
        <w:t xml:space="preserve">et al.</w:t>
      </w:r>
      <w:r>
        <w:t xml:space="preserve">, 2014; Rajakumar</w:t>
      </w:r>
      <w:r>
        <w:t xml:space="preserve"> </w:t>
      </w:r>
      <w:r>
        <w:rPr>
          <w:i/>
          <w:iCs/>
        </w:rPr>
        <w:t xml:space="preserve">et al.</w:t>
      </w:r>
      <w:r>
        <w:t xml:space="preserve">, 2019)</w:t>
      </w:r>
      <w:r>
        <w:t xml:space="preserve">, by treating</w:t>
      </w:r>
      <w:r>
        <w:t xml:space="preserve"> </w:t>
      </w:r>
      <w:r>
        <w:t xml:space="preserve">input error explicitly in water-quality calibration</w:t>
      </w:r>
      <w:r>
        <w:t xml:space="preserve"> </w:t>
      </w:r>
      <w:r>
        <w:t xml:space="preserve">(Wu, Marshall &amp; Sharma, 2022)</w:t>
      </w:r>
      <w:r>
        <w:t xml:space="preserve">, and by formal Bayesian</w:t>
      </w:r>
      <w:r>
        <w:t xml:space="preserve"> </w:t>
      </w:r>
      <w:r>
        <w:t xml:space="preserve">inference on disinfectant decay parameters</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and against the limiting case without</w:t>
      </w:r>
      <w:r>
        <w:t xml:space="preserve"> </w:t>
      </w:r>
      <w:r>
        <w:t xml:space="preserve">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the coefficient does not</w:t>
      </w:r>
      <w:r>
        <w:t xml:space="preserve"> </w:t>
      </w:r>
      <w:r>
        <w:t xml:space="preserve">set the level on its own. The two average-zone monitors differ by nearly a factor of two, and</w:t>
      </w:r>
      <w:r>
        <w:t xml:space="preserve"> </w:t>
      </w:r>
      <w:r>
        <w:t xml:space="preserve">node 231 sits only 0.019 mg L</w:t>
      </w:r>
      <w:r>
        <w:rPr>
          <w:vertAlign w:val="superscript"/>
        </w:rPr>
        <w:t xml:space="preserve">-1</w:t>
      </w:r>
      <w:r>
        <w:t xml:space="preserve"> </w:t>
      </w:r>
      <w:r>
        <w:t xml:space="preserve">above the highest old-zone monitor, because hydraulic residence</w:t>
      </w:r>
      <w:r>
        <w:t xml:space="preserve"> </w:t>
      </w:r>
      <w:r>
        <w:t xml:space="preserve">and network position also modulate the accumulated decay. In the deterministic noise-free reference trajectory, 21 of the 92 junctions cross below the</w:t>
      </w:r>
      <w:r>
        <w:t xml:space="preserve"> </w:t>
      </w:r>
      <w:r>
        <w:t xml:space="preserve">0.2 mg L</w:t>
      </w:r>
      <w:r>
        <w:rPr>
          <w:vertAlign w:val="superscript"/>
        </w:rPr>
        <w:t xml:space="preserve">-1</w:t>
      </w:r>
      <w:r>
        <w:t xml:space="preserve"> </w:t>
      </w:r>
      <w:r>
        <w:t xml:space="preserve">threshold at least once in the window. That is a property of the truth,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54" w:name="references"/>
    <w:p>
      <w:pPr>
        <w:pStyle w:val="Heading1"/>
      </w:pPr>
      <w:r>
        <w:t xml:space="preserve">References</w:t>
      </w:r>
    </w:p>
    <w:bookmarkStart w:id="153" w:name="refs"/>
    <w:bookmarkStart w:id="104"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3">
        <w:r>
          <w:rPr>
            <w:rStyle w:val="Hyperlink"/>
          </w:rPr>
          <w:t xml:space="preserve">10.3390/engproc2024069144</w:t>
        </w:r>
      </w:hyperlink>
      <w:r>
        <w:t xml:space="preserve">.</w:t>
      </w:r>
    </w:p>
    <w:bookmarkEnd w:id="104"/>
    <w:bookmarkStart w:id="106"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5">
        <w:r>
          <w:rPr>
            <w:rStyle w:val="Hyperlink"/>
          </w:rPr>
          <w:t xml:space="preserve">10.1002/hyp.3360060305</w:t>
        </w:r>
      </w:hyperlink>
      <w:r>
        <w:t xml:space="preserve">.</w:t>
      </w:r>
    </w:p>
    <w:bookmarkEnd w:id="106"/>
    <w:bookmarkStart w:id="108"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7">
        <w:r>
          <w:rPr>
            <w:rStyle w:val="Hyperlink"/>
          </w:rPr>
          <w:t xml:space="preserve">10.1002/hyp.10082</w:t>
        </w:r>
      </w:hyperlink>
      <w:r>
        <w:t xml:space="preserve">.</w:t>
      </w:r>
    </w:p>
    <w:bookmarkEnd w:id="108"/>
    <w:bookmarkStart w:id="110"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9">
        <w:r>
          <w:rPr>
            <w:rStyle w:val="Hyperlink"/>
          </w:rPr>
          <w:t xml:space="preserve">10.1029/2000WR900350</w:t>
        </w:r>
      </w:hyperlink>
      <w:r>
        <w:t xml:space="preserve">.</w:t>
      </w:r>
    </w:p>
    <w:bookmarkEnd w:id="110"/>
    <w:bookmarkStart w:id="112"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1">
        <w:r>
          <w:rPr>
            <w:rStyle w:val="Hyperlink"/>
          </w:rPr>
          <w:t xml:space="preserve">10.3390/pr11030676</w:t>
        </w:r>
      </w:hyperlink>
      <w:r>
        <w:t xml:space="preserve">.</w:t>
      </w:r>
    </w:p>
    <w:bookmarkEnd w:id="112"/>
    <w:bookmarkStart w:id="114"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3">
        <w:r>
          <w:rPr>
            <w:rStyle w:val="Hyperlink"/>
          </w:rPr>
          <w:t xml:space="preserve">10.1016/S0043-1354(02)00056-8</w:t>
        </w:r>
      </w:hyperlink>
      <w:r>
        <w:t xml:space="preserve">.</w:t>
      </w:r>
    </w:p>
    <w:bookmarkEnd w:id="114"/>
    <w:bookmarkStart w:id="116"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5">
        <w:r>
          <w:rPr>
            <w:rStyle w:val="Hyperlink"/>
          </w:rPr>
          <w:t xml:space="preserve">10.1016/S0043-1354(98)00519-3</w:t>
        </w:r>
      </w:hyperlink>
      <w:r>
        <w:t xml:space="preserve">.</w:t>
      </w:r>
    </w:p>
    <w:bookmarkEnd w:id="116"/>
    <w:bookmarkStart w:id="118"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7">
        <w:r>
          <w:rPr>
            <w:rStyle w:val="Hyperlink"/>
          </w:rPr>
          <w:t xml:space="preserve">10.1061/(ASCE)WR.1943-5452.0000325</w:t>
        </w:r>
      </w:hyperlink>
      <w:r>
        <w:t xml:space="preserve">.</w:t>
      </w:r>
    </w:p>
    <w:bookmarkEnd w:id="118"/>
    <w:bookmarkStart w:id="120"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19">
        <w:r>
          <w:rPr>
            <w:rStyle w:val="Hyperlink"/>
          </w:rPr>
          <w:t xml:space="preserve">10.15131/shef.data.29921225</w:t>
        </w:r>
      </w:hyperlink>
      <w:r>
        <w:t xml:space="preserve">.</w:t>
      </w:r>
    </w:p>
    <w:bookmarkEnd w:id="120"/>
    <w:bookmarkStart w:id="122"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1">
        <w:r>
          <w:rPr>
            <w:rStyle w:val="Hyperlink"/>
          </w:rPr>
          <w:t xml:space="preserve">10.1016/j.envsoft.2017.06.022</w:t>
        </w:r>
      </w:hyperlink>
      <w:r>
        <w:t xml:space="preserve">.</w:t>
      </w:r>
    </w:p>
    <w:bookmarkEnd w:id="122"/>
    <w:bookmarkStart w:id="124"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3">
        <w:r>
          <w:rPr>
            <w:rStyle w:val="Hyperlink"/>
          </w:rPr>
          <w:t xml:space="preserve">10.1016/j.jhydrol.2006.04.046</w:t>
        </w:r>
      </w:hyperlink>
      <w:r>
        <w:t xml:space="preserve">.</w:t>
      </w:r>
    </w:p>
    <w:bookmarkEnd w:id="124"/>
    <w:bookmarkStart w:id="126"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5">
        <w:r>
          <w:rPr>
            <w:rStyle w:val="Hyperlink"/>
          </w:rPr>
          <w:t xml:space="preserve">10.1061/(ASCE)0733-9496(2003)129:2(124)</w:t>
        </w:r>
      </w:hyperlink>
      <w:r>
        <w:t xml:space="preserve">.</w:t>
      </w:r>
    </w:p>
    <w:bookmarkEnd w:id="126"/>
    <w:bookmarkStart w:id="128"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7">
        <w:r>
          <w:rPr>
            <w:rStyle w:val="Hyperlink"/>
          </w:rPr>
          <w:t xml:space="preserve">10.1016/j.proeng.2014.02.135</w:t>
        </w:r>
      </w:hyperlink>
      <w:r>
        <w:t xml:space="preserve">.</w:t>
      </w:r>
    </w:p>
    <w:bookmarkEnd w:id="128"/>
    <w:bookmarkStart w:id="130"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29">
        <w:r>
          <w:rPr>
            <w:rStyle w:val="Hyperlink"/>
          </w:rPr>
          <w:t xml:space="preserve">10.1006/jcom.1998.0487</w:t>
        </w:r>
      </w:hyperlink>
      <w:r>
        <w:t xml:space="preserve">.</w:t>
      </w:r>
    </w:p>
    <w:bookmarkEnd w:id="130"/>
    <w:bookmarkStart w:id="132"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1">
        <w:r>
          <w:rPr>
            <w:rStyle w:val="Hyperlink"/>
          </w:rPr>
          <w:t xml:space="preserve">10.1016/j.mex.2019.03.008</w:t>
        </w:r>
      </w:hyperlink>
      <w:r>
        <w:t xml:space="preserve">.</w:t>
      </w:r>
    </w:p>
    <w:bookmarkEnd w:id="132"/>
    <w:bookmarkStart w:id="134"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3">
        <w:r>
          <w:rPr>
            <w:rStyle w:val="Hyperlink"/>
          </w:rPr>
          <w:t xml:space="preserve">10.1016/S0043-1354(99)00097-4</w:t>
        </w:r>
      </w:hyperlink>
      <w:r>
        <w:t xml:space="preserve">.</w:t>
      </w:r>
    </w:p>
    <w:bookmarkEnd w:id="134"/>
    <w:bookmarkStart w:id="136"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5">
        <w:r>
          <w:rPr>
            <w:rStyle w:val="Hyperlink"/>
          </w:rPr>
          <w:t xml:space="preserve">10.1061/(ASCE)WR.1943-5452.0001118</w:t>
        </w:r>
      </w:hyperlink>
      <w:r>
        <w:t xml:space="preserve">.</w:t>
      </w:r>
    </w:p>
    <w:bookmarkEnd w:id="136"/>
    <w:bookmarkStart w:id="138"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7">
        <w:r>
          <w:rPr>
            <w:rStyle w:val="Hyperlink"/>
          </w:rPr>
          <w:t xml:space="preserve">10.1093/bioinformatics/btp358</w:t>
        </w:r>
      </w:hyperlink>
      <w:r>
        <w:t xml:space="preserve">.</w:t>
      </w:r>
    </w:p>
    <w:bookmarkEnd w:id="138"/>
    <w:bookmarkStart w:id="139"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9"/>
    <w:bookmarkStart w:id="141"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0">
        <w:r>
          <w:rPr>
            <w:rStyle w:val="Hyperlink"/>
          </w:rPr>
          <w:t xml:space="preserve">10.1061/(ASCE)0733-9372(1994)120:4(803)</w:t>
        </w:r>
      </w:hyperlink>
      <w:r>
        <w:t xml:space="preserve">.</w:t>
      </w:r>
    </w:p>
    <w:bookmarkEnd w:id="141"/>
    <w:bookmarkStart w:id="142"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2"/>
    <w:bookmarkStart w:id="144"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3">
        <w:r>
          <w:rPr>
            <w:rStyle w:val="Hyperlink"/>
          </w:rPr>
          <w:t xml:space="preserve">10.1016/0041-5553(67)90144-9</w:t>
        </w:r>
      </w:hyperlink>
      <w:r>
        <w:t xml:space="preserve">.</w:t>
      </w:r>
    </w:p>
    <w:bookmarkEnd w:id="144"/>
    <w:bookmarkStart w:id="146"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5">
        <w:r>
          <w:rPr>
            <w:rStyle w:val="Hyperlink"/>
          </w:rPr>
          <w:t xml:space="preserve">10.1029/2008WR006822</w:t>
        </w:r>
      </w:hyperlink>
      <w:r>
        <w:t xml:space="preserve">.</w:t>
      </w:r>
    </w:p>
    <w:bookmarkEnd w:id="146"/>
    <w:bookmarkStart w:id="148"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7">
        <w:r>
          <w:rPr>
            <w:rStyle w:val="Hyperlink"/>
          </w:rPr>
          <w:t xml:space="preserve">10.1002/j.1551-8833.1997.tb08259.x</w:t>
        </w:r>
      </w:hyperlink>
      <w:r>
        <w:t xml:space="preserve">.</w:t>
      </w:r>
    </w:p>
    <w:bookmarkEnd w:id="148"/>
    <w:bookmarkStart w:id="150"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49">
        <w:r>
          <w:rPr>
            <w:rStyle w:val="Hyperlink"/>
          </w:rPr>
          <w:t xml:space="preserve">https://usepa.github.io/WNTR/units.html</w:t>
        </w:r>
      </w:hyperlink>
      <w:r>
        <w:t xml:space="preserve"> </w:t>
      </w:r>
      <w:r>
        <w:t xml:space="preserve">(Accessed: August 11, 2026).</w:t>
      </w:r>
    </w:p>
    <w:bookmarkEnd w:id="150"/>
    <w:bookmarkStart w:id="152"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1">
        <w:r>
          <w:rPr>
            <w:rStyle w:val="Hyperlink"/>
          </w:rPr>
          <w:t xml:space="preserve">10.5194/hess-26-1203-2022</w:t>
        </w:r>
      </w:hyperlink>
      <w:r>
        <w:t xml:space="preserve">.</w:t>
      </w:r>
    </w:p>
    <w:bookmarkEnd w:id="152"/>
    <w:bookmarkEnd w:id="153"/>
    <w:bookmarkEnd w:id="154"/>
    <w:bookmarkStart w:id="164"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5"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5"/>
    <w:bookmarkStart w:id="156"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56"/>
    <w:bookmarkStart w:id="157"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57"/>
    <w:bookmarkStart w:id="158"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58"/>
    <w:bookmarkStart w:id="159"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59"/>
    <w:bookmarkStart w:id="160"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0"/>
    <w:bookmarkStart w:id="161"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1"/>
    <w:bookmarkStart w:id="162"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2"/>
    <w:bookmarkStart w:id="163"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3"/>
    <w:bookmarkEnd w:id="164"/>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2026-08-11T23:16:49Z</dcterms:created>
  <dcterms:modified xsi:type="dcterms:W3CDTF">2026-08-11T23:16:49Z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