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The formal rule contracted all three coefficients to 25–31% of their prior standard deviation,</w:t>
      </w:r>
      <w:r>
        <w:t xml:space="preserve"> </w:t>
      </w:r>
      <w:r>
        <w:t xml:space="preserve">whereas the informal score at its original 0.120 mg L</w:t>
      </w:r>
      <w:r>
        <w:rPr>
          <w:vertAlign w:val="superscript"/>
        </w:rPr>
        <w:t xml:space="preserve">-1</w:t>
      </w:r>
      <w:r>
        <w:t xml:space="preserve"> </w:t>
      </w:r>
      <w:r>
        <w:t xml:space="preserve">behavioural threshold retained 86–98%. Both rules used the same 294 observations, so the difference is produced by the weighting alone.</w:t>
      </w:r>
      <w:r>
        <w:t xml:space="preserve"> </w:t>
      </w:r>
      <w:r>
        <w:t xml:space="preserve">Recalibration over 100 noise realisations gave estimator spreads 1.04 to 1.12 times the</w:t>
      </w:r>
      <w:r>
        <w:t xml:space="preserve"> </w:t>
      </w:r>
      <w:r>
        <w:t xml:space="preserve">Cramér–Rao bound. Systematic sensor error, bulk-decay misspecification and length-structured</w:t>
      </w:r>
      <w:r>
        <w:t xml:space="preserve"> </w:t>
      </w:r>
      <w:r>
        <w:t xml:space="preserve">heterogeneity displaced coefficients by up to six posterior standard deviations while aggregate</w:t>
      </w:r>
      <w:r>
        <w:t xml:space="preserve"> </w:t>
      </w:r>
      <w:r>
        <w:t xml:space="preserve">fit remained at the noise floor. Yet a withheld zone’s coefficient could revert entirely to its</w:t>
      </w:r>
      <w:r>
        <w:t xml:space="preserve"> </w:t>
      </w:r>
      <w:r>
        <w:t xml:space="preserve">prior with held-out prediction unchanged, and displacements of several standard deviations</w:t>
      </w:r>
      <w:r>
        <w:t xml:space="preserve"> </w:t>
      </w:r>
      <w:r>
        <w:t xml:space="preserve">largely preserved whole-network rank order, with Spearman rank correlation of 0.93 to 0.98 under bulk-decay misspecification, 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and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and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and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w:t>
      </w:r>
    </w:p>
    <w:p>
      <w:pPr>
        <w:pStyle w:val="BodyText"/>
      </w:pPr>
      <w:r>
        <w:t xml:space="preserve">No single diagnostic suffices, and the reasons differ. A posterior mean close to the truth may</w:t>
      </w:r>
      <w:r>
        <w:t xml:space="preserve"> </w:t>
      </w:r>
      <w:r>
        <w:t xml:space="preserve">simply reflect favourable prior placement. A narrow posterior may instead reflect a restrictive</w:t>
      </w:r>
      <w:r>
        <w:t xml:space="preserve"> </w:t>
      </w:r>
      <w:r>
        <w:t xml:space="preserve">prior or a misspecified likelihood, and so does not establish physical correctness. And good</w:t>
      </w:r>
      <w:r>
        <w:t xml:space="preserve"> </w:t>
      </w:r>
      <w:r>
        <w:t xml:space="preserve">prediction establishes neither, when the predicted concentration is only weakly sensitive to the</w:t>
      </w:r>
      <w:r>
        <w:t xml:space="preserve"> </w:t>
      </w:r>
      <w:r>
        <w:t xml:space="preserve">parameter concerned.</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and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and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 separating limitations of the data</w:t>
      </w:r>
      <w:r>
        <w:t xml:space="preserve"> </w:t>
      </w:r>
      <w:r>
        <w:t xml:space="preserve">from effects of the weighting rule.</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on the inverse problem in different ways, so their effects need to be distinguished, separating loss of precision from displacement of the estimate, and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by itself establish that the parameter governing a</w:t>
      </w:r>
      <w:r>
        <w:t xml:space="preserve"> </w:t>
      </w:r>
      <w:r>
        <w:t xml:space="preserve">physical process has been identified, and a high whole-network rank correlation cannot establish</w:t>
      </w:r>
      <w:r>
        <w:t xml:space="preserve"> </w:t>
      </w:r>
      <w:r>
        <w:t xml:space="preserve">that a small hot-spot set is unchanged. A controlled experiment with a known truth tests</w:t>
      </w:r>
      <w:r>
        <w:t xml:space="preserve"> </w:t>
      </w:r>
      <w:r>
        <w:t xml:space="preserve">directly when these diagnostics agree and when they diverge.</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six monitors are used; and no field observations enter the analysis. The temperature,</w:t>
      </w:r>
      <w:r>
        <w:t xml:space="preserve"> </w:t>
      </w:r>
      <w:r>
        <w:t xml:space="preserve">ageing and dosing analyses are calibration-conditioned stress tests under stated assumptions,</w:t>
      </w:r>
      <w:r>
        <w:t xml:space="preserve"> </w:t>
      </w:r>
      <w:r>
        <w:t xml:space="preserve">not forecasts of field behaviour.</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held fixed across all experiments</w:t>
      </w:r>
      <w:r>
        <w:t xml:space="preserve"> </w:t>
      </w:r>
      <w:r>
        <w:t xml:space="preserve">except where a later section states otherwise. Prior standard deviations are those of the uniform</w:t>
      </w:r>
      <w:r>
        <w:t xml:space="preserve"> </w:t>
      </w:r>
      <w:r>
        <w:t xml:space="preserve">priors and are used throughout as the reference against which posterior contraction is expressed.</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and recirculation make the chlorine field approach its repeating diurnal</w:t>
      </w:r>
      <w:r>
        <w:t xml:space="preserve"> </w:t>
      </w:r>
      <w:r>
        <w:t xml:space="preserve">behaviour only gradually, the warm-up was assessed by an explicit cyclostationarity test rather</w:t>
      </w:r>
      <w:r>
        <w:t xml:space="preserve"> </w:t>
      </w:r>
      <w:r>
        <w:t xml:space="preserve">than chosen by convention. Demands and pump operation are 24 h periodic, so each 24 h cycle was</w:t>
      </w:r>
      <w:r>
        <w:t xml:space="preserve"> </w:t>
      </w:r>
      <w:r>
        <w:t xml:space="preserve">compared directly with its successor.</w:t>
      </w:r>
    </w:p>
    <w:p>
      <w:pPr>
        <w:pStyle w:val="BodyText"/>
      </w:pPr>
      <w:r>
        <w:t xml:space="preserve">Six quantitative diagnostics were evaluated, each with a tolerance declared in advance: the</w:t>
      </w:r>
      <w:r>
        <w:t xml:space="preserve"> </w:t>
      </w:r>
      <w:r>
        <w:t xml:space="preserve">maximum absolute cycle-to-cycle chlorine difference across the six monitors (0.005 mg L</w:t>
      </w:r>
      <w:r>
        <w:rPr>
          <w:vertAlign w:val="superscript"/>
        </w:rPr>
        <w:t xml:space="preserve">-1</w:t>
      </w:r>
      <w:r>
        <w:t xml:space="preserve">);</w:t>
      </w:r>
      <w:r>
        <w:t xml:space="preserve"> </w:t>
      </w:r>
      <w:r>
        <w:t xml:space="preserve">the 95th percentile across junctions of their maximum absolute chlorine difference (0.01 mg</w:t>
      </w:r>
      <w:r>
        <w:t xml:space="preserve"> </w:t>
      </w:r>
      <w:r>
        <w:t xml:space="preserve">L</w:t>
      </w:r>
      <w:r>
        <w:rPr>
          <w:vertAlign w:val="superscript"/>
        </w:rPr>
        <w:t xml:space="preserve">-1</w:t>
      </w:r>
      <w:r>
        <w:t xml:space="preserve">); the maximum tank-chlorine difference (0.01 mg L</w:t>
      </w:r>
      <w:r>
        <w:rPr>
          <w:vertAlign w:val="superscript"/>
        </w:rPr>
        <w:t xml:space="preserve">-1</w:t>
      </w:r>
      <w:r>
        <w:t xml:space="preserve">); the maximum tank-level difference</w:t>
      </w:r>
      <w:r>
        <w:t xml:space="preserve"> </w:t>
      </w:r>
      <w:r>
        <w:t xml:space="preserve">(0.05 m); the 95th percentile of the junction water-age difference (1 h); and the relative</w:t>
      </w:r>
      <w:r>
        <w:t xml:space="preserve"> </w:t>
      </w:r>
      <w:r>
        <w:t xml:space="preserve">change in the network-mean cumulative chlorine deficit (2%). Identity of the ten highest-deficit</w:t>
      </w:r>
      <w:r>
        <w:t xml:space="preserve"> </w:t>
      </w:r>
      <w:r>
        <w:t xml:space="preserve">junctions between successive cycles was recorded as an additional ranking diagnostic. The</w:t>
      </w:r>
      <w:r>
        <w:t xml:space="preserve"> </w:t>
      </w:r>
      <w:r>
        <w:t xml:space="preserve">chlorine and deficit diagnostics were evaluated at the synthetic truth and at the weak- and</w:t>
      </w:r>
      <w:r>
        <w:t xml:space="preserve"> </w:t>
      </w:r>
      <w:r>
        <w:t xml:space="preserve">strong-reactivity corners of the prior box; water age was evaluated once, since it does not</w:t>
      </w:r>
      <w:r>
        <w:t xml:space="preserve"> </w:t>
      </w:r>
      <w:r>
        <w:t xml:space="preserve">depend on the reaction coefficients.</w:t>
      </w:r>
    </w:p>
    <w:p>
      <w:pPr>
        <w:pStyle w:val="BodyText"/>
      </w:pPr>
      <w:r>
        <w:t xml:space="preserve">The pre-defined rule required every diagnostic to pass, and no cycle pair satisfied it within</w:t>
      </w:r>
      <w:r>
        <w:t xml:space="preserve"> </w:t>
      </w:r>
      <w:r>
        <w:t xml:space="preserve">the 168 h model horizon. Because the inverse analyses depend directly on the chlorine field, a</w:t>
      </w:r>
      <w:r>
        <w:t xml:space="preserve"> </w:t>
      </w:r>
      <w:r>
        <w:t xml:space="preserve">pragmatic 120 h warm-up was adopted instead, as the earliest point at which all three</w:t>
      </w:r>
      <w:r>
        <w:t xml:space="preserve"> </w:t>
      </w:r>
      <w:r>
        <w:t xml:space="preserve">chlorine-concentration diagnostics were satisfied across the tested parameter sets. The</w:t>
      </w:r>
      <w:r>
        <w:t xml:space="preserve"> </w:t>
      </w:r>
      <w:r>
        <w:t xml:space="preserve">assessment window is therefore 120–168 h, comprising 49 hourly reporting points and 48 one-hour</w:t>
      </w:r>
      <w:r>
        <w:t xml:space="preserve"> </w:t>
      </w:r>
      <w:r>
        <w:t xml:space="preserve">intervals. Which diagnostics remain unmet under this finite horizon, and what that bounds, is</w:t>
      </w:r>
      <w:r>
        <w:t xml:space="preserve"> </w:t>
      </w:r>
      <w:r>
        <w:t xml:space="preserve">reported in Section 3.1.2 rather than treated here as evidence of full periodic convergence.</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The Net3 input file is frozen and hash-checked and the computational</w:t>
      </w:r>
      <w:r>
        <w:t xml:space="preserve"> </w:t>
      </w:r>
      <w:r>
        <w:t xml:space="preserve">environment is pinned.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all three prior midpoints were moved by one prior standard</w:t>
      </w:r>
      <w:r>
        <w:t xml:space="preserve"> </w:t>
      </w:r>
      <w:r>
        <w:t xml:space="preserve">deviation towards stronger decay. In the OLDUP design only the old-zone prior changed direction,</w:t>
      </w:r>
      <w:r>
        <w:t xml:space="preserve"> </w:t>
      </w:r>
      <w:r>
        <w:t xml:space="preserve">towards weaker decay, while the average and new priors kept their DOWN positions; OLDUP is</w:t>
      </w:r>
      <w:r>
        <w:t xml:space="preserve"> </w:t>
      </w:r>
      <w:r>
        <w:t xml:space="preserve">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w:t>
      </w:r>
      <w:r>
        <w:t xml:space="preserve"> </w:t>
      </w:r>
      <w:r>
        <w:t xml:space="preserve">non-positive decay domain, reduced its realised midpoint displacement to about 0.92 prior</w:t>
      </w:r>
      <w:r>
        <w:t xml:space="preserve"> </w:t>
      </w:r>
      <w:r>
        <w:t xml:space="preserve">standard deviations.</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A priori local identifiability was assessed from the sensitivity Jacobian of the 294 monitored</w:t>
      </w:r>
      <w:r>
        <w:t xml:space="preserve"> </w:t>
      </w:r>
      <w:r>
        <w:t xml:space="preserve">values with respect to the parameters. 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The Jacobian was evaluated at the synthetic truth using coefficient-specific central finite</w:t>
      </w:r>
      <w:r>
        <w:t xml:space="preserve"> </w:t>
      </w:r>
      <w:r>
        <w:t xml:space="preserve">differences, with the stability of the resulting bounds checked over several step sizes. This</w:t>
      </w:r>
      <w:r>
        <w:t xml:space="preserve"> </w:t>
      </w:r>
      <w:r>
        <w:t xml:space="preserve">calculation assumes independent Gaussian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serves as a local information benchmark rather than as a</w:t>
      </w:r>
      <w:r>
        <w:t xml:space="preserve"> </w:t>
      </w:r>
      <w:r>
        <w:t xml:space="preserve">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cases B and C the nuisance parameters were</w:t>
      </w:r>
      <w:r>
        <w:t xml:space="preserve"> </w:t>
      </w:r>
      <w:r>
        <w:t xml:space="preserve">marginalised by the Schur complement,</w:t>
      </w:r>
      <w:r>
        <w:t xml:space="preserve"> </w:t>
      </w:r>
      <m:oMath>
        <m:sSub>
          <m:e>
            <m:r>
              <m:rPr>
                <m:sty m:val="bi"/>
              </m:rPr>
              <m:t>F</m:t>
            </m:r>
          </m:e>
          <m:sub>
            <m:r>
              <m:rPr>
                <m:sty m:val="p"/>
              </m:rPr>
              <m:t>m</m:t>
            </m:r>
            <m:r>
              <m:rPr>
                <m:sty m:val="p"/>
              </m:rPr>
              <m:t>a</m:t>
            </m:r>
            <m:r>
              <m:rPr>
                <m:sty m:val="p"/>
              </m:rPr>
              <m:t>r</m:t>
            </m:r>
            <m:r>
              <m:rPr>
                <m:sty m:val="p"/>
              </m:rPr>
              <m:t>g</m:t>
            </m:r>
          </m:sub>
        </m:sSub>
        <m:r>
          <m:rPr>
            <m:sty m:val="p"/>
          </m:rPr>
          <m:t>=</m:t>
        </m:r>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with pseudo-inversion where required.</w:t>
      </w:r>
      <w:r>
        <w:t xml:space="preserve"> </w:t>
      </w:r>
      <w:r>
        <w:t xml:space="preserve">Marginal Cramér–Rao standard deviations were normalised by the corresponding prior standard</w:t>
      </w:r>
      <w:r>
        <w:t xml:space="preserve"> </w:t>
      </w:r>
      <w:r>
        <w:t xml:space="preserve">deviation, and a ratio below one was adopted as the diagnostic criterion for local practical</w:t>
      </w:r>
      <w:r>
        <w:t xml:space="preserve"> </w:t>
      </w:r>
      <w:r>
        <w:t xml:space="preserve">identifiability. This is a study-specific benchmark relative to the chosen prior scale, not a</w:t>
      </w:r>
      <w:r>
        <w:t xml:space="preserve"> </w:t>
      </w:r>
      <w:r>
        <w:t xml:space="preserve">universal identifiability threshold.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of</w:t>
      </w:r>
      <w:r>
        <w:t xml:space="preserve"> </w:t>
      </w:r>
      <w:r>
        <w:t xml:space="preserve">±0.025, ±0.05 and ±0.10 mg L</w:t>
      </w:r>
      <w:r>
        <w:rPr>
          <w:vertAlign w:val="superscript"/>
        </w:rPr>
        <w:t xml:space="preserve">-1</w:t>
      </w:r>
      <w:r>
        <w:t xml:space="preserve"> </w:t>
      </w:r>
      <w:r>
        <w:t xml:space="preserve">were first applied at old-zone monitor 15, then offsets of</w:t>
      </w:r>
      <w:r>
        <w:t xml:space="preserve"> </w:t>
      </w:r>
      <w:r>
        <w:t xml:space="preserve">−0.10, −0.05, +0.05 and +0.10 mg L</w:t>
      </w:r>
      <w:r>
        <w:rPr>
          <w:vertAlign w:val="superscript"/>
        </w:rPr>
        <w:t xml:space="preserve">-1</w:t>
      </w:r>
      <w:r>
        <w:t xml:space="preserve"> </w:t>
      </w:r>
      <w:r>
        <w:t xml:space="preserve">were applied separately at each of the six monitors,</w:t>
      </w:r>
      <w:r>
        <w:t xml:space="preserve"> </w:t>
      </w:r>
      <w:r>
        <w:t xml:space="preserve">giving 24 arms. Each used 30 noise realisations, and candidate predictions were unchanged</w:t>
      </w:r>
      <w:r>
        <w:t xml:space="preserve"> </w:t>
      </w:r>
      <w:r>
        <w:t xml:space="preserve">because only the observations are perturbed.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120–168 h window, with</w:t>
      </w:r>
      <w:r>
        <w:t xml:space="preserve"> </w:t>
      </w:r>
      <m:oMath>
        <m:r>
          <m:t>D</m:t>
        </m:r>
        <m:r>
          <m:rPr>
            <m:sty m:val="p"/>
          </m:rPr>
          <m:t>=</m:t>
        </m:r>
        <m:r>
          <m:rPr>
            <m:sty m:val="p"/>
          </m:rPr>
          <m:t>±</m:t>
        </m:r>
        <m:r>
          <m:t>0.05</m:t>
        </m:r>
      </m:oMath>
      <w:r>
        <w:t xml:space="preserve"> </w:t>
      </w:r>
      <w:r>
        <w:t xml:space="preserve">and</w:t>
      </w:r>
      <w:r>
        <w:t xml:space="preserve"> </w:t>
      </w:r>
      <m:oMath>
        <m:r>
          <m:rPr>
            <m:sty m:val="p"/>
          </m:rPr>
          <m:t>±</m:t>
        </m:r>
        <m:r>
          <m:t>0.10</m:t>
        </m:r>
      </m:oMath>
      <w:r>
        <w:t xml:space="preserve"> </w:t>
      </w:r>
      <w:r>
        <w:t xml:space="preserve">mg L</w:t>
      </w:r>
      <w:r>
        <w:rPr>
          <w:vertAlign w:val="superscript"/>
        </w:rPr>
        <w:t xml:space="preserve">-1</w:t>
      </w:r>
      <w:r>
        <w:t xml:space="preserve">, so the sensor is correct at the</w:t>
      </w:r>
      <w:r>
        <w:t xml:space="preserve"> </w:t>
      </w:r>
      <w:r>
        <w:t xml:space="preserve">start and off by</w:t>
      </w:r>
      <w:r>
        <w:t xml:space="preserve"> </w:t>
      </w:r>
      <m:oMath>
        <m:r>
          <m:t>D</m:t>
        </m:r>
      </m:oMath>
      <w:r>
        <w:t xml:space="preserve"> </w:t>
      </w:r>
      <w:r>
        <w:t xml:space="preserve">at the end. Each ramp was paired, under identical noise, with two</w:t>
      </w:r>
      <w:r>
        <w:t xml:space="preserve"> </w:t>
      </w:r>
      <w:r>
        <w:t xml:space="preserve">constant-offset controls:</w:t>
      </w:r>
      <w:r>
        <w:t xml:space="preserve"> </w:t>
      </w:r>
      <m:oMath>
        <m:r>
          <m:t>b</m:t>
        </m:r>
        <m:r>
          <m:rPr>
            <m:sty m:val="p"/>
          </m:rPr>
          <m:t>=</m:t>
        </m:r>
        <m:r>
          <m:t>D</m:t>
        </m:r>
        <m:r>
          <m:rPr>
            <m:sty m:val="p"/>
          </m:rPr>
          <m:t>/</m:t>
        </m:r>
        <m:r>
          <m:t>2</m:t>
        </m:r>
      </m:oMath>
      <w:r>
        <w:t xml:space="preserve">, its mean offset, and</w:t>
      </w:r>
      <w:r>
        <w:t xml:space="preserve"> </w:t>
      </w:r>
      <m:oMath>
        <m:r>
          <m:t>b</m:t>
        </m:r>
        <m:r>
          <m:rPr>
            <m:sty m:val="p"/>
          </m:rPr>
          <m:t>=</m:t>
        </m:r>
        <m:r>
          <m:t>D</m:t>
        </m:r>
      </m:oMath>
      <w:r>
        <w:t xml:space="preserve">, its endpoint offset. This</w:t>
      </w:r>
      <w:r>
        <w:t xml:space="preserve"> </w:t>
      </w:r>
      <w:r>
        <w:t xml:space="preserve">separates the effect of the drift’s temporal shape from that of its mean magnitude.</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Four quantities are reported because they answer different questions. The raw bias of the fitted</w:t>
      </w:r>
      <w:r>
        <w:t xml:space="preserve"> </w:t>
      </w:r>
      <w:r>
        <w:t xml:space="preserve">coefficient is</w:t>
      </w:r>
      <w:r>
        <w:t xml:space="preserve"> </w:t>
      </w:r>
      <m:oMath>
        <m:r>
          <m:rPr>
            <m:sty m:val="p"/>
          </m:rPr>
          <m:t>Δ</m:t>
        </m:r>
        <m:sSub>
          <m:e>
            <m:r>
              <m:t>k</m:t>
            </m:r>
          </m:e>
          <m:sub>
            <m:r>
              <m:rPr>
                <m:sty m:val="p"/>
              </m:rPr>
              <m:t>r</m:t>
            </m:r>
            <m:r>
              <m:rPr>
                <m:sty m:val="p"/>
              </m:rPr>
              <m:t>a</m:t>
            </m:r>
            <m:r>
              <m:rPr>
                <m:sty m:val="p"/>
              </m:rPr>
              <m:t>w</m:t>
            </m:r>
          </m:sub>
        </m:sSub>
        <m:r>
          <m:rPr>
            <m:sty m:val="p"/>
          </m:rPr>
          <m:t>=</m:t>
        </m:r>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where</w:t>
      </w:r>
      <w:r>
        <w:t xml:space="preserve"> </w:t>
      </w:r>
      <m:oMath>
        <m:acc>
          <m:accPr>
            <m:chr m:val="̂"/>
          </m:accPr>
          <m:e>
            <m:r>
              <m:t>k</m:t>
            </m:r>
          </m:e>
        </m:acc>
      </m:oMath>
      <w:r>
        <w:t xml:space="preserve"> </w:t>
      </w:r>
      <w:r>
        <w:t xml:space="preserve">is the</w:t>
      </w:r>
      <w:r>
        <w:t xml:space="preserve"> </w:t>
      </w:r>
      <w:r>
        <w:t xml:space="preserve">likelihood-weighted posterior mean and</w:t>
      </w:r>
      <w:r>
        <w:t xml:space="preserve"> </w:t>
      </w:r>
      <m:oMath>
        <m:sSub>
          <m:e>
            <m:r>
              <m:t>k</m:t>
            </m:r>
          </m:e>
          <m:sub>
            <m:r>
              <m:rPr>
                <m:sty m:val="p"/>
              </m:rPr>
              <m:t>a</m:t>
            </m:r>
            <m:r>
              <m:rPr>
                <m:sty m:val="p"/>
              </m:rPr>
              <m:t>r</m:t>
            </m:r>
            <m:r>
              <m:rPr>
                <m:sty m:val="p"/>
              </m:rPr>
              <m:t>i</m:t>
            </m:r>
            <m:r>
              <m:rPr>
                <m:sty m:val="p"/>
              </m:rPr>
              <m:t>t</m:t>
            </m:r>
            <m:r>
              <m:rPr>
                <m:sty m:val="p"/>
              </m:rPr>
              <m:t>h</m:t>
            </m:r>
          </m:sub>
        </m:sSub>
      </m:oMath>
      <w:r>
        <w:t xml:space="preserve"> </w:t>
      </w:r>
      <w:r>
        <w:t xml:space="preserve">the arithmetic mean of the</w:t>
      </w:r>
      <w:r>
        <w:t xml:space="preserve"> </w:t>
      </w:r>
      <w:r>
        <w:t xml:space="preserve">heterogeneous truth. For paired experiments the structural contribution is isolated by</w:t>
      </w:r>
      <w:r>
        <w:t xml:space="preserve"> </w:t>
      </w:r>
      <w:r>
        <w:t xml:space="preserve">subtracting the offset the same rule produces on a homogeneous truth under the same noise</w:t>
      </w:r>
      <w:r>
        <w:t xml:space="preserve"> </w:t>
      </w:r>
      <w:r>
        <w:t xml:space="preserve">realisation,</w:t>
      </w:r>
      <w:r>
        <w:t xml:space="preserve"> </w:t>
      </w: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r>
          <m:rPr>
            <m:sty m:val="p"/>
          </m:rPr>
          <m:t>=</m:t>
        </m:r>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w:t>
      </w:r>
      <w:r>
        <w:t xml:space="preserve"> </w:t>
      </w:r>
      <w:r>
        <w:t xml:space="preserve">That paired shift is placed on the scale of Section 2.5,</w:t>
      </w:r>
    </w:p>
    <w:p>
      <w:pPr>
        <w:pStyle w:val="BodyText"/>
      </w:pPr>
      <m:oMathPara>
        <m:oMathParaPr>
          <m:jc m:val="center"/>
        </m:oMathParaPr>
        <m:oMath>
          <m:sSub>
            <m:e>
              <m:r>
                <m:t>Z</m:t>
              </m:r>
            </m:e>
            <m:sub>
              <m:r>
                <m:t>j</m:t>
              </m:r>
            </m:sub>
          </m:sSub>
          <m:r>
            <m:rPr>
              <m:sty m:val="p"/>
            </m:rPr>
            <m:t>=</m:t>
          </m:r>
          <m:f>
            <m:fPr>
              <m:type m:val="bar"/>
            </m:fPr>
            <m:num>
              <m:r>
                <m:rPr>
                  <m:sty m:val="p"/>
                </m:rPr>
                <m:t>Δ</m:t>
              </m:r>
              <m:sSub>
                <m:e>
                  <m:r>
                    <m:t>k</m:t>
                  </m:r>
                </m:e>
                <m:sub>
                  <m:r>
                    <m:rPr>
                      <m:sty m:val="p"/>
                    </m:rPr>
                    <m:t>s</m:t>
                  </m:r>
                  <m:r>
                    <m:rPr>
                      <m:sty m:val="p"/>
                    </m:rPr>
                    <m:t>t</m:t>
                  </m:r>
                  <m:r>
                    <m:rPr>
                      <m:sty m:val="p"/>
                    </m:rPr>
                    <m:t>r</m:t>
                  </m:r>
                  <m:r>
                    <m:rPr>
                      <m:sty m:val="p"/>
                    </m:rPr>
                    <m:t>u</m:t>
                  </m:r>
                  <m:r>
                    <m:rPr>
                      <m:sty m:val="p"/>
                    </m:rPr>
                    <m:t>c</m:t>
                  </m:r>
                  <m:r>
                    <m:rPr>
                      <m:sty m:val="p"/>
                    </m:rPr>
                    <m:t>t</m:t>
                  </m:r>
                  <m:r>
                    <m:rPr>
                      <m:sty m:val="p"/>
                    </m:rPr>
                    <m:t>,</m:t>
                  </m:r>
                  <m:r>
                    <m:t>j</m:t>
                  </m:r>
                </m:sub>
              </m:sSub>
            </m:num>
            <m:den>
              <m:sSubSup>
                <m:e>
                  <m:acc>
                    <m:accPr>
                      <m:chr m:val="̃"/>
                    </m:accPr>
                    <m:e>
                      <m:r>
                        <m:t>σ</m:t>
                      </m:r>
                    </m:e>
                  </m:acc>
                </m:e>
                <m:sub>
                  <m:r>
                    <m:rPr>
                      <m:sty m:val="p"/>
                    </m:rPr>
                    <m:t>p</m:t>
                  </m:r>
                  <m:r>
                    <m:rPr>
                      <m:sty m:val="p"/>
                    </m:rPr>
                    <m:t>o</m:t>
                  </m:r>
                  <m:r>
                    <m:rPr>
                      <m:sty m:val="p"/>
                    </m:rPr>
                    <m:t>s</m:t>
                  </m:r>
                  <m:r>
                    <m:rPr>
                      <m:sty m:val="p"/>
                    </m:rPr>
                    <m:t>t</m:t>
                  </m:r>
                  <m:r>
                    <m:rPr>
                      <m:sty m:val="p"/>
                    </m:rPr>
                    <m:t>,</m:t>
                  </m:r>
                  <m:r>
                    <m:t>j</m:t>
                  </m:r>
                </m:sub>
                <m:sup>
                  <m:r>
                    <m:rPr>
                      <m:sty m:val="p"/>
                    </m:rPr>
                    <m:t>r</m:t>
                  </m:r>
                  <m:r>
                    <m:rPr>
                      <m:sty m:val="p"/>
                    </m:rPr>
                    <m:t>e</m:t>
                  </m:r>
                  <m:r>
                    <m:rPr>
                      <m:sty m:val="p"/>
                    </m:rPr>
                    <m:t>f</m:t>
                  </m:r>
                </m:sup>
              </m:sSubSup>
            </m:den>
          </m:f>
          <m:r>
            <m:rPr>
              <m:sty m:val="p"/>
            </m:rPr>
            <m:t>,</m:t>
          </m:r>
        </m:oMath>
      </m:oMathPara>
    </w:p>
    <w:p>
      <w:pPr>
        <w:pStyle w:val="FirstParagraph"/>
      </w:pPr>
      <w:r>
        <w:t xml:space="preserve">with the same repeated-baseline denominator, not the structured run’s own posterior standard</w:t>
      </w:r>
      <w:r>
        <w:t xml:space="preserve"> </w:t>
      </w:r>
      <w:r>
        <w:t xml:space="preserve">deviation.</w:t>
      </w:r>
    </w:p>
    <w:p>
      <w:pPr>
        <w:pStyle w:val="BodyText"/>
      </w:pPr>
      <w:r>
        <w:t xml:space="preserve">For the 30-realisation amplitude sweep, the position of the fit between the two candidate</w:t>
      </w:r>
      <w:r>
        <w:t xml:space="preserve"> </w:t>
      </w:r>
      <w:r>
        <w:t xml:space="preserve">targets is described by</w:t>
      </w:r>
    </w:p>
    <w:p>
      <w:pPr>
        <w:pStyle w:val="BodyText"/>
      </w:pPr>
      <m:oMathPara>
        <m:oMathParaPr>
          <m:jc m:val="center"/>
        </m:oMathParaPr>
        <m:oMath>
          <m:sSub>
            <m:e>
              <m:r>
                <m:t>f</m:t>
              </m:r>
            </m:e>
            <m:sub>
              <m:r>
                <m:t>j</m:t>
              </m:r>
            </m:sub>
          </m:sSub>
          <m:r>
            <m:rPr>
              <m:sty m:val="p"/>
            </m:rPr>
            <m:t>=</m:t>
          </m:r>
          <m:f>
            <m:fPr>
              <m:type m:val="bar"/>
            </m:fPr>
            <m:num>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num>
            <m:den>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den>
          </m:f>
          <m:r>
            <m:rPr>
              <m:sty m:val="p"/>
            </m:rPr>
            <m:t>,</m:t>
          </m:r>
        </m:oMath>
      </m:oMathPara>
    </w:p>
    <w:p>
      <w:pPr>
        <w:pStyle w:val="FirstParagraph"/>
      </w:pPr>
      <w:r>
        <w:t xml:space="preserve">so</w:t>
      </w:r>
      <w:r>
        <w:t xml:space="preserve"> </w:t>
      </w:r>
      <m:oMath>
        <m:r>
          <m:t>f</m:t>
        </m:r>
        <m:r>
          <m:rPr>
            <m:sty m:val="p"/>
          </m:rPr>
          <m:t>=</m:t>
        </m:r>
        <m:r>
          <m:t>0</m:t>
        </m:r>
      </m:oMath>
      <w:r>
        <w:t xml:space="preserve"> </w:t>
      </w:r>
      <w:r>
        <w:t xml:space="preserve">is the arithmetic mean and</w:t>
      </w:r>
      <w:r>
        <w:t xml:space="preserve"> </w:t>
      </w:r>
      <m:oMath>
        <m:r>
          <m:t>f</m:t>
        </m:r>
        <m:r>
          <m:rPr>
            <m:sty m:val="p"/>
          </m:rPr>
          <m:t>=</m:t>
        </m:r>
        <m:r>
          <m:t>1</m:t>
        </m:r>
      </m:oMath>
      <w:r>
        <w:t xml:space="preserve"> </w:t>
      </w:r>
      <w:r>
        <w:t xml:space="preserve">the length-weighted reference. Unlike</w:t>
      </w:r>
      <w:r>
        <w:t xml:space="preserve"> </w:t>
      </w:r>
      <m:oMath>
        <m:r>
          <m:t>Z</m:t>
        </m:r>
      </m:oMath>
      <w:r>
        <w:t xml:space="preserve">, this</w:t>
      </w:r>
      <w:r>
        <w:t xml:space="preserve"> </w:t>
      </w:r>
      <w:r>
        <w:t xml:space="preserve">fraction is</w:t>
      </w:r>
      <w:r>
        <w:t xml:space="preserve"> </w:t>
      </w:r>
      <w:r>
        <w:rPr>
          <w:b/>
          <w:bCs/>
        </w:rPr>
        <w:t xml:space="preserve">raw rather than control-adjusted</w:t>
      </w:r>
      <w:r>
        <w:t xml:space="preserve">, and is summarised by its median and 5–95%</w:t>
      </w:r>
      <w:r>
        <w:t xml:space="preserve"> </w:t>
      </w:r>
      <w:r>
        <w:t xml:space="preserve">range across realisations. At</w:t>
      </w:r>
      <w:r>
        <w:t xml:space="preserve"> </w:t>
      </w:r>
      <m:oMath>
        <m:r>
          <m:t>λ</m:t>
        </m:r>
        <m:r>
          <m:rPr>
            <m:sty m:val="p"/>
          </m:rPr>
          <m:t>=</m:t>
        </m:r>
        <m:r>
          <m:t>0</m:t>
        </m:r>
      </m:oMath>
      <w:r>
        <w:t xml:space="preserve"> </w:t>
      </w:r>
      <w:r>
        <w:t xml:space="preserve">the two means coincide and</w:t>
      </w:r>
      <w:r>
        <w:t xml:space="preserve"> </w:t>
      </w:r>
      <m:oMath>
        <m:r>
          <m:t>f</m:t>
        </m:r>
      </m:oMath>
      <w:r>
        <w:t xml:space="preserve"> </w:t>
      </w:r>
      <w:r>
        <w:t xml:space="preserve">is undefined, so that</w:t>
      </w:r>
      <w:r>
        <w:t xml:space="preserve"> </w:t>
      </w:r>
      <w:r>
        <w:t xml:space="preserve">arm serves only as the control. Throughout, the length-weighted value is an illustrative</w:t>
      </w:r>
      <w:r>
        <w:t xml:space="preserve"> </w:t>
      </w:r>
      <w:r>
        <w:t xml:space="preserve">directional comparator, not the estimand of the homogeneous calibration, a common endpoint, or a</w:t>
      </w:r>
      <w:r>
        <w:t xml:space="preserve"> </w:t>
      </w:r>
      <w:r>
        <w:t xml:space="preserve">physical bound.</w:t>
      </w:r>
    </w:p>
    <w:bookmarkEnd w:id="43"/>
    <w:bookmarkEnd w:id="44"/>
    <w:bookmarkStart w:id="45" w:name="prediction-validation"/>
    <w:p>
      <w:pPr>
        <w:pStyle w:val="Heading2"/>
      </w:pPr>
      <w:r>
        <w:t xml:space="preserve">2.7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mean absolute relative error and coverage.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p>
    <w:bookmarkEnd w:id="46"/>
    <w:bookmarkStart w:id="47" w:name="water-age-and-demand-weighting"/>
    <w:p>
      <w:pPr>
        <w:pStyle w:val="Heading3"/>
      </w:pPr>
      <w:r>
        <w:t xml:space="preserve">2.8.2 Water age and demand weighting</w:t>
      </w:r>
    </w:p>
    <w:p>
      <w:pPr>
        <w:pStyle w:val="FirstParagraph"/>
      </w:pPr>
      <w:r>
        <w:t xml:space="preserve">Water age was computed over the same assessment window from the same hydraulic model as a</w:t>
      </w:r>
      <w:r>
        <w:t xml:space="preserve"> </w:t>
      </w:r>
      <w:r>
        <w:t xml:space="preserve">reaction-independent diagnostic, and its spatial association with expected duration and</w:t>
      </w:r>
      <w:r>
        <w:t xml:space="preserve"> </w:t>
      </w:r>
      <w:r>
        <w:t xml:space="preserve">cumulative deficit described by Spearman rank correlation. Because the 92 junctions share pipes,</w:t>
      </w:r>
      <w:r>
        <w:t xml:space="preserve"> </w:t>
      </w:r>
      <w:r>
        <w:t xml:space="preserve">tanks, flow paths and demand patterns they are not independent samples, so no junction-level</w:t>
      </w:r>
      <w:r>
        <w:t xml:space="preserve"> </w:t>
      </w:r>
      <w:r>
        <w:t xml:space="preserve">p-value is reported. For the duration association only, descriptive width was obtained from a</w:t>
      </w:r>
      <w:r>
        <w:t xml:space="preserve"> </w:t>
      </w:r>
      <w:r>
        <w:t xml:space="preserve">spatial block bootstrap: coordinates were standardised, divided into ten groups by k-means, and</w:t>
      </w:r>
      <w:r>
        <w:t xml:space="preserve"> </w:t>
      </w:r>
      <w:r>
        <w:t xml:space="preserve">whole blocks resampled over 2000 replicates. The result is a descriptive width, not a</w:t>
      </w:r>
      <w:r>
        <w:t xml:space="preserve"> </w:t>
      </w:r>
      <w:r>
        <w:t xml:space="preserve">significance interval.</w:t>
      </w:r>
    </w:p>
    <w:p>
      <w:pPr>
        <w:pStyle w:val="BodyText"/>
      </w:pPr>
      <w:r>
        <w:t xml:space="preserve">Network summaries were reported unweighted over all 92 junctions, unweighted over the 59</w:t>
      </w:r>
      <w:r>
        <w:t xml:space="preserve"> </w:t>
      </w:r>
      <w:r>
        <w:t xml:space="preserve">junctions with non-zero demand, and demand-weighted using the pattern-aware average expected</w:t>
      </w:r>
      <w:r>
        <w:t xml:space="preserve"> </w:t>
      </w:r>
      <w:r>
        <w:t xml:space="preserve">demand,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were drawn from truncated normals,</w:t>
      </w:r>
      <w:r>
        <w:t xml:space="preserve"> </w:t>
      </w:r>
      <m:oMath>
        <m:r>
          <m:t>45</m:t>
        </m:r>
        <m:r>
          <m:rPr>
            <m:sty m:val="p"/>
          </m:rPr>
          <m:t>±</m:t>
        </m:r>
        <m:r>
          <m:t>8</m:t>
        </m:r>
      </m:oMath>
      <w:r>
        <w:t xml:space="preserve"> </w:t>
      </w:r>
      <w:r>
        <w:t xml:space="preserve">kJ mol</w:t>
      </w:r>
      <w:r>
        <w:rPr>
          <w:vertAlign w:val="superscript"/>
        </w:rPr>
        <w:t xml:space="preserve">-1</w:t>
      </w:r>
      <w:r>
        <w:t xml:space="preserve"> </w:t>
      </w:r>
      <w:r>
        <w:t xml:space="preserve">for bulk and</w:t>
      </w:r>
      <w:r>
        <w:t xml:space="preserve"> </w:t>
      </w:r>
      <m:oMath>
        <m:r>
          <m:t>35</m:t>
        </m:r>
        <m:r>
          <m:rPr>
            <m:sty m:val="p"/>
          </m:rPr>
          <m:t>±</m:t>
        </m:r>
        <m:r>
          <m:t>10</m:t>
        </m:r>
      </m:oMath>
      <w:r>
        <w:t xml:space="preserve"> </w:t>
      </w:r>
      <w:r>
        <w:t xml:space="preserve">kJ mol</w:t>
      </w:r>
      <w:r>
        <w:rPr>
          <w:vertAlign w:val="superscript"/>
        </w:rPr>
        <w:t xml:space="preserve">-1</w:t>
      </w:r>
      <w:r>
        <w:t xml:space="preserve"> </w:t>
      </w:r>
      <w:r>
        <w:t xml:space="preserve">for wall reaction with a lower bound of 5 kJ</w:t>
      </w:r>
      <w:r>
        <w:t xml:space="preserve"> </w:t>
      </w:r>
      <w:r>
        <w:t xml:space="preserve">mol</w:t>
      </w:r>
      <w:r>
        <w:rPr>
          <w:vertAlign w:val="superscript"/>
        </w:rPr>
        <w:t xml:space="preserve">-1</w:t>
      </w:r>
      <w:r>
        <w:t xml:space="preserve">, and a temperature deviation</w:t>
      </w:r>
      <w:r>
        <w:t xml:space="preserve"> </w:t>
      </w:r>
      <m:oMath>
        <m:r>
          <m:rPr>
            <m:sty m:val="p"/>
          </m:rPr>
          <m:t>Δ</m:t>
        </m:r>
        <m:r>
          <m:t>T</m:t>
        </m:r>
        <m:r>
          <m:rPr>
            <m:sty m:val="p"/>
          </m:rPr>
          <m:t>∼</m:t>
        </m:r>
        <m:r>
          <m:t>N</m:t>
        </m:r>
        <m:r>
          <m:rPr>
            <m:sty m:val="p"/>
          </m:rPr>
          <m:t>(</m:t>
        </m:r>
        <m:r>
          <m:t>0</m:t>
        </m:r>
        <m:r>
          <m:rPr>
            <m:sty m:val="p"/>
          </m:rPr>
          <m:t>,</m:t>
        </m:r>
        <m:sSup>
          <m:e>
            <m:r>
              <m:t>1</m:t>
            </m:r>
          </m:e>
          <m:sup>
            <m:r>
              <m:t>2</m:t>
            </m:r>
          </m:sup>
        </m:sSup>
        <m:r>
          <m:rPr>
            <m:sty m:val="p"/>
          </m:rPr>
          <m:t>)</m:t>
        </m:r>
      </m:oMath>
      <w:r>
        <w:t xml:space="preserve"> </w:t>
      </w:r>
      <w:r>
        <w:t xml:space="preserve">°C was added to each scenario mean,</w:t>
      </w:r>
      <w:r>
        <w:t xml:space="preserve"> </w:t>
      </w:r>
      <w:r>
        <w:t xml:space="preserve">constrained to keep simulated temperatures within the stated 8–24 °C validity range. The</w:t>
      </w:r>
      <w:r>
        <w:t xml:space="preserve"> </w:t>
      </w:r>
      <w:r>
        <w:t xml:space="preserve">scenarios were: (A) 12 °C baseline; (B) 16 °C; (C) 20 °C heatwave; and (D) 20 °C with</w:t>
      </w:r>
      <w:r>
        <w:t xml:space="preserve"> </w:t>
      </w:r>
      <w:r>
        <w:t xml:space="preserve">illustrative ageing multipliers of 1.00, 1.35 and 1.85 for the new, average and old zones, with</w:t>
      </w:r>
      <w:r>
        <w:t xml:space="preserve"> </w:t>
      </w:r>
      <w:r>
        <w:t xml:space="preserve">mild and severe multiplier sets retained as sensitivities.</w:t>
      </w:r>
    </w:p>
    <w:p>
      <w:pPr>
        <w:pStyle w:val="BodyText"/>
      </w:pPr>
      <w:r>
        <w:t xml:space="preserve">Activation-energy and temperature draws were assigned once per retained member and reused across</w:t>
      </w:r>
      <w:r>
        <w:t xml:space="preserve"> </w:t>
      </w:r>
      <w:r>
        <w:t xml:space="preserve">scenarios, so that pairwise differences are not contaminated by independent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with weights renormalised and the discarded mass recorded; this is a numerical</w:t>
      </w:r>
      <w:r>
        <w:t xml:space="preserve"> </w:t>
      </w:r>
      <w:r>
        <w:t xml:space="preserve">truncation, not a behavioural acceptance threshold. Corrective dosing was evaluated under</w:t>
      </w:r>
      <w:r>
        <w:t xml:space="preserve"> </w:t>
      </w:r>
      <w:r>
        <w:t xml:space="preserve">Scenario C, the 20 °C heatwave</w:t>
      </w:r>
      <w:r>
        <w:t xml:space="preserve"> </w:t>
      </w:r>
      <w:r>
        <w:rPr>
          <w:i/>
          <w:iCs/>
        </w:rPr>
        <w:t xml:space="preserve">without</w:t>
      </w:r>
      <w:r>
        <w:t xml:space="preserve"> </w:t>
      </w:r>
      <w:r>
        <w:t xml:space="preserve">ageing: reservoir source chlorine was raised from 1.00</w:t>
      </w:r>
      <w:r>
        <w:t xml:space="preserve"> </w:t>
      </w:r>
      <w:r>
        <w:t xml:space="preserve">to 1.15 and 1.30 mg L</w:t>
      </w:r>
      <w:r>
        <w:rPr>
          <w:vertAlign w:val="superscript"/>
        </w:rPr>
        <w:t xml:space="preserve">-1</w:t>
      </w:r>
      <w:r>
        <w:t xml:space="preserve">, with tank initial chlorine scaled by the same factor. All scenario</w:t>
      </w:r>
      <w:r>
        <w:t xml:space="preserve"> </w:t>
      </w:r>
      <w:r>
        <w:t xml:space="preserve">results are calibration-conditioned stress tests under the stated assumptions, not forecasts.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Quantities used throughout the analysis, with the</w:t>
      </w:r>
      <w:r>
        <w:t xml:space="preserve"> </w:t>
      </w:r>
      <w:r>
        <w:t xml:space="preserve">section in which each is introduced. 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Six cyclostationarity criteria were declared in advance, each comparing a 24 h cycle with its</w:t>
      </w:r>
      <w:r>
        <w:t xml:space="preserve"> </w:t>
      </w:r>
      <w:r>
        <w:t xml:space="preserve">successor; tank level converged first, within 24 h. The three concentration criteria were a cycle-to-cycle change below 0.005 mg L</w:t>
      </w:r>
      <w:r>
        <w:rPr>
          <w:vertAlign w:val="superscript"/>
        </w:rPr>
        <w:t xml:space="preserve">-1</w:t>
      </w:r>
      <w:r>
        <w:t xml:space="preserve"> </w:t>
      </w:r>
      <w:r>
        <w:t xml:space="preserve">at any monitor, below 0.01 mg L</w:t>
      </w:r>
      <w:r>
        <w:rPr>
          <w:vertAlign w:val="superscript"/>
        </w:rPr>
        <w:t xml:space="preserve">-1</w:t>
      </w:r>
      <w:r>
        <w:t xml:space="preserve"> </w:t>
      </w:r>
      <w:r>
        <w:t xml:space="preserve">in the network 95th percentile, and below 0.01 mg L</w:t>
      </w:r>
      <w:r>
        <w:rPr>
          <w:vertAlign w:val="superscript"/>
        </w:rPr>
        <w:t xml:space="preserve">-1</w:t>
      </w:r>
      <w:r>
        <w:t xml:space="preserve"> </w:t>
      </w:r>
      <w:r>
        <w:t xml:space="preserve">in the tank. All three were first satisfied at 120 h, which</w:t>
      </w:r>
      <w:r>
        <w:t xml:space="preserve"> </w:t>
      </w:r>
      <w:r>
        <w:t xml:space="preserve">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against a 1 h tolerance, and the</w:t>
      </w:r>
      <w:r>
        <w:t xml:space="preserve"> </w:t>
      </w:r>
      <w:r>
        <w:t xml:space="preserve">network-mean cumulative deficit still changed by as much as 5.1% between those cycles against a</w:t>
      </w:r>
      <w:r>
        <w:t xml:space="preserve"> </w:t>
      </w:r>
      <w:r>
        <w:t xml:space="preserve">2% tolerance, taken over the three parameter sets tested. That figure is a network-mean</w:t>
      </w:r>
      <w:r>
        <w:t xml:space="preserve"> </w:t>
      </w:r>
      <w:r>
        <w:t xml:space="preserve">severity change rather than a spatial norm, and the hotspot pattern moves with it: over the same</w:t>
      </w:r>
      <w:r>
        <w:t xml:space="preserve"> </w:t>
      </w:r>
      <w:r>
        <w:t xml:space="preserve">final comparison the top-10 cumulative-deficit sets at the synthetic truth had a Jaccard overlap</w:t>
      </w:r>
      <w:r>
        <w:t xml:space="preserve"> </w:t>
      </w:r>
      <w:r>
        <w:t xml:space="preserve">of 0.818, one node in ten differing, while the weak- and strong-reactivity corner cases were</w:t>
      </w:r>
      <w:r>
        <w:t xml:space="preserve"> </w:t>
      </w:r>
      <w:r>
        <w:t xml:space="preserve">stable. The horizon could not be extended without modifying the model, because the existing pump</w:t>
      </w:r>
      <w:r>
        <w:t xml:space="preserve"> </w:t>
      </w:r>
      <w:r>
        <w:t xml:space="preserve">controls are specified only within the 168 h simulation period (Appendix A). The 120 h warm-up</w:t>
      </w:r>
      <w:r>
        <w:t xml:space="preserve"> </w:t>
      </w:r>
      <w:r>
        <w:t xml:space="preserve">therefore provides a concentration-stable reference window for the baseline and for the tested</w:t>
      </w:r>
      <w:r>
        <w:t xml:space="preserve"> </w:t>
      </w:r>
      <w:r>
        <w:t xml:space="preserve">prior-envelope conditions, and was carried consistently into the later robustness analyses; it</w:t>
      </w:r>
      <w:r>
        <w:t xml:space="preserve"> </w:t>
      </w:r>
      <w:r>
        <w:t xml:space="preserve">should not be read as proof that every perturbed model considered later independently reaches</w:t>
      </w:r>
      <w:r>
        <w:t xml:space="preserve"> </w:t>
      </w:r>
      <w:r>
        <w:t xml:space="preserve">periodic steady state by 120 h. Parameter inference is accordingly supported by a</w:t>
      </w:r>
      <w:r>
        <w:t xml:space="preserve"> </w:t>
      </w:r>
      <w:r>
        <w:t xml:space="preserve">concentration-stable window, whereas absolute water-age values, absolute risk severities and</w:t>
      </w:r>
      <w:r>
        <w:t xml:space="preserve"> </w:t>
      </w:r>
      <w:r>
        <w:t xml:space="preserve">some hotspot-boundary decisions in Section 3.6 inherit a residual dependence on the 120–168 h</w:t>
      </w:r>
      <w:r>
        <w:t xml:space="preserve"> </w:t>
      </w:r>
      <w:r>
        <w:t xml:space="preserve">horizon and are used for comparison between conditions rather than as calibrated 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the six monitors, sources and tanks. (B) True concentration series at the monitors over the 120–168 h window (lines) with the noisy calibration observations (points). (C) Per-junction window minimum over the deterministic truth; 21 of 92 junctions fall below 0.2 mg L-1."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w:t>
      </w:r>
      <w:r>
        <w:t xml:space="preserve"> </w:t>
      </w:r>
      <w:r>
        <w:t xml:space="preserve">reaction zone, the six monitors, sources and tanks. (B) True concentration series at the</w:t>
      </w:r>
      <w:r>
        <w:t xml:space="preserve"> </w:t>
      </w:r>
      <w:r>
        <w:t xml:space="preserve">monitors over the 120–168 h window (lines) with the noisy calibration observations (points). (C)</w:t>
      </w:r>
      <w:r>
        <w:t xml:space="preserve"> </w:t>
      </w:r>
      <w:r>
        <w:t xml:space="preserve">Per-junction window minimum over the deterministic truth; 21 of 92 junctions fall below 0.2 mg</w:t>
      </w:r>
      <w:r>
        <w:t xml:space="preserve"> </w:t>
      </w:r>
      <w:r>
        <w:t xml:space="preserve">L</w:t>
      </w:r>
      <w:r>
        <w:rPr>
          <w:vertAlign w:val="superscript"/>
        </w:rPr>
        <w:t xml:space="preserve">-1</w:t>
      </w:r>
      <w:r>
        <w:t xml:space="preserve">.</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Posterior summaries for the three grouped wall-decay</w:t>
      </w:r>
      <w:r>
        <w:t xml:space="preserve"> </w:t>
      </w:r>
      <w:r>
        <w:t xml:space="preserve">coefficients under four weighting rules applied to the same 294 residuals and the same 8192</w:t>
      </w:r>
      <w:r>
        <w:t xml:space="preserve"> </w:t>
      </w:r>
      <w:r>
        <w:t xml:space="preserve">Sobol candidates.</w:t>
      </w:r>
      <w:r>
        <w:t xml:space="preserve"> </w:t>
      </w:r>
      <w:r>
        <w:t xml:space="preserve">“SD retained”</w:t>
      </w:r>
      <w:r>
        <w:t xml:space="preserve"> </w:t>
      </w:r>
      <w:r>
        <w:t xml:space="preserve">is the posterior standard deviation as a percentage of the prior</w:t>
      </w:r>
      <w:r>
        <w:t xml:space="preserve"> </w:t>
      </w:r>
      <w:r>
        <w:t xml:space="preserve">standard deviation; ESS is the effective sample size out of 8192.</w:t>
      </w:r>
    </w:p>
    <w:p>
      <w:pPr>
        <w:pStyle w:val="CaptionedFigure"/>
      </w:pPr>
      <w:r>
        <w:drawing>
          <wp:inline>
            <wp:extent cx="4661377" cy="3840938"/>
            <wp:effectExtent b="0" l="0" r="0" t="0"/>
            <wp:docPr descr="Figure 2. Inference formulation determines apparent identifiability. Weighted densities for each grouped coefficient under the uniform prior, the primary censored Gaussian likelihood and the informal GLUE score at two behavioural thresholds; dashed rules mark the true values. Bars give the posterior standard deviation as a percentage of the prior standard deviation."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w:t>
      </w:r>
      <w:r>
        <w:t xml:space="preserve"> </w:t>
      </w:r>
      <w:r>
        <w:t xml:space="preserve">for each grouped coefficient under the uniform prior, the primary censored Gaussian likelihood</w:t>
      </w:r>
      <w:r>
        <w:t xml:space="preserve"> </w:t>
      </w:r>
      <w:r>
        <w:t xml:space="preserve">and the informal GLUE score at two behavioural thresholds; dashed rules mark the true values.</w:t>
      </w:r>
      <w:r>
        <w:t xml:space="preserve"> </w:t>
      </w:r>
      <w:r>
        <w:t xml:space="preserve">Bars give the posterior standard deviation as a percentage of the prior standard</w:t>
      </w:r>
      <w:r>
        <w:t xml:space="preserve"> </w:t>
      </w:r>
      <w:r>
        <w:t xml:space="preserve">deviation.</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and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and Binley, 1992; Beven and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priors were therefore displaced downward by one</w:t>
      </w:r>
      <w:r>
        <w:t xml:space="preserve"> </w:t>
      </w:r>
      <w:r>
        <w:t xml:space="preserve">prior standard deviation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w:t>
      </w:r>
      <w:r>
        <w:t xml:space="preserve"> </w:t>
      </w:r>
      <w:r>
        <w:t xml:space="preserve">check for old rather than a second three-parameter test, and the non-positivity constraint</w:t>
      </w:r>
      <w:r>
        <w:t xml:space="preserve"> </w:t>
      </w:r>
      <w:r>
        <w:t xml:space="preserve">truncated the realised shift to about 0.92 prior standard deviations.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or each coefficient from the likelihood-weighted ensemble (5–95%), continuous profile likelihood (95%), the Fisher/Cramér–Rao bound (95%) and 100 repeated-noise calibrations (mean +/- SD). Nominal levels differ by construction and are labelled individually; the four rows are not a nested comparison."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for each</w:t>
      </w:r>
      <w:r>
        <w:t xml:space="preserve"> </w:t>
      </w:r>
      <w:r>
        <w:t xml:space="preserve">coefficient from the likelihood-weighted ensemble (5–95%), continuous profile likelihood (95%),</w:t>
      </w:r>
      <w:r>
        <w:t xml:space="preserve"> </w:t>
      </w:r>
      <w:r>
        <w:t xml:space="preserve">the Fisher/Cramér–Rao bound (95%) and 100 repeated-noise calibrations (mean +/- SD). Nominal</w:t>
      </w:r>
      <w:r>
        <w:t xml:space="preserve"> </w:t>
      </w:r>
      <w:r>
        <w:t xml:space="preserve">levels differ by construction and are labelled individually; the four rows are not a nested</w:t>
      </w:r>
      <w:r>
        <w:t xml:space="preserve"> </w:t>
      </w:r>
      <w:r>
        <w:t xml:space="preserve">comparison.</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and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w:t>
      </w:r>
    </w:p>
    <w:bookmarkEnd w:id="69"/>
    <w:bookmarkStart w:id="70" w:name="X4b1afce4ef9407d46c1f973b1a42fc08f62282a"/>
    <w:p>
      <w:pPr>
        <w:pStyle w:val="Heading3"/>
      </w:pPr>
      <w:r>
        <w:t xml:space="preserve">3.3.2 Systematic sensor error dominates random uncertainty</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coefficient is affected more modestly, whereas the average and new</w:t>
      </w:r>
      <w:r>
        <w:t xml:space="preserve"> </w:t>
      </w:r>
      <w:r>
        <w:t xml:space="preserve">coefficients lose roughly half their information to the bulk term.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These displacements are large in parameter terms, but Section 3.6 shows that they do not</w:t>
      </w:r>
      <w:r>
        <w:t xml:space="preserve"> </w:t>
      </w:r>
      <w:r>
        <w:t xml:space="preserve">translate into proportionate changes in the network-wide risk pattern, and that whether an</w:t>
      </w:r>
      <w:r>
        <w:t xml:space="preserve"> </w:t>
      </w:r>
      <w:r>
        <w:t xml:space="preserve">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his is the median within-realisation value over the 30 unbiased realisations, not the single-realisation value of Table 3. The panels answer different questions and are not comparable; sign is printed, not encoded by colour."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w:t>
      </w:r>
      <w:r>
        <w:t xml:space="preserve"> </w:t>
      </w:r>
      <w:r>
        <w:t xml:space="preserve">uncertainty source is represented in the model. (B) Displacement where a perturbation is imposed</w:t>
      </w:r>
      <w:r>
        <w:t xml:space="preserve"> </w:t>
      </w:r>
      <w:r>
        <w:t xml:space="preserve">but not represented, in baseline posterior standard deviations. This is the median within-realisation value over the 30 unbiased realisations, not the single-realisation value of Table 3. The panels</w:t>
      </w:r>
      <w:r>
        <w:t xml:space="preserve"> </w:t>
      </w:r>
      <w:r>
        <w:t xml:space="preserve">answer different questions and are not comparable; sign is printed, not encoded by</w:t>
      </w:r>
      <w:r>
        <w:t xml:space="preserve"> </w:t>
      </w:r>
      <w:r>
        <w:t xml:space="preserve">colour.</w:t>
      </w:r>
    </w:p>
    <w:tbl>
      <w:tblPr>
        <w:tblStyle w:val="Table"/>
        <w:tblW w:type="pct" w:w="5000"/>
        <w:tblLayout w:type="fixed"/>
        <w:tblLook w:firstRow="1" w:lastRow="0" w:firstColumn="0" w:lastColumn="0" w:noHBand="0" w:noVBand="0" w:val="0020"/>
      </w:tblPr>
      <w:tblGrid>
        <w:gridCol w:w="1131"/>
        <w:gridCol w:w="1508"/>
        <w:gridCol w:w="1508"/>
        <w:gridCol w:w="1508"/>
        <w:gridCol w:w="1131"/>
        <w:gridCol w:w="1131"/>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 and the caveats attached to each row.</w:t>
      </w:r>
    </w:p>
    <w:bookmarkEnd w:id="74"/>
    <w:bookmarkEnd w:id="75"/>
    <w:bookmarkStart w:id="82" w:name="X5c6fbb3654315815bfb725b2f40781d28e6ad47"/>
    <w:p>
      <w:pPr>
        <w:pStyle w:val="Heading2"/>
      </w:pPr>
      <w:r>
        <w:t xml:space="preserve">3.4 Structural heterogeneity and grouped effective parameters</w:t>
      </w:r>
    </w:p>
    <w:bookmarkStart w:id="76" w:name="Xa43c37939fe66a3a2a13d01c117c575e424ba6a"/>
    <w:p>
      <w:pPr>
        <w:pStyle w:val="Heading3"/>
      </w:pPr>
      <w:r>
        <w:t xml:space="preserve">3.4.1 Symmetric within-zone heterogeneity averages out</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Symmetric +/-20%</w:t>
      </w:r>
      <w:r>
        <w:t xml:space="preserve"> </w:t>
      </w:r>
      <w:r>
        <w:t xml:space="preserve">heterogeneity therefore produced no detectable systematic bias in this controlled case, but</w:t>
      </w:r>
      <w:r>
        <w:t xml:space="preserve"> </w:t>
      </w:r>
      <w:r>
        <w:t xml:space="preserve">establishing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comparable in magnitude across all three coefficients, while the fit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substantially and consistently. Its median</w:t>
      </w:r>
      <w:r>
        <w:t xml:space="preserve"> </w:t>
      </w:r>
      <w:r>
        <w:t xml:space="preserve">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Both rules report a falling fraction as</w:t>
      </w:r>
      <w:r>
        <w:t xml:space="preserve"> </w:t>
      </w:r>
      <m:oMath>
        <m:r>
          <m:t>λ</m:t>
        </m:r>
      </m:oMath>
      <w:r>
        <w:t xml:space="preserve"> </w:t>
      </w:r>
      <w:r>
        <w:t xml:space="preserve">grows, but because the gap itself</w:t>
      </w:r>
      <w:r>
        <w:t xml:space="preserve"> </w:t>
      </w:r>
      <w:r>
        <w:t xml:space="preserve">widens the absolute displacement rises under both; the informal weighting simply recovers about</w:t>
      </w:r>
      <w:r>
        <w:t xml:space="preserve"> </w:t>
      </w:r>
      <w:r>
        <w:t xml:space="preserve">half as much of it. A score that is nearly flat inside its behavioural set cannot follow a</w:t>
      </w:r>
      <w:r>
        <w:t xml:space="preserve"> </w:t>
      </w:r>
      <w:r>
        <w:t xml:space="preserve">systematic displacement, so a study relying on it would materially understate how far structural</w:t>
      </w:r>
      <w:r>
        <w:t xml:space="preserve"> </w:t>
      </w:r>
      <w:r>
        <w:t xml:space="preserve">misspecification moves a grouped coefficient.</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the length-weighted</w:t>
      </w:r>
      <w:r>
        <w:t xml:space="preserve"> </w:t>
      </w:r>
      <w:r>
        <w:t xml:space="preserve">value is an illustrative directional comparator, not an estimand, a common endpoint or a bound.</w:t>
      </w:r>
      <w:r>
        <w:t xml:space="preserve"> </w:t>
      </w:r>
      <w:r>
        <w:t xml:space="preserve">A sensitivity- or Jacobian-weighted effective mean, which would identify what the fit actually</w:t>
      </w:r>
      <w:r>
        <w:t xml:space="preserve"> </w:t>
      </w:r>
      <w:r>
        <w:t xml:space="preserve">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A) Structural increment over 25 independent +/-20% fields, in baseline posterior standard deviations. (B) One field against the 25-field mean, showing sign reversal. (C) Raw arithmetic-to-proxy displacement fraction f_j: squares and bars are the median and 5–95% range over 30 noise realisations, without the paired control adjustment; the faint open marker above each bar is the single reference realisation, which is control-adjusted and is shown only to indicate that the spread across draws is real. The two are different quantities and are not directly comparable. (D) Structural residual against the largest standardised displacement, shown descriptively across designs rather than as equivalent replication schemes."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(A) Structural increment</w:t>
      </w:r>
      <w:r>
        <w:t xml:space="preserve"> </w:t>
      </w:r>
      <w:r>
        <w:t xml:space="preserve">over 25 independent +/-20% fields, in baseline posterior standard deviations. (B) One field</w:t>
      </w:r>
      <w:r>
        <w:t xml:space="preserve"> </w:t>
      </w:r>
      <w:r>
        <w:t xml:space="preserve">against the 25-field mean, showing sign reversal. (C) Raw arithmetic-to-proxy displacement</w:t>
      </w:r>
      <w:r>
        <w:t xml:space="preserve"> </w:t>
      </w:r>
      <w:r>
        <w:t xml:space="preserve">fraction</w:t>
      </w:r>
      <w:r>
        <w:t xml:space="preserve"> </w:t>
      </w:r>
      <m:oMath>
        <m:sSub>
          <m:e>
            <m:r>
              <m:t>f</m:t>
            </m:r>
          </m:e>
          <m:sub>
            <m:r>
              <m:t>j</m:t>
            </m:r>
          </m:sub>
        </m:sSub>
      </m:oMath>
      <w:r>
        <w:t xml:space="preserve">: squares and bars are the median and 5–95% range over 30 noise realisations,</w:t>
      </w:r>
      <w:r>
        <w:t xml:space="preserve"> </w:t>
      </w:r>
      <w:r>
        <w:t xml:space="preserve">without the paired control adjustment; the faint open marker above each bar is the single</w:t>
      </w:r>
      <w:r>
        <w:t xml:space="preserve"> </w:t>
      </w:r>
      <w:r>
        <w:t xml:space="preserve">reference realisation, which is control-adjusted and is shown only to indicate that the spread</w:t>
      </w:r>
      <w:r>
        <w:t xml:space="preserve"> </w:t>
      </w:r>
      <w:r>
        <w:t xml:space="preserve">across draws is real. The two are different quantities and are not directly comparable.</w:t>
      </w:r>
      <w:r>
        <w:t xml:space="preserve"> </w:t>
      </w:r>
      <w:r>
        <w:t xml:space="preserve">(D) Structural residual against the largest standardised displacement, shown descriptively across designs rather than as equivalent replication schemes.</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3.2.3.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mean-absolute relative error of 0.83% under the primary</w:t>
      </w:r>
      <w:r>
        <w:t xml:space="preserve"> </w:t>
      </w:r>
      <w:r>
        <w:t xml:space="preserve">likelihood, with an interquartile range of 0.41% to 1.45% across junctions and noise</w:t>
      </w:r>
      <w:r>
        <w:t xml:space="preserve"> </w:t>
      </w:r>
      <w:r>
        <w:t xml:space="preserve">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w:t>
      </w:r>
      <w:r>
        <w:t xml:space="preserve"> </w:t>
      </w:r>
      <w:r>
        <w:t xml:space="preserve">which is exactly what an inflated parameter spread produces, and it is flattered further because</w:t>
      </w:r>
      <w:r>
        <w:t xml:space="preserve"> </w:t>
      </w:r>
      <w:r>
        <w:t xml:space="preserve">the targets were generated by the same hydraulic and reaction model that produced the</w:t>
      </w:r>
      <w:r>
        <w:t xml:space="preserve"> </w:t>
      </w:r>
      <w:r>
        <w:t xml:space="preserve">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w:t>
      </w:r>
      <w:r>
        <w:t xml:space="preserve"> </w:t>
      </w:r>
      <w:r>
        <w:t xml:space="preserve">zone is withheld the other two coefficients barely move, changing by less than 0.005 m day</w:t>
      </w:r>
      <w:r>
        <w:rPr>
          <w:vertAlign w:val="superscript"/>
        </w:rPr>
        <w:t xml:space="preserve">-1</w:t>
      </w:r>
      <w:r>
        <w:t xml:space="preserve"> </w:t>
      </w:r>
      <w:r>
        <w:t xml:space="preserve">from their six-monitor values.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A zone coefficient can remain at its prior while prediction stays near the noise scale. For each withheld zone: the median inferred coefficient over 30 realisations, with a 90% width from the median within-realisation posterior standard deviation, against prior support, prior midpoint and truth; the label gives that standard deviation as a fraction of the prior. Right: held-out RMSE at the dropped monitors against the noise level."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A zone coefficient can remain at its prior while prediction stays near the noise</w:t>
      </w:r>
      <w:r>
        <w:rPr>
          <w:b/>
          <w:bCs/>
        </w:rPr>
        <w:t xml:space="preserve"> </w:t>
      </w:r>
      <w:r>
        <w:rPr>
          <w:b/>
          <w:bCs/>
        </w:rPr>
        <w:t xml:space="preserve">scale.</w:t>
      </w:r>
      <w:r>
        <w:t xml:space="preserve"> </w:t>
      </w:r>
      <w:r>
        <w:t xml:space="preserve">For each withheld zone: the median inferred coefficient over 30 realisations, with a</w:t>
      </w:r>
      <w:r>
        <w:t xml:space="preserve"> </w:t>
      </w:r>
      <w:r>
        <w:t xml:space="preserve">90% width from the median within-realisation posterior standard deviation, against prior</w:t>
      </w:r>
      <w:r>
        <w:t xml:space="preserve"> </w:t>
      </w:r>
      <w:r>
        <w:t xml:space="preserve">support, prior midpoint and truth; the label gives that standard deviation as a fraction of the</w:t>
      </w:r>
      <w:r>
        <w:t xml:space="preserve"> </w:t>
      </w:r>
      <w:r>
        <w:t xml:space="preserve">prior. Right: held-out RMSE at the dropped monitors against the noise</w:t>
      </w:r>
      <w:r>
        <w:t xml:space="preserve"> </w:t>
      </w:r>
      <w:r>
        <w:t xml:space="preserve">level.</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Leave-one-monitor-out rows withhold a</w:t>
      </w:r>
      <w:r>
        <w:t xml:space="preserve"> </w:t>
      </w:r>
      <w:r>
        <w:t xml:space="preserve">single sensor; leave-one-zone-out rows withhold both sensors of a zone. Own-coefficient error is</w:t>
      </w:r>
      <w:r>
        <w:t xml:space="preserve"> </w:t>
      </w:r>
      <w:r>
        <w:t xml:space="preserve">measured against the true zone value, and own SD retained is that coefficient’s posterior standard</w:t>
      </w:r>
      <w:r>
        <w:t xml:space="preserve"> </w:t>
      </w:r>
      <w:r>
        <w:t xml:space="preserve">deviation as a percentage of its prior standard deviation.</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These are stress tests, not</w:t>
      </w:r>
      <w:r>
        <w:t xml:space="preserve"> </w:t>
      </w:r>
      <w:r>
        <w:t xml:space="preserve">forecasts: the ageing multipliers are illustrative, no by-product, taste or booster constraint</w:t>
      </w:r>
      <w:r>
        <w:t xml:space="preserve"> </w:t>
      </w:r>
      <w:r>
        <w:t xml:space="preserve">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the time-averaged below-threshold probability, \bar{P} = E[D]/48, against cumulative deficit, E[A]; (B) Top-six overlap with the reference ranking under each perturbation, both metrics, with the whole-network rank correlation above. (C) Expected duration against deficit for all 92 junctions, with representative deep-and-short and long-and-shallow nodes marked."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 the</w:t>
      </w:r>
      <w:r>
        <w:t xml:space="preserve"> </w:t>
      </w:r>
      <w:r>
        <w:t xml:space="preserve">time-averaged below-threshold probability,</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against cumulative deficit,</w:t>
      </w:r>
      <w:r>
        <w:t xml:space="preserve"> </w:t>
      </w:r>
      <m:oMath>
        <m:r>
          <m:t>E</m:t>
        </m:r>
        <m:r>
          <m:rPr>
            <m:sty m:val="p"/>
          </m:rPr>
          <m:t>[</m:t>
        </m:r>
        <m:r>
          <m:t>A</m:t>
        </m:r>
        <m:r>
          <m:rPr>
            <m:sty m:val="p"/>
          </m:rPr>
          <m:t>]</m:t>
        </m:r>
      </m:oMath>
      <w:r>
        <w:t xml:space="preserve">;</w:t>
      </w:r>
      <w:r>
        <w:t xml:space="preserve"> </w:t>
      </w:r>
      <w:r>
        <w:t xml:space="preserve">(B) Top-six overlap with the reference ranking under each perturbation, both metrics, with the</w:t>
      </w:r>
      <w:r>
        <w:t xml:space="preserve"> </w:t>
      </w:r>
      <w:r>
        <w:t xml:space="preserve">whole-network rank correlation above. (C) Expected duration against deficit for all 92</w:t>
      </w:r>
      <w:r>
        <w:t xml:space="preserve"> </w:t>
      </w:r>
      <w:r>
        <w:t xml:space="preserve">junctions, with representative deep-and-short and long-and-shallow nodes</w:t>
      </w:r>
      <w:r>
        <w:t xml:space="preserve"> </w:t>
      </w:r>
      <w:r>
        <w:t xml:space="preserve">marked.</w:t>
      </w:r>
    </w:p>
    <w:bookmarkEnd w:id="95"/>
    <w:bookmarkEnd w:id="96"/>
    <w:bookmarkStart w:id="101" w:name="X7aae9a29c0c924fb0cf7cb400610c1dd13a5f2e"/>
    <w:p>
      <w:pPr>
        <w:pStyle w:val="Heading2"/>
      </w:pPr>
      <w:r>
        <w:t xml:space="preserve">3.7 Integrated implications, limitations and future work</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the fit apparently precise.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displacements of several</w:t>
      </w:r>
      <w:r>
        <w:t xml:space="preserve"> </w:t>
      </w:r>
      <w:r>
        <w:t xml:space="preserve">posterior standard deviations often left the leading set ranked by cumulative deficit unchanged</w:t>
      </w:r>
      <w:r>
        <w:t xml:space="preserve"> </w:t>
      </w:r>
      <w:r>
        <w:t xml:space="preserve">while the ranking by time-averaged breach probability was 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proved necessary, each following from a result above rather than from general</w:t>
      </w:r>
      <w:r>
        <w:t xml:space="preserve"> </w:t>
      </w:r>
      <w:r>
        <w:t xml:space="preserve">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an independent Fisher bound, a continuous profile</w:t>
      </w:r>
      <w:r>
        <w:t xml:space="preserve"> </w:t>
      </w:r>
      <w:r>
        <w:t xml:space="preserve">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and structured within-zone heterogeneity instead displace the estimate by several</w:t>
      </w:r>
      <w:r>
        <w:t xml:space="preserve"> </w:t>
      </w:r>
      <w:r>
        <w:t xml:space="preserve">posterior standard deviations while aggregate fit remains at the noise floor, so in the cases</w:t>
      </w:r>
      <w:r>
        <w:t xml:space="preserve"> </w:t>
      </w:r>
      <w:r>
        <w:t xml:space="preserve">tested here neither was revealed by the aggregate residual statistic used. Bulk-decay</w:t>
      </w:r>
      <w:r>
        <w:t xml:space="preserve"> </w:t>
      </w:r>
      <w:r>
        <w:t xml:space="preserve">uncertainty does both and falls disproportionately on the two weakly decaying zones; under the</w:t>
      </w:r>
      <w:r>
        <w:t xml:space="preserve"> </w:t>
      </w:r>
      <w:r>
        <w:t xml:space="preserve">local Fisher analysis and the study-specific criterion that the Cramér–Rao bound stay below the</w:t>
      </w:r>
      <w:r>
        <w:t xml:space="preserve"> </w:t>
      </w:r>
      <w:r>
        <w:t xml:space="preserve">prior standard deviation, those two coefficients cease to be practically identifiable from this</w:t>
      </w:r>
      <w:r>
        <w:t xml:space="preserve"> </w:t>
      </w:r>
      <w:r>
        <w:t xml:space="preserve">six-monitor design once bulk decay and monitor-specific offsets are treated as unknown together.</w:t>
      </w:r>
      <w:r>
        <w:t xml:space="preserve"> </w:t>
      </w:r>
      <w:r>
        <w:t xml:space="preserve">Structured heterogeneity displaced all three coefficients comparably, although the zones</w:t>
      </w:r>
      <w:r>
        <w:t xml:space="preserve"> </w:t>
      </w:r>
      <w:r>
        <w:t xml:space="preserve">could not be ordered against one another across noise realisations, and the length-weighted</w:t>
      </w:r>
      <w:r>
        <w:t xml:space="preserve"> </w:t>
      </w:r>
      <w:r>
        <w:t xml:space="preserve">value used to separate the candidate targets is a directional comparator rather than the</w:t>
      </w:r>
      <w:r>
        <w:t xml:space="preserve"> </w:t>
      </w:r>
      <w:r>
        <w:t xml:space="preserve">quantity a grouped fit estimates.</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while the</w:t>
      </w:r>
      <w:r>
        <w:t xml:space="preserve"> </w:t>
      </w:r>
      <w:r>
        <w:t xml:space="preserve">new-zone coefficient stayed partly constrained by the remaining monitors and retained 57% of it.</w:t>
      </w:r>
      <w:r>
        <w:t xml:space="preserve"> </w:t>
      </w:r>
      <w:r>
        <w:t xml:space="preserve">In all three cases held-out prediction at those same monitors stayed at the observation-noise</w:t>
      </w:r>
      <w:r>
        <w:t xml:space="preserve"> </w:t>
      </w:r>
      <w:r>
        <w:t xml:space="preserve">scale, and across the 20 never-calibrated junctions and 30 noise realisations the median</w:t>
      </w:r>
      <w:r>
        <w:t xml:space="preserve"> </w:t>
      </w:r>
      <w:r>
        <w:t xml:space="preserve">node-level mean absolute relative error was 0.83%, with an interquartile range of 0.41–1.45%.</w:t>
      </w:r>
      <w:r>
        <w:t xml:space="preserve"> </w:t>
      </w:r>
      <w:r>
        <w:t xml:space="preserve">Parameter displacements of several standard deviations left whole-network</w:t>
      </w:r>
      <w:r>
        <w:t xml:space="preserve"> </w:t>
      </w:r>
      <w:r>
        <w:t xml:space="preserve">rank correlations high, but the six-node shortlist an operator would act on changed under some</w:t>
      </w:r>
      <w:r>
        <w:t xml:space="preserve"> </w:t>
      </w:r>
      <w:r>
        <w:t xml:space="preserve">perturbations and not others, and which it was depended on whether the ranking used expected</w:t>
      </w:r>
      <w:r>
        <w:t xml:space="preserve"> </w:t>
      </w:r>
      <w:r>
        <w:t xml:space="preserve">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0" w:name="references"/>
    <w:p>
      <w:pPr>
        <w:pStyle w:val="Heading1"/>
      </w:pPr>
      <w:r>
        <w:t xml:space="preserve">References</w:t>
      </w:r>
    </w:p>
    <w:bookmarkStart w:id="129" w:name="refs"/>
    <w:bookmarkStart w:id="105" w:name="ref-BevenBinley1992"/>
    <w:p>
      <w:pPr>
        <w:pStyle w:val="Bibliography"/>
      </w:pPr>
      <w:r>
        <w:t xml:space="preserve">Beven, K. and Binley, A. (1992)</w:t>
      </w:r>
      <w:r>
        <w:t xml:space="preserve"> </w:t>
      </w:r>
      <w:r>
        <w:t xml:space="preserve">“The future of distributed models: Model calibration and uncertainty prediction,”</w:t>
      </w:r>
      <w:r>
        <w:t xml:space="preserve"> </w:t>
      </w:r>
      <w:r>
        <w:rPr>
          <w:i/>
          <w:iCs/>
        </w:rPr>
        <w:t xml:space="preserve">Hydrological Processes</w:t>
      </w:r>
      <w:r>
        <w:t xml:space="preserve">, 6(3), pp. 279–298. Available at:</w:t>
      </w:r>
      <w:r>
        <w:t xml:space="preserve"> </w:t>
      </w:r>
      <w:hyperlink r:id="rId104">
        <w:r>
          <w:rPr>
            <w:rStyle w:val="Hyperlink"/>
          </w:rPr>
          <w:t xml:space="preserve">https://doi.org/10.1002/hyp.3360060305</w:t>
        </w:r>
      </w:hyperlink>
      <w:r>
        <w:t xml:space="preserve">.</w:t>
      </w:r>
    </w:p>
    <w:bookmarkEnd w:id="105"/>
    <w:bookmarkStart w:id="107" w:name="ref-BevenBinley2014"/>
    <w:p>
      <w:pPr>
        <w:pStyle w:val="Bibliography"/>
      </w:pPr>
      <w:r>
        <w:t xml:space="preserve">Beven, K. and Binley, A. (2014)</w:t>
      </w:r>
      <w:r>
        <w:t xml:space="preserve"> </w:t>
      </w:r>
      <w:r>
        <w:t xml:space="preserve">“</w:t>
      </w:r>
      <w:r>
        <w:t xml:space="preserve">GLUE</w:t>
      </w:r>
      <w:r>
        <w:t xml:space="preserve">: 20 years on,”</w:t>
      </w:r>
      <w:r>
        <w:t xml:space="preserve"> </w:t>
      </w:r>
      <w:r>
        <w:rPr>
          <w:i/>
          <w:iCs/>
        </w:rPr>
        <w:t xml:space="preserve">Hydrological Processes</w:t>
      </w:r>
      <w:r>
        <w:t xml:space="preserve">, 28(24), pp. 5897–5918. Available at:</w:t>
      </w:r>
      <w:r>
        <w:t xml:space="preserve"> </w:t>
      </w:r>
      <w:hyperlink r:id="rId106">
        <w:r>
          <w:rPr>
            <w:rStyle w:val="Hyperlink"/>
          </w:rPr>
          <w:t xml:space="preserve">https://doi.org/10.1002/hyp.10082</w:t>
        </w:r>
      </w:hyperlink>
      <w:r>
        <w:t xml:space="preserve">.</w:t>
      </w:r>
    </w:p>
    <w:bookmarkEnd w:id="107"/>
    <w:bookmarkStart w:id="109" w:name="ref-Brun2001"/>
    <w:p>
      <w:pPr>
        <w:pStyle w:val="Bibliography"/>
      </w:pPr>
      <w:r>
        <w:t xml:space="preserve">Brun, R., Reichert, P. and Künsch, H.R. (2001)</w:t>
      </w:r>
      <w:r>
        <w:t xml:space="preserve"> </w:t>
      </w:r>
      <w:r>
        <w:t xml:space="preserve">“Practical identifiability analysis of large environmental simulation models,”</w:t>
      </w:r>
      <w:r>
        <w:t xml:space="preserve"> </w:t>
      </w:r>
      <w:r>
        <w:rPr>
          <w:i/>
          <w:iCs/>
        </w:rPr>
        <w:t xml:space="preserve">Water Resources Research</w:t>
      </w:r>
      <w:r>
        <w:t xml:space="preserve">, 37(4), pp. 1015–1030. Available at:</w:t>
      </w:r>
      <w:r>
        <w:t xml:space="preserve"> </w:t>
      </w:r>
      <w:hyperlink r:id="rId108">
        <w:r>
          <w:rPr>
            <w:rStyle w:val="Hyperlink"/>
          </w:rPr>
          <w:t xml:space="preserve">https://doi.org/10.1029/2000WR900350</w:t>
        </w:r>
      </w:hyperlink>
      <w:r>
        <w:t xml:space="preserve">.</w:t>
      </w:r>
    </w:p>
    <w:bookmarkEnd w:id="109"/>
    <w:bookmarkStart w:id="110" w:name="ref-Hallam2002"/>
    <w:p>
      <w:pPr>
        <w:pStyle w:val="Bibliography"/>
      </w:pPr>
      <w:r>
        <w:t xml:space="preserve">Hallam, N.</w:t>
      </w:r>
      <w:r>
        <w:t xml:space="preserve"> </w:t>
      </w:r>
      <w:r>
        <w:rPr>
          <w:i/>
          <w:iCs/>
        </w:rPr>
        <w:t xml:space="preserve">et al.</w:t>
      </w:r>
      <w:r>
        <w:t xml:space="preserve"> </w:t>
      </w:r>
      <w:r>
        <w:t xml:space="preserve">(2002)</w:t>
      </w:r>
      <w:r>
        <w:t xml:space="preserve"> </w:t>
      </w:r>
      <w:r>
        <w:t xml:space="preserve">“The decay of chlorine associated with the pipe wall in distribution systems,”</w:t>
      </w:r>
      <w:r>
        <w:t xml:space="preserve"> </w:t>
      </w:r>
      <w:r>
        <w:rPr>
          <w:i/>
          <w:iCs/>
        </w:rPr>
        <w:t xml:space="preserve">Water Research</w:t>
      </w:r>
      <w:r>
        <w:t xml:space="preserve">, 36(14), pp. 3479–3488.</w:t>
      </w:r>
    </w:p>
    <w:bookmarkEnd w:id="110"/>
    <w:bookmarkStart w:id="112" w:name="ref-Klise2017WNTR"/>
    <w:p>
      <w:pPr>
        <w:pStyle w:val="Bibliography"/>
      </w:pPr>
      <w:r>
        <w:t xml:space="preserve">Klise, K.A.</w:t>
      </w:r>
      <w:r>
        <w:t xml:space="preserve"> </w:t>
      </w:r>
      <w:r>
        <w:rPr>
          <w:i/>
          <w:iCs/>
        </w:rPr>
        <w:t xml:space="preserve">et al.</w:t>
      </w:r>
      <w:r>
        <w:t xml:space="preserve"> </w:t>
      </w:r>
      <w:r>
        <w:t xml:space="preserve">(2017)</w:t>
      </w:r>
      <w:r>
        <w:t xml:space="preserve"> </w:t>
      </w:r>
      <w:r>
        <w:t xml:space="preserve">“A software framework for assessing the resilience of drinking water systems to disasters with an example earthquake case study,”</w:t>
      </w:r>
      <w:r>
        <w:t xml:space="preserve"> </w:t>
      </w:r>
      <w:r>
        <w:rPr>
          <w:i/>
          <w:iCs/>
        </w:rPr>
        <w:t xml:space="preserve">Environmental Modelling &amp; Software</w:t>
      </w:r>
      <w:r>
        <w:t xml:space="preserve">, 95, pp. 420–431. Available at:</w:t>
      </w:r>
      <w:r>
        <w:t xml:space="preserve"> </w:t>
      </w:r>
      <w:hyperlink r:id="rId111">
        <w:r>
          <w:rPr>
            <w:rStyle w:val="Hyperlink"/>
          </w:rPr>
          <w:t xml:space="preserve">https://doi.org/10.1016/j.envsoft.2017.06.022</w:t>
        </w:r>
      </w:hyperlink>
      <w:r>
        <w:t xml:space="preserve">.</w:t>
      </w:r>
    </w:p>
    <w:bookmarkEnd w:id="112"/>
    <w:bookmarkStart w:id="114" w:name="ref-MantovanTodini2006"/>
    <w:p>
      <w:pPr>
        <w:pStyle w:val="Bibliography"/>
      </w:pPr>
      <w:r>
        <w:t xml:space="preserve">Mantovan, P. and Todini, E. (2006)</w:t>
      </w:r>
      <w:r>
        <w:t xml:space="preserve"> </w:t>
      </w:r>
      <w:r>
        <w:t xml:space="preserve">“Hydrological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pp. 368–381. Available at:</w:t>
      </w:r>
      <w:r>
        <w:t xml:space="preserve"> </w:t>
      </w:r>
      <w:hyperlink r:id="rId113">
        <w:r>
          <w:rPr>
            <w:rStyle w:val="Hyperlink"/>
          </w:rPr>
          <w:t xml:space="preserve">https://doi.org/10.1016/j.jhydrol.2006.04.046</w:t>
        </w:r>
      </w:hyperlink>
      <w:r>
        <w:t xml:space="preserve">.</w:t>
      </w:r>
    </w:p>
    <w:bookmarkEnd w:id="114"/>
    <w:bookmarkStart w:id="116" w:name="ref-Munavalli2003SteadyState"/>
    <w:p>
      <w:pPr>
        <w:pStyle w:val="Bibliography"/>
      </w:pPr>
      <w:r>
        <w:t xml:space="preserve">Munavalli, G.R. and Mohan Kumar, M.S. (2003)</w:t>
      </w:r>
      <w:r>
        <w:t xml:space="preserve"> </w:t>
      </w:r>
      <w:r>
        <w:t xml:space="preserve">“Water quality parameter estimation in steady-state distribution system,”</w:t>
      </w:r>
      <w:r>
        <w:t xml:space="preserve"> </w:t>
      </w:r>
      <w:r>
        <w:rPr>
          <w:i/>
          <w:iCs/>
        </w:rPr>
        <w:t xml:space="preserve">Journal of Water Resources Planning and Management</w:t>
      </w:r>
      <w:r>
        <w:t xml:space="preserve">, 129(2), pp. 124–134. Available at:</w:t>
      </w:r>
      <w:r>
        <w:t xml:space="preserve"> </w:t>
      </w:r>
      <w:hyperlink r:id="rId115">
        <w:r>
          <w:rPr>
            <w:rStyle w:val="Hyperlink"/>
          </w:rPr>
          <w:t xml:space="preserve">https://doi.org/10.1061/(ASCE)0733-9496(2003)129:2(124)</w:t>
        </w:r>
      </w:hyperlink>
      <w:r>
        <w:t xml:space="preserve">.</w:t>
      </w:r>
    </w:p>
    <w:bookmarkEnd w:id="116"/>
    <w:bookmarkStart w:id="118" w:name="ref-Nejjari2014ChlorineCalibration"/>
    <w:p>
      <w:pPr>
        <w:pStyle w:val="Bibliography"/>
      </w:pPr>
      <w:r>
        <w:t xml:space="preserve">Nejjari, F.</w:t>
      </w:r>
      <w:r>
        <w:t xml:space="preserve"> </w:t>
      </w:r>
      <w:r>
        <w:rPr>
          <w:i/>
          <w:iCs/>
        </w:rPr>
        <w:t xml:space="preserve">et al.</w:t>
      </w:r>
      <w:r>
        <w:t xml:space="preserve"> </w:t>
      </w:r>
      <w:r>
        <w:t xml:space="preserve">(2014)</w:t>
      </w:r>
      <w:r>
        <w:t xml:space="preserve"> </w:t>
      </w:r>
      <w:r>
        <w:t xml:space="preserve">“Chlorine decay model calibration and comparison: Application to a real water network,”</w:t>
      </w:r>
      <w:r>
        <w:t xml:space="preserve"> </w:t>
      </w:r>
      <w:r>
        <w:rPr>
          <w:i/>
          <w:iCs/>
        </w:rPr>
        <w:t xml:space="preserve">Procedia Engineering</w:t>
      </w:r>
      <w:r>
        <w:t xml:space="preserve">, 70, pp. 1221–1230. Available at:</w:t>
      </w:r>
      <w:r>
        <w:t xml:space="preserve"> </w:t>
      </w:r>
      <w:hyperlink r:id="rId117">
        <w:r>
          <w:rPr>
            <w:rStyle w:val="Hyperlink"/>
          </w:rPr>
          <w:t xml:space="preserve">https://doi.org/10.1016/j.proeng.2014.02.135</w:t>
        </w:r>
      </w:hyperlink>
      <w:r>
        <w:t xml:space="preserve">.</w:t>
      </w:r>
    </w:p>
    <w:bookmarkEnd w:id="118"/>
    <w:bookmarkStart w:id="120" w:name="ref-Powell2000"/>
    <w:p>
      <w:pPr>
        <w:pStyle w:val="Bibliography"/>
      </w:pPr>
      <w:r>
        <w:t xml:space="preserve">Powell, J.C.</w:t>
      </w:r>
      <w:r>
        <w:t xml:space="preserve"> </w:t>
      </w:r>
      <w:r>
        <w:rPr>
          <w:i/>
          <w:iCs/>
        </w:rPr>
        <w:t xml:space="preserve">et al.</w:t>
      </w:r>
      <w:r>
        <w:t xml:space="preserve"> </w:t>
      </w:r>
      <w:r>
        <w:t xml:space="preserve">(2000)</w:t>
      </w:r>
      <w:r>
        <w:t xml:space="preserve"> </w:t>
      </w:r>
      <w:r>
        <w:t xml:space="preserve">“Factors which control bulk chlorine decay rates,”</w:t>
      </w:r>
      <w:r>
        <w:t xml:space="preserve"> </w:t>
      </w:r>
      <w:r>
        <w:rPr>
          <w:i/>
          <w:iCs/>
        </w:rPr>
        <w:t xml:space="preserve">Water Research</w:t>
      </w:r>
      <w:r>
        <w:t xml:space="preserve">, 34(1), pp. 117–126. Available at:</w:t>
      </w:r>
      <w:r>
        <w:t xml:space="preserve"> </w:t>
      </w:r>
      <w:hyperlink r:id="rId119">
        <w:r>
          <w:rPr>
            <w:rStyle w:val="Hyperlink"/>
          </w:rPr>
          <w:t xml:space="preserve">https://doi.org/10.1016/S0043-1354(99)00097-4</w:t>
        </w:r>
      </w:hyperlink>
      <w:r>
        <w:t xml:space="preserve">.</w:t>
      </w:r>
    </w:p>
    <w:bookmarkEnd w:id="120"/>
    <w:bookmarkStart w:id="122" w:name="ref-Raue2009"/>
    <w:p>
      <w:pPr>
        <w:pStyle w:val="Bibliography"/>
      </w:pPr>
      <w:r>
        <w:t xml:space="preserve">Raue, A.</w:t>
      </w:r>
      <w:r>
        <w:t xml:space="preserve"> </w:t>
      </w:r>
      <w:r>
        <w:rPr>
          <w:i/>
          <w:iCs/>
        </w:rPr>
        <w:t xml:space="preserve">et al.</w:t>
      </w:r>
      <w:r>
        <w:t xml:space="preserve"> </w:t>
      </w:r>
      <w:r>
        <w:t xml:space="preserve">(2009)</w:t>
      </w:r>
      <w:r>
        <w:t xml:space="preserve"> </w:t>
      </w:r>
      <w:r>
        <w:t xml:space="preserve">“Structural and practical identifiability analysis of partially observed dynamical models by exploiting the profile likelihood,”</w:t>
      </w:r>
      <w:r>
        <w:t xml:space="preserve"> </w:t>
      </w:r>
      <w:r>
        <w:rPr>
          <w:i/>
          <w:iCs/>
        </w:rPr>
        <w:t xml:space="preserve">Bioinformatics</w:t>
      </w:r>
      <w:r>
        <w:t xml:space="preserve">, 25(15), pp. 1923–1929. Available at:</w:t>
      </w:r>
      <w:r>
        <w:t xml:space="preserve"> </w:t>
      </w:r>
      <w:hyperlink r:id="rId121">
        <w:r>
          <w:rPr>
            <w:rStyle w:val="Hyperlink"/>
          </w:rPr>
          <w:t xml:space="preserve">https://doi.org/10.1093/bioinformatics/btp358</w:t>
        </w:r>
      </w:hyperlink>
      <w:r>
        <w:t xml:space="preserve">.</w:t>
      </w:r>
    </w:p>
    <w:bookmarkEnd w:id="122"/>
    <w:bookmarkStart w:id="123"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3"/>
    <w:bookmarkStart w:id="124" w:name="ref-Rossman2020"/>
    <w:p>
      <w:pPr>
        <w:pStyle w:val="Bibliography"/>
      </w:pPr>
      <w:r>
        <w:t xml:space="preserve">Rossman, L.A.</w:t>
      </w:r>
      <w:r>
        <w:t xml:space="preserve"> </w:t>
      </w:r>
      <w:r>
        <w:rPr>
          <w:i/>
          <w:iCs/>
        </w:rPr>
        <w:t xml:space="preserve">et al.</w:t>
      </w:r>
      <w:r>
        <w:t xml:space="preserve"> </w:t>
      </w:r>
      <w:r>
        <w:t xml:space="preserve">(2020)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4"/>
    <w:bookmarkStart w:id="125" w:name="ref-Rossman1994"/>
    <w:p>
      <w:pPr>
        <w:pStyle w:val="Bibliography"/>
      </w:pPr>
      <w:r>
        <w:t xml:space="preserve">Rossman, L.A., Clark, R.M. and Grayman, W.M. (1994)</w:t>
      </w:r>
      <w:r>
        <w:t xml:space="preserve"> </w:t>
      </w:r>
      <w:r>
        <w:t xml:space="preserve">“Modeling chlorine residuals in drinking-water distribution systems,”</w:t>
      </w:r>
      <w:r>
        <w:t xml:space="preserve"> </w:t>
      </w:r>
      <w:r>
        <w:rPr>
          <w:i/>
          <w:iCs/>
        </w:rPr>
        <w:t xml:space="preserve">Journal of Environmental Engineering</w:t>
      </w:r>
      <w:r>
        <w:t xml:space="preserve">, 120(4), pp. 803–820.</w:t>
      </w:r>
    </w:p>
    <w:bookmarkEnd w:id="125"/>
    <w:bookmarkStart w:id="127" w:name="ref-Stedinger2008"/>
    <w:p>
      <w:pPr>
        <w:pStyle w:val="Bibliography"/>
      </w:pPr>
      <w:r>
        <w:t xml:space="preserve">Stedinger, J.R.</w:t>
      </w:r>
      <w:r>
        <w:t xml:space="preserve"> </w:t>
      </w:r>
      <w:r>
        <w:rPr>
          <w:i/>
          <w:iCs/>
        </w:rPr>
        <w:t xml:space="preserve">et al.</w:t>
      </w:r>
      <w:r>
        <w:t xml:space="preserve"> </w:t>
      </w:r>
      <w:r>
        <w:t xml:space="preserve">(2008)</w:t>
      </w:r>
      <w:r>
        <w:t xml:space="preserve"> </w:t>
      </w:r>
      <w:r>
        <w:t xml:space="preserve">“Appraisal of the generalized likelihood uncertainty estimation (</w:t>
      </w:r>
      <w:r>
        <w:t xml:space="preserve">GLUE</w:t>
      </w:r>
      <w:r>
        <w:t xml:space="preserve">) method,”</w:t>
      </w:r>
      <w:r>
        <w:t xml:space="preserve"> </w:t>
      </w:r>
      <w:r>
        <w:rPr>
          <w:i/>
          <w:iCs/>
        </w:rPr>
        <w:t xml:space="preserve">Water Resources Research</w:t>
      </w:r>
      <w:r>
        <w:t xml:space="preserve">, 44(12), p. W00B06. Available at:</w:t>
      </w:r>
      <w:r>
        <w:t xml:space="preserve"> </w:t>
      </w:r>
      <w:hyperlink r:id="rId126">
        <w:r>
          <w:rPr>
            <w:rStyle w:val="Hyperlink"/>
          </w:rPr>
          <w:t xml:space="preserve">https://doi.org/10.1029/2008WR006822</w:t>
        </w:r>
      </w:hyperlink>
      <w:r>
        <w:t xml:space="preserve">.</w:t>
      </w:r>
    </w:p>
    <w:bookmarkEnd w:id="127"/>
    <w:bookmarkStart w:id="128" w:name="ref-Vasconcelos1997"/>
    <w:p>
      <w:pPr>
        <w:pStyle w:val="Bibliography"/>
      </w:pPr>
      <w:r>
        <w:t xml:space="preserve">Vasconcelos, J.J.</w:t>
      </w:r>
      <w:r>
        <w:t xml:space="preserve"> </w:t>
      </w:r>
      <w:r>
        <w:rPr>
          <w:i/>
          <w:iCs/>
        </w:rPr>
        <w:t xml:space="preserve">et al.</w:t>
      </w:r>
      <w:r>
        <w:t xml:space="preserve"> </w:t>
      </w:r>
      <w:r>
        <w:t xml:space="preserve">(1997)</w:t>
      </w:r>
      <w:r>
        <w:t xml:space="preserve"> </w:t>
      </w:r>
      <w:r>
        <w:t xml:space="preserve">“Kinetics of chlorine decay,”</w:t>
      </w:r>
      <w:r>
        <w:t xml:space="preserve"> </w:t>
      </w:r>
      <w:r>
        <w:rPr>
          <w:i/>
          <w:iCs/>
        </w:rPr>
        <w:t xml:space="preserve">Journal AWWA</w:t>
      </w:r>
      <w:r>
        <w:t xml:space="preserve">, 89(7), pp. 54–65.</w:t>
      </w:r>
    </w:p>
    <w:bookmarkEnd w:id="128"/>
    <w:bookmarkEnd w:id="129"/>
    <w:bookmarkEnd w:id="130"/>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19" Target="https://doi.org/10.1016/S0043-1354(99)00097-4" TargetMode="External" /><Relationship Type="http://schemas.openxmlformats.org/officeDocument/2006/relationships/hyperlink" Id="rId111" Target="https://doi.org/10.1016/j.envsoft.2017.06.022" TargetMode="External" /><Relationship Type="http://schemas.openxmlformats.org/officeDocument/2006/relationships/hyperlink" Id="rId113" Target="https://doi.org/10.1016/j.jhydrol.2006.04.046" TargetMode="External" /><Relationship Type="http://schemas.openxmlformats.org/officeDocument/2006/relationships/hyperlink" Id="rId117"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6" Target="https://doi.org/10.1029/2008WR006822" TargetMode="External" /><Relationship Type="http://schemas.openxmlformats.org/officeDocument/2006/relationships/hyperlink" Id="rId115" Target="https://doi.org/10.1061/(ASCE)0733-9496(2003)129:2(124)" TargetMode="External" /><Relationship Type="http://schemas.openxmlformats.org/officeDocument/2006/relationships/hyperlink" Id="rId121"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19" Target="https://doi.org/10.1016/S0043-1354(99)00097-4" TargetMode="External" /><Relationship Type="http://schemas.openxmlformats.org/officeDocument/2006/relationships/hyperlink" Id="rId111" Target="https://doi.org/10.1016/j.envsoft.2017.06.022" TargetMode="External" /><Relationship Type="http://schemas.openxmlformats.org/officeDocument/2006/relationships/hyperlink" Id="rId113" Target="https://doi.org/10.1016/j.jhydrol.2006.04.046" TargetMode="External" /><Relationship Type="http://schemas.openxmlformats.org/officeDocument/2006/relationships/hyperlink" Id="rId117"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6" Target="https://doi.org/10.1029/2008WR006822" TargetMode="External" /><Relationship Type="http://schemas.openxmlformats.org/officeDocument/2006/relationships/hyperlink" Id="rId115" Target="https://doi.org/10.1061/(ASCE)0733-9496(2003)129:2(124)" TargetMode="External" /><Relationship Type="http://schemas.openxmlformats.org/officeDocument/2006/relationships/hyperlink" Id="rId121"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2026-08-09T23:18:28Z</dcterms:created>
  <dcterms:modified xsi:type="dcterms:W3CDTF">2026-08-09T23:18:28Z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/Users/prx/Zotero/styles/harvard-cite-them-right.csl</vt:lpwstr>
  </property>
  <property fmtid="{D5CDD505-2E9C-101B-9397-08002B2CF9AE}" pid="4" name="date">
    <vt:lpwstr>August 2026</vt:lpwstr>
  </property>
</Properties>
</file>