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 informal weighting previously applied to the</w:t>
      </w:r>
      <w:r>
        <w:t xml:space="preserve"> </w:t>
      </w:r>
      <w:r>
        <w:t xml:space="preserve">same system, on identical observations and candidate draws. Identifiability is triangulated</w:t>
      </w:r>
      <w:r>
        <w:t xml:space="preserve"> </w:t>
      </w:r>
      <w:r>
        <w:t xml:space="preserve">across prior contraction, displaced priors, Fisher information, profile likelihood and</w:t>
      </w:r>
      <w:r>
        <w:t xml:space="preserve"> </w:t>
      </w:r>
      <w:r>
        <w:t xml:space="preserve">repeated-noise calibration. Measurement, nuisance and structural errors are then placed on common</w:t>
      </w:r>
      <w:r>
        <w:t xml:space="preserve"> </w:t>
      </w:r>
      <w:r>
        <w:t xml:space="preserve">scales before propagation to prediction and low-chlorine 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The average and new coefficients no longer met the study identifiability criterion once bulk</w:t>
      </w:r>
      <w:r>
        <w:t xml:space="preserve"> </w:t>
      </w:r>
      <w:r>
        <w:t xml:space="preserve">decay and monitor offsets were treated as jointly unknown.</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minimum candidate-library RMSE never exceeded the realised observation-noise RMSE by</w:t>
      </w:r>
      <w:r>
        <w:t xml:space="preserve"> </w:t>
      </w:r>
      <w:r>
        <w:t xml:space="preserve">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should be assessed</w:t>
      </w:r>
      <w:r>
        <w:t xml:space="preserve"> </w:t>
      </w:r>
      <w:r>
        <w:t xml:space="preserve">separately.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 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 m day</w:t>
      </w:r>
      <w:r>
        <w:rPr>
          <w:vertAlign w:val="superscript"/>
        </w:rPr>
        <w:t xml:space="preserve">-1</w:t>
      </w:r>
      <w:r>
        <w:t xml:space="preserve">. The wall reaction is coupled to mass</w:t>
      </w:r>
      <w:r>
        <w:t xml:space="preserve"> </w:t>
      </w:r>
      <w:r>
        <w:t xml:space="preserve">transfer from the bulk, so diameter and flow 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Grouped coefficients have been calibrated by global optimisation heuristics, genetic and</w:t>
      </w:r>
      <w:r>
        <w:t xml:space="preserve"> </w:t>
      </w:r>
      <w:r>
        <w:t xml:space="preserve">particle-swarm among them</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Such calibrations target best-fitting values but do not themselves quantify how strongly the data</w:t>
      </w:r>
      <w:r>
        <w:t xml:space="preserve"> </w:t>
      </w:r>
      <w:r>
        <w:t xml:space="preserve">identify them.</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 reduce the effective information in monitored series,</w:t>
      </w:r>
      <w:r>
        <w:t xml:space="preserve"> </w:t>
      </w:r>
      <w:r>
        <w:t xml:space="preserve">and readings at a reporting boundary are censored, not exact. Systematic offsets or drift bias the inferred parameters while remaining hard to diagnose from</w:t>
      </w:r>
      <w:r>
        <w:t xml:space="preserve"> </w:t>
      </w:r>
      <w:r>
        <w:t xml:space="preserve">fit quality, and online free-chlorine sensors degrade that way</w:t>
      </w:r>
      <w:r>
        <w:t xml:space="preserve"> </w:t>
      </w:r>
      <w:r>
        <w:t xml:space="preserve">(Aisopou &amp; Stoianov, 2024)</w:t>
      </w:r>
      <w:r>
        <w:t xml:space="preserve">. Bulk decay is often characterised separately and held fixed during wall-decay calibration, so an</w:t>
      </w:r>
      <w:r>
        <w:t xml:space="preserve"> </w:t>
      </w:r>
      <w:r>
        <w:t xml:space="preserve">error in it is absorbed by the wall coefficients, and grouping is an approximation where wall</w:t>
      </w:r>
      <w:r>
        <w:t xml:space="preserve"> </w:t>
      </w:r>
      <w:r>
        <w:t xml:space="preserve">reactivity varies</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 Nejjari</w:t>
      </w:r>
      <w:r>
        <w:t xml:space="preserve"> </w:t>
      </w:r>
      <w:r>
        <w:rPr>
          <w:i/>
          <w:iCs/>
        </w:rPr>
        <w:t xml:space="preserve">et al.</w:t>
      </w:r>
      <w:r>
        <w:t xml:space="preserve">, 2014)</w:t>
      </w:r>
      <w:r>
        <w:t xml:space="preserve">. A close fit therefore does not establish that the coefficients represent the underlying reaction</w:t>
      </w:r>
      <w:r>
        <w:t xml:space="preserve"> </w:t>
      </w:r>
      <w:r>
        <w:t xml:space="preserve">process.</w:t>
      </w:r>
    </w:p>
    <w:p>
      <w:pPr>
        <w:pStyle w:val="BodyText"/>
      </w:pPr>
      <w:r>
        <w:t xml:space="preserve">Uncertainty here has been addressed through real-time data assimilation</w:t>
      </w:r>
      <w:r>
        <w:t xml:space="preserve"> </w:t>
      </w:r>
      <w:r>
        <w:t xml:space="preserve">(Hutton</w:t>
      </w:r>
      <w:r>
        <w:t xml:space="preserve"> </w:t>
      </w:r>
      <w:r>
        <w:rPr>
          <w:i/>
          <w:iCs/>
        </w:rPr>
        <w:t xml:space="preserve">et al.</w:t>
      </w:r>
      <w:r>
        <w:t xml:space="preserve">, 2014)</w:t>
      </w:r>
      <w:r>
        <w:t xml:space="preserve">, including joint state and parameter estimation by ensemble Kalman</w:t>
      </w:r>
      <w:r>
        <w:t xml:space="preserve"> </w:t>
      </w:r>
      <w:r>
        <w:t xml:space="preserve">filtering</w:t>
      </w:r>
      <w:r>
        <w:t xml:space="preserve"> </w:t>
      </w:r>
      <w:r>
        <w:t xml:space="preserve">(Rajakumar</w:t>
      </w:r>
      <w:r>
        <w:t xml:space="preserve"> </w:t>
      </w:r>
      <w:r>
        <w:rPr>
          <w:i/>
          <w:iCs/>
        </w:rPr>
        <w:t xml:space="preserve">et al.</w:t>
      </w:r>
      <w:r>
        <w:t xml:space="preserve">, 2019)</w:t>
      </w:r>
      <w:r>
        <w:t xml:space="preserve">, through explicit input error</w:t>
      </w:r>
      <w:r>
        <w:t xml:space="preserve"> </w:t>
      </w:r>
      <w:r>
        <w:t xml:space="preserve">(Wu, Marshall &amp; Sharma, 2022)</w:t>
      </w:r>
      <w:r>
        <w:t xml:space="preserve">, and through formal</w:t>
      </w:r>
      <w:r>
        <w:t xml:space="preserve"> </w:t>
      </w:r>
      <w:r>
        <w:t xml:space="preserve">Bayesian inference on disinfectant decay</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 combine behavioural thresholds with informal likelihood</w:t>
      </w:r>
      <w:r>
        <w:t xml:space="preserve"> </w:t>
      </w:r>
      <w:r>
        <w:t xml:space="preserve">measures whose statistical interpretation depends on their relationship to the assumed error</w:t>
      </w:r>
      <w:r>
        <w:t xml:space="preserve"> </w:t>
      </w:r>
      <w:r>
        <w:t xml:space="preserve">process</w:t>
      </w:r>
      <w:r>
        <w:t xml:space="preserve"> </w:t>
      </w:r>
      <w:r>
        <w:t xml:space="preserve">(Beven &amp; Binley, 1992)</w:t>
      </w:r>
      <w:r>
        <w:t xml:space="preserve">. Critiques have shown that a measure not representing the sampling</w:t>
      </w:r>
      <w:r>
        <w:t xml:space="preserve"> </w:t>
      </w:r>
      <w:r>
        <w:t xml:space="preserve">distribution of model errors need not deliver formally calibrated parameter or prediction</w:t>
      </w:r>
      <w:r>
        <w:t xml:space="preserve"> </w:t>
      </w:r>
      <w:r>
        <w:t xml:space="preserve">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It compares a formal censored Gaussian likelihood with the</w:t>
      </w:r>
      <w:r>
        <w:t xml:space="preserve"> </w:t>
      </w:r>
      <w:r>
        <w:t xml:space="preserve">specific informal weighting previously applied to this system, on identical observations and</w:t>
      </w:r>
      <w:r>
        <w:t xml:space="preserve"> </w:t>
      </w:r>
      <w:r>
        <w:t xml:space="preserve">candidate draws. It triangulates identifiability across posterior contraction, displaced priors,</w:t>
      </w:r>
      <w:r>
        <w:t xml:space="preserve"> </w:t>
      </w:r>
      <w:r>
        <w:t xml:space="preserve">Fisher information, continuous profile likelihood and repeated-noise calibration. It separates</w:t>
      </w:r>
      <w:r>
        <w:t xml:space="preserve"> </w:t>
      </w:r>
      <w:r>
        <w:t xml:space="preserve">precision loss from parameter displacement across measurement, nuisance and structural</w:t>
      </w:r>
      <w:r>
        <w:t xml:space="preserve"> </w:t>
      </w:r>
      <w:r>
        <w:t xml:space="preserve">perturbations on common scales. And it distinguishes parameter identification, predictive</w:t>
      </w:r>
      <w:r>
        <w:t xml:space="preserve"> </w:t>
      </w:r>
      <w:r>
        <w:t xml:space="preserve">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and Section 3.1.2 reports what</w:t>
      </w:r>
      <w:r>
        <w:t xml:space="preserve"> </w:t>
      </w:r>
      <w:r>
        <w:t xml:space="preserve">the unmet diagnostics bound.</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are reported in mg L</w:t>
      </w:r>
      <w:r>
        <w:rPr>
          <w:vertAlign w:val="superscript"/>
        </w:rPr>
        <w:t xml:space="preserve">-1</w:t>
      </w:r>
      <w:r>
        <w:t xml:space="preserve">, converted to WNTR’s internal kg m</w:t>
      </w:r>
      <w:r>
        <w:rPr>
          <w:vertAlign w:val="superscript"/>
        </w:rPr>
        <w:t xml:space="preserve">-3</w:t>
      </w:r>
      <w:r>
        <w:t xml:space="preserve"> </w:t>
      </w:r>
      <w:r>
        <w:t xml:space="preserve">representation</w:t>
      </w:r>
      <w:r>
        <w:t xml:space="preserve"> </w:t>
      </w:r>
      <w:r>
        <w:t xml:space="preserve">on model input and back on output</w:t>
      </w:r>
      <w:r>
        <w:t xml:space="preserve"> </w:t>
      </w:r>
      <w:r>
        <w:t xml:space="preserve">(Klise</w:t>
      </w:r>
      <w:r>
        <w:t xml:space="preserve"> </w:t>
      </w:r>
      <w:r>
        <w:rPr>
          <w:i/>
          <w:iCs/>
        </w:rPr>
        <w:t xml:space="preserve">et al.</w:t>
      </w:r>
      <w:r>
        <w:t xml:space="preserve">, 2017; WNTR Development Team, 2026)</w:t>
      </w:r>
      <w:r>
        <w:t xml:space="preserve">.</w:t>
      </w:r>
      <w:r>
        <w:t xml:space="preserve"> </w:t>
      </w:r>
      <w:r>
        <w:t xml:space="preserve">The EPANET absolute quality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It is a chosen setting, a thousand times stricter than the EPANET default of 0.01 mg L</w:t>
      </w:r>
      <w:r>
        <w:rPr>
          <w:vertAlign w:val="superscript"/>
        </w:rPr>
        <w:t xml:space="preserve">-1</w:t>
      </w:r>
      <w:r>
        <w:t xml:space="preserve"> </w:t>
      </w:r>
      <w:r>
        <w:t xml:space="preserve">(Rossman</w:t>
      </w:r>
      <w:r>
        <w:t xml:space="preserve"> </w:t>
      </w:r>
      <w:r>
        <w:rPr>
          <w:i/>
          <w:iCs/>
        </w:rPr>
        <w:t xml:space="preserve">et al.</w:t>
      </w:r>
      <w:r>
        <w:t xml:space="preserve">, 2020)</w:t>
      </w:r>
      <w:r>
        <w:t xml:space="preserve">, holding the tolerance-to-source ratio fixed so that the corrected and superseded</w:t>
      </w:r>
      <w:r>
        <w:t xml:space="preserve"> </w:t>
      </w:r>
      <w:r>
        <w:t xml:space="preserve">implementations are one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 was checked for the expected sign, for monotonic response, and against</w:t>
      </w:r>
      <w:r>
        <w:t xml:space="preserve"> </w:t>
      </w:r>
      <w:r>
        <w:t xml:space="preserve">the limiting case without mass transfer.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(Sobol’, 1967; Owen, 1998)</w:t>
      </w:r>
      <w:r>
        <w:t xml:space="preserve">.</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The censored Gaussian, iid Gaussian and informal GLUE formulations were evaluated</w:t>
      </w:r>
      <w:r>
        <w:t xml:space="preserve"> </w:t>
      </w:r>
      <w:r>
        <w:t xml:space="preserve">on identical prior draws and identical model predictions, so any difference between those</w:t>
      </w:r>
      <w:r>
        <w:t xml:space="preserve"> </w:t>
      </w:r>
      <w:r>
        <w:t xml:space="preserve">baseline results is attributable to the weighting formulation rather than to sampling or to</w:t>
      </w:r>
      <w:r>
        <w:t xml:space="preserve"> </w:t>
      </w:r>
      <w:r>
        <w:t xml:space="preserve">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w:t>
      </w:r>
      <w:r>
        <w:t xml:space="preserve"> </w:t>
      </w:r>
      <w:r>
        <w:t xml:space="preserve">(Beven &amp; Binley, 1992)</w:t>
      </w:r>
      <w:r>
        <w:t xml:space="preserve"> </w:t>
      </w:r>
      <w:r>
        <w:t xml:space="preserve">used in the original analysis of this</w:t>
      </w:r>
      <w:r>
        <w:t xml:space="preserve"> </w:t>
      </w:r>
      <w:r>
        <w:t xml:space="preserve">system was retained 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w:t>
      </w:r>
      <w:r>
        <w:t xml:space="preserve"> </w:t>
      </w:r>
      <w:r>
        <w:t xml:space="preserve">original-prior standard deviation, while the average and new boxes kept their DOWN positions.</w:t>
      </w:r>
      <w:r>
        <w:t xml:space="preserve"> </w:t>
      </w:r>
      <w:r>
        <w:t xml:space="preserve">OLDUP is 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(Brun, Reichert &amp; Künsch, 2001)</w:t>
      </w:r>
      <w:r>
        <w:t xml:space="preserve">.</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w:t>
      </w:r>
      <w:r>
        <w:t xml:space="preserve"> </w:t>
      </w:r>
      <w:r>
        <w:t xml:space="preserve">(Raue</w:t>
      </w:r>
      <w:r>
        <w:t xml:space="preserve"> </w:t>
      </w:r>
      <w:r>
        <w:rPr>
          <w:i/>
          <w:iCs/>
        </w:rPr>
        <w:t xml:space="preserve">et al.</w:t>
      </w:r>
      <w:r>
        <w:t xml:space="preserve">, 2009)</w:t>
      </w:r>
      <w:r>
        <w:t xml:space="preserve">: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 row was flagged as sampling-limited when its median ESS fell below 100, or when any realisation</w:t>
      </w:r>
      <w:r>
        <w:t xml:space="preserve"> </w:t>
      </w:r>
      <w:r>
        <w:t xml:space="preserve">produced an empty behavioural set. Contraction from such rows is not read as a quantitative</w:t>
      </w:r>
      <w:r>
        <w:t xml:space="preserve"> </w:t>
      </w:r>
      <w:r>
        <w:t xml:space="preserve">estimate of the benefit of that sensor precision, because a sharper likelihood concentrates on a</w:t>
      </w:r>
      <w:r>
        <w:t xml:space="preserve"> </w:t>
      </w:r>
      <w:r>
        <w:t xml:space="preserve">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and the standardised displacement puts that paired shift on the scale</w:t>
      </w:r>
      <w:r>
        <w:t xml:space="preserve"> </w:t>
      </w:r>
      <w:r>
        <w:t xml:space="preserve">of Section 2.5 using the repeated-baseline denominator.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temperature scaling for</w:t>
      </w:r>
      <w:r>
        <w:t xml:space="preserve"> </w:t>
      </w:r>
      <w:r>
        <w:t xml:space="preserve">chlorine decay</w:t>
      </w:r>
      <w:r>
        <w:t xml:space="preserve"> </w:t>
      </w:r>
      <w:r>
        <w:t xml:space="preserve">(Vasconcelos</w:t>
      </w:r>
      <w:r>
        <w:t xml:space="preserve"> </w:t>
      </w:r>
      <w:r>
        <w:rPr>
          <w:i/>
          <w:iCs/>
        </w:rPr>
        <w:t xml:space="preserve">et al.</w:t>
      </w:r>
      <w:r>
        <w:t xml:space="preserve">, 1997; Hua</w:t>
      </w:r>
      <w:r>
        <w:t xml:space="preserve"> </w:t>
      </w:r>
      <w:r>
        <w:rPr>
          <w:i/>
          <w:iCs/>
        </w:rPr>
        <w:t xml:space="preserve">et al.</w:t>
      </w:r>
      <w:r>
        <w:t xml:space="preserve">, 1999; Powell</w:t>
      </w:r>
      <w:r>
        <w:t xml:space="preserve"> </w:t>
      </w:r>
      <w:r>
        <w:rPr>
          <w:i/>
          <w:iCs/>
        </w:rPr>
        <w:t xml:space="preserve">et al.</w:t>
      </w:r>
      <w:r>
        <w:t xml:space="preserve">, 2000)</w:t>
      </w:r>
      <w:r>
        <w:t xml:space="preserve">,</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The activation-energy distributions and the temperature</w:t>
      </w:r>
      <w:r>
        <w:t xml:space="preserve"> </w:t>
      </w:r>
      <w:r>
        <w:t xml:space="preserve">perturbation are illustrative settings prescribed here rather than measured values. Draws were</w:t>
      </w:r>
      <w:r>
        <w:t xml:space="preserve"> </w:t>
      </w:r>
      <w:r>
        <w:t xml:space="preserve">truncated to keep simulated temperatures inside the pre-defined 8–24 °C range, and the</w:t>
      </w:r>
      <w:r>
        <w:t xml:space="preserve"> </w:t>
      </w:r>
      <w:r>
        <w:t xml:space="preserve">distributions are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zonal pattern follows the imposed reactivity contrast, but it does not set the</w:t>
      </w:r>
      <w:r>
        <w:t xml:space="preserve"> </w:t>
      </w:r>
      <w:r>
        <w:t xml:space="preserve">level on its own. The two average-zone monitors differ by nearly a factor of two, and node 231 clears the highest</w:t>
      </w:r>
      <w:r>
        <w:t xml:space="preserve"> </w:t>
      </w:r>
      <w:r>
        <w:t xml:space="preserve">old-zone monitor by only 0.019 mg L</w:t>
      </w:r>
      <w:r>
        <w:rPr>
          <w:vertAlign w:val="superscript"/>
        </w:rPr>
        <w:t xml:space="preserve">-1</w:t>
      </w:r>
      <w:r>
        <w:t xml:space="preserve">, because residence time and position also modulate the</w:t>
      </w:r>
      <w:r>
        <w:t xml:space="preserve"> </w:t>
      </w:r>
      <w:r>
        <w:t xml:space="preserve">decay. In the noise-free reference trajectory, 21 of the 92 junctions cross below the 0.2 mg L</w:t>
      </w:r>
      <w:r>
        <w:rPr>
          <w:vertAlign w:val="superscript"/>
        </w:rPr>
        <w:t xml:space="preserve">-1</w:t>
      </w:r>
      <w:r>
        <w:t xml:space="preserve"> </w:t>
      </w:r>
      <w:r>
        <w:t xml:space="preserve">threshold at least once in the window, a property of the truth and not the</w:t>
      </w:r>
      <w:r>
        <w:t xml:space="preserve"> </w:t>
      </w:r>
      <w:r>
        <w:t xml:space="preserve">ensemble-weighted breach count of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 at the threshold used in the original analysis, RMSE &lt; 0.120 mg</w:t>
      </w:r>
      <w:r>
        <w:t xml:space="preserve"> </w:t>
      </w:r>
      <w:r>
        <w:t xml:space="preserve">L</w:t>
      </w:r>
      <w:r>
        <w:rPr>
          <w:vertAlign w:val="superscript"/>
        </w:rPr>
        <w:t xml:space="preserve">-1</w:t>
      </w:r>
      <w:r>
        <w:t xml:space="preserve">, the same 294 residuals left 85.8%, 98.4% and 98.0% of the prior standard deviation intact.</w:t>
      </w:r>
      <w:r>
        <w:t xml:space="preserve"> </w:t>
      </w:r>
      <w:r>
        <w:t xml:space="preserve">The average and new behavioural distributions retained essentially the full prior dispersion and</w:t>
      </w:r>
      <w:r>
        <w:t xml:space="preserve"> </w:t>
      </w:r>
      <w:r>
        <w:t xml:space="preserve">were effectively 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 effective sample of about 157 of 8192 draws (1.9%). The</w:t>
      </w:r>
      <w:r>
        <w:t xml:space="preserve"> </w:t>
      </w:r>
      <w:r>
        <w:t xml:space="preserve">informal effective sample size almost equalled the number of retained candidates, at 4783 of 4786</w:t>
      </w:r>
      <w:r>
        <w:t xml:space="preserve"> </w:t>
      </w:r>
      <w:r>
        <w:t xml:space="preserve">for a threshold of 0.107 and 7062 of 7084 at 0.120, so its weights were nearly uniform within the</w:t>
      </w:r>
      <w:r>
        <w:t xml:space="preserve"> </w:t>
      </w:r>
      <w:r>
        <w:t xml:space="preserve">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That is seventeen times the assumed sensor noise,</w:t>
      </w:r>
      <w:r>
        <w:t xml:space="preserve"> </w:t>
      </w:r>
      <w:r>
        <w:t xml:space="preserve">and 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despite the deliberately truth-displaced prior.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 [-1.172, -0.811], [-0.137, -0.082]</w:t>
      </w:r>
      <w:r>
        <w:t xml:space="preserve"> </w:t>
      </w:r>
      <w:r>
        <w:t xml:space="preserve">and [-0.060, -0.029] m day</w:t>
      </w:r>
      <w:r>
        <w:rPr>
          <w:vertAlign w:val="superscript"/>
        </w:rPr>
        <w:t xml:space="preserve">-1</w:t>
      </w:r>
      <w:r>
        <w:t xml:space="preserve">, each covering its true value. Endpoints obtained by bisection are</w:t>
      </w:r>
      <w:r>
        <w:t xml:space="preserve"> </w:t>
      </w:r>
      <w:r>
        <w:t xml:space="preserve">quoted rather than grid endpoints, which understate the half-width by 39.0%, 14.9% and 28.1% and</w:t>
      </w:r>
      <w:r>
        <w:t xml:space="preserve"> </w:t>
      </w:r>
      <w:r>
        <w:t xml:space="preserve">are used here only for visualisation. Finally, repeating the calibration over 100 independent noise realisations gave a mean bias of at</w:t>
      </w:r>
      <w:r>
        <w:t xml:space="preserve"> </w:t>
      </w:r>
      <w:r>
        <w:t xml:space="preserve">most 0.15 times the empirical sampling standard deviation. The ratio of empirical spread to the</w:t>
      </w:r>
      <w:r>
        <w:t xml:space="preserve"> </w:t>
      </w:r>
      <w:r>
        <w:t xml:space="preserve">Cramér–Rao bound of 1.04, 1.06 and 1.12, and 90% interval coverage of 0.89, 0.88 and 0.85, are</w:t>
      </w:r>
      <w:r>
        <w:t xml:space="preserve"> </w:t>
      </w:r>
      <w:r>
        <w:t xml:space="preserve">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 effective sample size at about 126 of 294 at a</w:t>
      </w:r>
      <w:r>
        <w:t xml:space="preserve"> </w:t>
      </w:r>
      <w:r>
        <w:t xml:space="preserve">correlation of 0.4. Recomputing the Fisher information from the full block covariance instead</w:t>
      </w:r>
      <w:r>
        <w:t xml:space="preserve"> </w:t>
      </w:r>
      <w:r>
        <w:t xml:space="preserve">widened the three bounds by 1.48, 1.49 and 1.44 times, to 37.5%, 43.5% and 41.7% of the prior</w:t>
      </w:r>
      <w:r>
        <w:t xml:space="preserve"> </w:t>
      </w:r>
      <w:r>
        <w:t xml:space="preserve">standard deviation. At this strength correlation reduces precision without removing identifiability under the study</w:t>
      </w:r>
      <w:r>
        <w:t xml:space="preserve"> </w:t>
      </w:r>
      <w:r>
        <w:t xml:space="preserve">criterion.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sign asymmetry is consistent with a downward bias pushing more readings onto the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 new</w:t>
      </w:r>
      <w:r>
        <w:t xml:space="preserve"> </w:t>
      </w:r>
      <w:r>
        <w:t xml:space="preserve">(node 113, −0.10). Contamination crosses zone boundaries. A −0.10 offset at new-zone node 107 displaced the average coefficient by 1.59. Per-arm results are in Appendix F.</w:t>
      </w:r>
    </w:p>
    <w:p>
      <w:pPr>
        <w:pStyle w:val="BodyText"/>
      </w:pPr>
      <w:r>
        <w:t xml:space="preserve">In the tested ramps drift tracked the mean offset far more closely than the endpoint. A ramp reaching a given offset by the end of the window displaced the estimate by 0.89 to 0.99</w:t>
      </w:r>
      <w:r>
        <w:t xml:space="preserve"> </w:t>
      </w:r>
      <w:r>
        <w:t xml:space="preserve">times a constant offset at half that value, but only 0.45 to 0.64 times one at the endpoint</w:t>
      </w:r>
      <w:r>
        <w:t xml:space="preserve"> </w:t>
      </w:r>
      <w:r>
        <w:t xml:space="preserve">value. A sensor drifting to +0.10 mg L</w:t>
      </w:r>
      <w:r>
        <w:rPr>
          <w:vertAlign w:val="superscript"/>
        </w:rPr>
        <w:t xml:space="preserve">-1</w:t>
      </w:r>
      <w:r>
        <w:t xml:space="preserve"> </w:t>
      </w:r>
      <w:r>
        <w:t xml:space="preserve">therefore behaves much more like a constant +0.05 than</w:t>
      </w:r>
      <w:r>
        <w:t xml:space="preserve"> </w:t>
      </w:r>
      <w:r>
        <w:t xml:space="preserve">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422231" cy="2009846"/>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422231" cy="2009846"/>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field wall</w:t>
      </w:r>
      <w:r>
        <w:t xml:space="preserve"> </w:t>
      </w:r>
      <w:r>
        <w:t xml:space="preserve">reactivity varies with pipe condition</w:t>
      </w:r>
      <w:r>
        <w:t xml:space="preserve"> </w:t>
      </w:r>
      <w:r>
        <w:t xml:space="preserve">(Hallam</w:t>
      </w:r>
      <w:r>
        <w:t xml:space="preserve"> </w:t>
      </w:r>
      <w:r>
        <w:rPr>
          <w:i/>
          <w:iCs/>
        </w:rPr>
        <w:t xml:space="preserve">et al.</w:t>
      </w:r>
      <w:r>
        <w:t xml:space="preserve">, 2002)</w:t>
      </w:r>
      <w:r>
        <w:t xml:space="preserve"> </w:t>
      </w:r>
      <w:r>
        <w:t xml:space="preserve">and is unlikely to be uniform within any</w:t>
      </w:r>
      <w:r>
        <w:t xml:space="preserve"> </w:t>
      </w:r>
      <w:r>
        <w:t xml:space="preserve">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Aggregate fit quality gave little warning here. The grid-based residual rises from its</w:t>
      </w:r>
      <w:r>
        <w:t xml:space="preserve"> </w:t>
      </w:r>
      <w:r>
        <w:t xml:space="preserve">homogeneous resolution floor of 0.0055 mg L</w:t>
      </w:r>
      <w:r>
        <w:rPr>
          <w:vertAlign w:val="superscript"/>
        </w:rPr>
        <w:t xml:space="preserve">-1</w:t>
      </w:r>
      <w:r>
        <w:t xml:space="preserve"> </w:t>
      </w:r>
      <w:r>
        <w:t xml:space="preserve">to 0.0068, leaving 0.0013 attributable to the</w:t>
      </w:r>
      <w:r>
        <w:t xml:space="preserve"> </w:t>
      </w:r>
      <w:r>
        <w:t xml:space="preserve">imposed heterogeneity, and the best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681196" cy="2041930"/>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681196" cy="2041930"/>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apparently near-nominal coverage of the held-out monitor</w:t>
      </w:r>
      <w:r>
        <w:t xml:space="preserve"> </w:t>
      </w:r>
      <w:r>
        <w:t xml:space="preserve">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591819" cy="2470484"/>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591819" cy="2470484"/>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 accumulates a deficit of 1.68 mg L</w:t>
      </w:r>
      <w:r>
        <w:rPr>
          <w:vertAlign w:val="superscript"/>
        </w:rPr>
        <w:t xml:space="preserve">-1</w:t>
      </w:r>
      <w:r>
        <w:t xml:space="preserve"> </w:t>
      </w:r>
      <w:r>
        <w:t xml:space="preserve">h and has a</w:t>
      </w:r>
      <w:r>
        <w:t xml:space="preserve"> </w:t>
      </w:r>
      <w:r>
        <w:t xml:space="preserve">median window minimum of 0.031 mg L</w:t>
      </w:r>
      <w:r>
        <w:rPr>
          <w:vertAlign w:val="superscript"/>
        </w:rPr>
        <w:t xml:space="preserve">-1</w:t>
      </w:r>
      <w:r>
        <w:t xml:space="preserve">. Node 129 spends twice as long below the threshold yet</w:t>
      </w:r>
      <w:r>
        <w:t xml:space="preserve"> </w:t>
      </w:r>
      <w:r>
        <w:t xml:space="preserve">accumulates only 0.84 mg L</w:t>
      </w:r>
      <w:r>
        <w:rPr>
          <w:vertAlign w:val="superscript"/>
        </w:rPr>
        <w:t xml:space="preserve">-1</w:t>
      </w:r>
      <w:r>
        <w:t xml:space="preserve"> </w:t>
      </w:r>
      <w:r>
        <w:t xml:space="preserve">h, with a median 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whole-network ranking appears stable.</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rises from 55.4 to 64.7 and 67.8 L s</w:t>
      </w:r>
      <w:r>
        <w:rPr>
          <w:vertAlign w:val="superscript"/>
        </w:rPr>
        <w:t xml:space="preserve">-1</w:t>
      </w:r>
      <w:r>
        <w:t xml:space="preserve">, and the network-mean cumulative deficit from</w:t>
      </w:r>
      <w:r>
        <w:t xml:space="preserve"> </w:t>
      </w:r>
      <w:r>
        <w:t xml:space="preserve">0.222 to 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The dose scales the reservoir boundary concentration and the tank initial concentration together,</w:t>
      </w:r>
      <w:r>
        <w:t xml:space="preserve"> </w:t>
      </w:r>
      <w:r>
        <w:t xml:space="preserve">so the whole source regime moves consistently. Demand at risk falls only to 64.7 L s</w:t>
      </w:r>
      <w:r>
        <w:rPr>
          <w:vertAlign w:val="superscript"/>
        </w:rPr>
        <w:t xml:space="preserve">-1</w:t>
      </w:r>
      <w:r>
        <w:t xml:space="preserve"> </w:t>
      </w:r>
      <w:r>
        <w:t xml:space="preserve">at both</w:t>
      </w:r>
      <w:r>
        <w:t xml:space="preserve"> </w:t>
      </w:r>
      <w:r>
        <w:t xml:space="preserve">doses, however, and never returns to the baseline 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6724"/>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6724"/>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 prediction errors stay close</w:t>
      </w:r>
      <w:r>
        <w:t xml:space="preserve"> </w:t>
      </w:r>
      <w:r>
        <w:t xml:space="preserve">to the observation-noise scale. Under bulk-decay misspecification and sensor bias, displacements</w:t>
      </w:r>
      <w:r>
        <w:t xml:space="preserve"> </w:t>
      </w:r>
      <w:r>
        <w:t xml:space="preserve">of several posterior standard deviations often left the leading set ranked by cumulative deficit</w:t>
      </w:r>
      <w:r>
        <w:t xml:space="preserve"> </w:t>
      </w:r>
      <w:r>
        <w:t xml:space="preserve">unchanged, while the ranking by time-averaged breach probability was considerably more</w:t>
      </w:r>
      <w:r>
        <w:t xml:space="preserve"> </w:t>
      </w:r>
      <w:r>
        <w:t xml:space="preserve">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 chlorine-concentration criteria but not the water-age or</w:t>
      </w:r>
      <w:r>
        <w:t xml:space="preserve"> </w:t>
      </w:r>
      <w:r>
        <w:t xml:space="preserve">cumulative-deficit criteria within the 168 h horizon. Absolute water-age and severity magnitudes</w:t>
      </w:r>
      <w:r>
        <w:t xml:space="preserve"> </w:t>
      </w:r>
      <w:r>
        <w:t xml:space="preserve">therefore remain horizon-dependent, even though the concentration field underlying the inference</w:t>
      </w:r>
      <w:r>
        <w:t xml:space="preserve"> </w:t>
      </w:r>
      <w:r>
        <w:t xml:space="preserve">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w:t>
      </w:r>
      <w:r>
        <w:t xml:space="preserve"> </w:t>
      </w:r>
      <w:r>
        <w:t xml:space="preserve">bound 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03" w:name="acknowledgements"/>
    <w:p>
      <w:pPr>
        <w:pStyle w:val="Heading1"/>
      </w:pPr>
      <w:r>
        <w:t xml:space="preserve">Acknowledgements</w:t>
      </w:r>
    </w:p>
    <w:p>
      <w:pPr>
        <w:pStyle w:val="FirstParagraph"/>
      </w:pPr>
      <w:r>
        <w:t xml:space="preserve">The author thanks the supervisory team for guidance throughout the project. The EPANET Net3</w:t>
      </w:r>
      <w:r>
        <w:t xml:space="preserve"> </w:t>
      </w:r>
      <w:r>
        <w:t xml:space="preserve">example network is distributed with EPANET; all simulations were run through WNTR.</w:t>
      </w:r>
    </w:p>
    <w:bookmarkEnd w:id="103"/>
    <w:bookmarkStart w:id="157" w:name="references"/>
    <w:p>
      <w:pPr>
        <w:pStyle w:val="Heading1"/>
      </w:pPr>
      <w:r>
        <w:t xml:space="preserve">References</w:t>
      </w:r>
    </w:p>
    <w:bookmarkStart w:id="156" w:name="refs"/>
    <w:bookmarkStart w:id="105" w:name="ref-Aisopou2024"/>
    <w:p>
      <w:pPr>
        <w:pStyle w:val="Bibliography"/>
      </w:pPr>
      <w:r>
        <w:t xml:space="preserve">Aisopou, A. &amp; Stoianov, I. (2024) Evaluation of free-chlorine data from online sensors in a water supply network.</w:t>
      </w:r>
      <w:r>
        <w:t xml:space="preserve"> </w:t>
      </w:r>
      <w:r>
        <w:rPr>
          <w:i/>
          <w:iCs/>
        </w:rPr>
        <w:t xml:space="preserve">Engineering Proceedings</w:t>
      </w:r>
      <w:r>
        <w:t xml:space="preserve">. 69(1), 144.</w:t>
      </w:r>
      <w:r>
        <w:t xml:space="preserve"> </w:t>
      </w:r>
      <w:hyperlink r:id="rId104">
        <w:r>
          <w:rPr>
            <w:rStyle w:val="Hyperlink"/>
          </w:rPr>
          <w:t xml:space="preserve">10.3390/engproc2024069144</w:t>
        </w:r>
      </w:hyperlink>
      <w:r>
        <w:t xml:space="preserve">.</w:t>
      </w:r>
    </w:p>
    <w:bookmarkEnd w:id="105"/>
    <w:bookmarkStart w:id="107" w:name="ref-Anthropic2026Claude"/>
    <w:p>
      <w:pPr>
        <w:pStyle w:val="Bibliography"/>
      </w:pPr>
      <w:r>
        <w:t xml:space="preserve">Anthropic (2026)</w:t>
      </w:r>
      <w:r>
        <w:t xml:space="preserve"> </w:t>
      </w:r>
      <w:r>
        <w:t xml:space="preserve">Claude Opus 5</w:t>
      </w:r>
      <w:r>
        <w:t xml:space="preserve">. Large language model. Available at:</w:t>
      </w:r>
      <w:r>
        <w:t xml:space="preserve"> </w:t>
      </w:r>
      <w:hyperlink r:id="rId106">
        <w:r>
          <w:rPr>
            <w:rStyle w:val="Hyperlink"/>
          </w:rPr>
          <w:t xml:space="preserve">https://claude.ai</w:t>
        </w:r>
      </w:hyperlink>
      <w:r>
        <w:t xml:space="preserve"> </w:t>
      </w:r>
      <w:r>
        <w:t xml:space="preserve">(Accessed: 12 August 2026).</w:t>
      </w:r>
    </w:p>
    <w:bookmarkEnd w:id="107"/>
    <w:bookmarkStart w:id="109"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8">
        <w:r>
          <w:rPr>
            <w:rStyle w:val="Hyperlink"/>
          </w:rPr>
          <w:t xml:space="preserve">10.1002/hyp.3360060305</w:t>
        </w:r>
      </w:hyperlink>
      <w:r>
        <w:t xml:space="preserve">.</w:t>
      </w:r>
    </w:p>
    <w:bookmarkEnd w:id="109"/>
    <w:bookmarkStart w:id="111"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10">
        <w:r>
          <w:rPr>
            <w:rStyle w:val="Hyperlink"/>
          </w:rPr>
          <w:t xml:space="preserve">10.1002/hyp.10082</w:t>
        </w:r>
      </w:hyperlink>
      <w:r>
        <w:t xml:space="preserve">.</w:t>
      </w:r>
    </w:p>
    <w:bookmarkEnd w:id="111"/>
    <w:bookmarkStart w:id="113"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12">
        <w:r>
          <w:rPr>
            <w:rStyle w:val="Hyperlink"/>
          </w:rPr>
          <w:t xml:space="preserve">10.1029/2000WR900350</w:t>
        </w:r>
      </w:hyperlink>
      <w:r>
        <w:t xml:space="preserve">.</w:t>
      </w:r>
    </w:p>
    <w:bookmarkEnd w:id="113"/>
    <w:bookmarkStart w:id="115"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14">
        <w:r>
          <w:rPr>
            <w:rStyle w:val="Hyperlink"/>
          </w:rPr>
          <w:t xml:space="preserve">10.3390/pr11030676</w:t>
        </w:r>
      </w:hyperlink>
      <w:r>
        <w:t xml:space="preserve">.</w:t>
      </w:r>
    </w:p>
    <w:bookmarkEnd w:id="115"/>
    <w:bookmarkStart w:id="117"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6">
        <w:r>
          <w:rPr>
            <w:rStyle w:val="Hyperlink"/>
          </w:rPr>
          <w:t xml:space="preserve">10.1016/S0043-1354(02)00056-8</w:t>
        </w:r>
      </w:hyperlink>
      <w:r>
        <w:t xml:space="preserve">.</w:t>
      </w:r>
    </w:p>
    <w:bookmarkEnd w:id="117"/>
    <w:bookmarkStart w:id="119" w:name="ref-Hua1999"/>
    <w:p>
      <w:pPr>
        <w:pStyle w:val="Bibliography"/>
      </w:pPr>
      <w:r>
        <w:t xml:space="preserve">Hua, F., West, J.R., Barker, R.A. &amp; Forster, C.F. (1999) Modelling of chlorine decay in municipal water supplies.</w:t>
      </w:r>
      <w:r>
        <w:t xml:space="preserve"> </w:t>
      </w:r>
      <w:r>
        <w:rPr>
          <w:i/>
          <w:iCs/>
        </w:rPr>
        <w:t xml:space="preserve">Water Research</w:t>
      </w:r>
      <w:r>
        <w:t xml:space="preserve">. 33(12), 2735–2746.</w:t>
      </w:r>
      <w:r>
        <w:t xml:space="preserve"> </w:t>
      </w:r>
      <w:hyperlink r:id="rId118">
        <w:r>
          <w:rPr>
            <w:rStyle w:val="Hyperlink"/>
          </w:rPr>
          <w:t xml:space="preserve">10.1016/S0043-1354(98)00519-3</w:t>
        </w:r>
      </w:hyperlink>
      <w:r>
        <w:t xml:space="preserve">.</w:t>
      </w:r>
    </w:p>
    <w:bookmarkEnd w:id="119"/>
    <w:bookmarkStart w:id="121"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20">
        <w:r>
          <w:rPr>
            <w:rStyle w:val="Hyperlink"/>
          </w:rPr>
          <w:t xml:space="preserve">10.1061/(ASCE)WR.1943-5452.0000325</w:t>
        </w:r>
      </w:hyperlink>
      <w:r>
        <w:t xml:space="preserve">.</w:t>
      </w:r>
    </w:p>
    <w:bookmarkEnd w:id="121"/>
    <w:bookmarkStart w:id="123"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w:t>
      </w:r>
      <w:r>
        <w:rPr>
          <w:i/>
          <w:iCs/>
        </w:rPr>
        <w:t xml:space="preserve"> </w:t>
      </w:r>
      <w:r>
        <w:rPr>
          <w:i/>
          <w:iCs/>
        </w:rPr>
        <w:t xml:space="preserve">Computing and Control for the Water Industry Conference</w:t>
      </w:r>
      <w:r>
        <w:rPr>
          <w:i/>
          <w:iCs/>
        </w:rPr>
        <w:t xml:space="preserve"> </w:t>
      </w:r>
      <w:r>
        <w:rPr>
          <w:i/>
          <w:iCs/>
        </w:rPr>
        <w:t xml:space="preserve">(CCWI 2025)</w:t>
      </w:r>
      <w:r>
        <w:t xml:space="preserve">. Sheffield, UK: The University of Sheffield.</w:t>
      </w:r>
      <w:r>
        <w:t xml:space="preserve"> </w:t>
      </w:r>
      <w:hyperlink r:id="rId122">
        <w:r>
          <w:rPr>
            <w:rStyle w:val="Hyperlink"/>
          </w:rPr>
          <w:t xml:space="preserve">10.15131/shef.data.29921225</w:t>
        </w:r>
      </w:hyperlink>
      <w:r>
        <w:t xml:space="preserve">.</w:t>
      </w:r>
    </w:p>
    <w:bookmarkEnd w:id="123"/>
    <w:bookmarkStart w:id="125"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24">
        <w:r>
          <w:rPr>
            <w:rStyle w:val="Hyperlink"/>
          </w:rPr>
          <w:t xml:space="preserve">10.1016/j.envsoft.2017.06.022</w:t>
        </w:r>
      </w:hyperlink>
      <w:r>
        <w:t xml:space="preserve">.</w:t>
      </w:r>
    </w:p>
    <w:bookmarkEnd w:id="125"/>
    <w:bookmarkStart w:id="127"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26">
        <w:r>
          <w:rPr>
            <w:rStyle w:val="Hyperlink"/>
          </w:rPr>
          <w:t xml:space="preserve">10.1016/j.jhydrol.2006.04.046</w:t>
        </w:r>
      </w:hyperlink>
      <w:r>
        <w:t xml:space="preserve">.</w:t>
      </w:r>
    </w:p>
    <w:bookmarkEnd w:id="127"/>
    <w:bookmarkStart w:id="129"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8">
        <w:r>
          <w:rPr>
            <w:rStyle w:val="Hyperlink"/>
          </w:rPr>
          <w:t xml:space="preserve">10.1061/(ASCE)0733-9496(2003)129:2(124)</w:t>
        </w:r>
      </w:hyperlink>
      <w:r>
        <w:t xml:space="preserve">.</w:t>
      </w:r>
    </w:p>
    <w:bookmarkEnd w:id="129"/>
    <w:bookmarkStart w:id="131"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30">
        <w:r>
          <w:rPr>
            <w:rStyle w:val="Hyperlink"/>
          </w:rPr>
          <w:t xml:space="preserve">10.1016/j.proeng.2014.02.135</w:t>
        </w:r>
      </w:hyperlink>
      <w:r>
        <w:t xml:space="preserve">.</w:t>
      </w:r>
    </w:p>
    <w:bookmarkEnd w:id="131"/>
    <w:bookmarkStart w:id="133" w:name="ref-Owen1998"/>
    <w:p>
      <w:pPr>
        <w:pStyle w:val="Bibliography"/>
      </w:pPr>
      <w:r>
        <w:t xml:space="preserve">Owen, A.B. (1998) Scrambling</w:t>
      </w:r>
      <w:r>
        <w:t xml:space="preserve"> </w:t>
      </w:r>
      <w:r>
        <w:t xml:space="preserve">Sobol’</w:t>
      </w:r>
      <w:r>
        <w:t xml:space="preserve"> </w:t>
      </w:r>
      <w:r>
        <w:t xml:space="preserve">and</w:t>
      </w:r>
      <w:r>
        <w:t xml:space="preserve"> </w:t>
      </w:r>
      <w:r>
        <w:t xml:space="preserve">Niederreiter–Xing</w:t>
      </w:r>
      <w:r>
        <w:t xml:space="preserve"> </w:t>
      </w:r>
      <w:r>
        <w:t xml:space="preserve">points.</w:t>
      </w:r>
      <w:r>
        <w:t xml:space="preserve"> </w:t>
      </w:r>
      <w:r>
        <w:rPr>
          <w:i/>
          <w:iCs/>
        </w:rPr>
        <w:t xml:space="preserve">Journal of Complexity</w:t>
      </w:r>
      <w:r>
        <w:t xml:space="preserve">. 14(4), 466–489.</w:t>
      </w:r>
      <w:r>
        <w:t xml:space="preserve"> </w:t>
      </w:r>
      <w:hyperlink r:id="rId132">
        <w:r>
          <w:rPr>
            <w:rStyle w:val="Hyperlink"/>
          </w:rPr>
          <w:t xml:space="preserve">10.1006/jcom.1998.0487</w:t>
        </w:r>
      </w:hyperlink>
      <w:r>
        <w:t xml:space="preserve">.</w:t>
      </w:r>
    </w:p>
    <w:bookmarkEnd w:id="133"/>
    <w:bookmarkStart w:id="135"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34">
        <w:r>
          <w:rPr>
            <w:rStyle w:val="Hyperlink"/>
          </w:rPr>
          <w:t xml:space="preserve">10.1016/j.mex.2019.03.008</w:t>
        </w:r>
      </w:hyperlink>
      <w:r>
        <w:t xml:space="preserve">.</w:t>
      </w:r>
    </w:p>
    <w:bookmarkEnd w:id="135"/>
    <w:bookmarkStart w:id="137"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36">
        <w:r>
          <w:rPr>
            <w:rStyle w:val="Hyperlink"/>
          </w:rPr>
          <w:t xml:space="preserve">10.1016/S0043-1354(99)00097-4</w:t>
        </w:r>
      </w:hyperlink>
      <w:r>
        <w:t xml:space="preserve">.</w:t>
      </w:r>
    </w:p>
    <w:bookmarkEnd w:id="137"/>
    <w:bookmarkStart w:id="139" w:name="ref-Rajakumar2019EnKF"/>
    <w:p>
      <w:pPr>
        <w:pStyle w:val="Bibliography"/>
      </w:pPr>
      <w:r>
        <w:t xml:space="preserve">Rajakumar, A.G., Mohan Kumar, M.S., Amrutur, B. &amp; Kapelan, Z. (2019) Real-time water quality modeling with ensemble</w:t>
      </w:r>
      <w:r>
        <w:t xml:space="preserve"> </w:t>
      </w:r>
      <w:r>
        <w:t xml:space="preserve">Kalman</w:t>
      </w:r>
      <w:r>
        <w:t xml:space="preserve"> </w:t>
      </w:r>
      <w:r>
        <w:t xml:space="preserve">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38">
        <w:r>
          <w:rPr>
            <w:rStyle w:val="Hyperlink"/>
          </w:rPr>
          <w:t xml:space="preserve">10.1061/(ASCE)WR.1943-5452.0001118</w:t>
        </w:r>
      </w:hyperlink>
      <w:r>
        <w:t xml:space="preserve">.</w:t>
      </w:r>
    </w:p>
    <w:bookmarkEnd w:id="139"/>
    <w:bookmarkStart w:id="141"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40">
        <w:r>
          <w:rPr>
            <w:rStyle w:val="Hyperlink"/>
          </w:rPr>
          <w:t xml:space="preserve">10.1093/bioinformatics/btp358</w:t>
        </w:r>
      </w:hyperlink>
      <w:r>
        <w:t xml:space="preserve">.</w:t>
      </w:r>
    </w:p>
    <w:bookmarkEnd w:id="141"/>
    <w:bookmarkStart w:id="142"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42"/>
    <w:bookmarkStart w:id="144"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43">
        <w:r>
          <w:rPr>
            <w:rStyle w:val="Hyperlink"/>
          </w:rPr>
          <w:t xml:space="preserve">10.1061/(ASCE)0733-9372(1994)120:4(803)</w:t>
        </w:r>
      </w:hyperlink>
      <w:r>
        <w:t xml:space="preserve">.</w:t>
      </w:r>
    </w:p>
    <w:bookmarkEnd w:id="144"/>
    <w:bookmarkStart w:id="145"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45"/>
    <w:bookmarkStart w:id="147" w:name="ref-Sobol1967"/>
    <w:p>
      <w:pPr>
        <w:pStyle w:val="Bibliography"/>
      </w:pPr>
      <w:r>
        <w:t xml:space="preserve">Sobol’, I.M. (1967) On the distribution of points in a cube and the approximate evaluation of integrals.</w:t>
      </w:r>
      <w:r>
        <w:t xml:space="preserve"> </w:t>
      </w:r>
      <w:r>
        <w:rPr>
          <w:i/>
          <w:iCs/>
        </w:rPr>
        <w:t xml:space="preserve">USSR Computational Mathematics and Mathematical Physics</w:t>
      </w:r>
      <w:r>
        <w:t xml:space="preserve">. 7(4), 86–112.</w:t>
      </w:r>
      <w:r>
        <w:t xml:space="preserve"> </w:t>
      </w:r>
      <w:hyperlink r:id="rId146">
        <w:r>
          <w:rPr>
            <w:rStyle w:val="Hyperlink"/>
          </w:rPr>
          <w:t xml:space="preserve">10.1016/0041-5553(67)90144-9</w:t>
        </w:r>
      </w:hyperlink>
      <w:r>
        <w:t xml:space="preserve">.</w:t>
      </w:r>
    </w:p>
    <w:bookmarkEnd w:id="147"/>
    <w:bookmarkStart w:id="149"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48">
        <w:r>
          <w:rPr>
            <w:rStyle w:val="Hyperlink"/>
          </w:rPr>
          <w:t xml:space="preserve">10.1029/2008WR006822</w:t>
        </w:r>
      </w:hyperlink>
      <w:r>
        <w:t xml:space="preserve">.</w:t>
      </w:r>
    </w:p>
    <w:bookmarkEnd w:id="149"/>
    <w:bookmarkStart w:id="151"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50">
        <w:r>
          <w:rPr>
            <w:rStyle w:val="Hyperlink"/>
          </w:rPr>
          <w:t xml:space="preserve">10.1002/j.1551-8833.1997.tb08259.x</w:t>
        </w:r>
      </w:hyperlink>
      <w:r>
        <w:t xml:space="preserve">.</w:t>
      </w:r>
    </w:p>
    <w:bookmarkEnd w:id="151"/>
    <w:bookmarkStart w:id="153" w:name="ref-WNTRdocs"/>
    <w:p>
      <w:pPr>
        <w:pStyle w:val="Bibliography"/>
      </w:pPr>
      <w:r>
        <w:t xml:space="preserve">WNTR Development Team (2026)</w:t>
      </w:r>
      <w:r>
        <w:t xml:space="preserve"> </w:t>
      </w:r>
      <w:r>
        <w:t xml:space="preserve">WNTR</w:t>
      </w:r>
      <w:r>
        <w:t xml:space="preserve"> </w:t>
      </w:r>
      <w:r>
        <w:t xml:space="preserve">documentation: units. Available at:</w:t>
      </w:r>
      <w:r>
        <w:t xml:space="preserve"> </w:t>
      </w:r>
      <w:hyperlink r:id="rId152">
        <w:r>
          <w:rPr>
            <w:rStyle w:val="Hyperlink"/>
          </w:rPr>
          <w:t xml:space="preserve">https://usepa.github.io/WNTR/units.html</w:t>
        </w:r>
      </w:hyperlink>
      <w:r>
        <w:t xml:space="preserve"> </w:t>
      </w:r>
      <w:r>
        <w:t xml:space="preserve">(Accessed: 11 August 2026).</w:t>
      </w:r>
    </w:p>
    <w:bookmarkEnd w:id="153"/>
    <w:bookmarkStart w:id="155"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54">
        <w:r>
          <w:rPr>
            <w:rStyle w:val="Hyperlink"/>
          </w:rPr>
          <w:t xml:space="preserve">10.5194/hess-26-1203-2022</w:t>
        </w:r>
      </w:hyperlink>
      <w:r>
        <w:t xml:space="preserve">.</w:t>
      </w:r>
    </w:p>
    <w:bookmarkEnd w:id="155"/>
    <w:bookmarkEnd w:id="156"/>
    <w:bookmarkEnd w:id="157"/>
    <w:bookmarkStart w:id="158" w:name="statement-on-the-use-of-generative-ai"/>
    <w:p>
      <w:pPr>
        <w:pStyle w:val="Heading1"/>
      </w:pPr>
      <w:r>
        <w:t xml:space="preserve">Statement on the use of generative AI</w:t>
      </w:r>
    </w:p>
    <w:p>
      <w:pPr>
        <w:pStyle w:val="FirstParagraph"/>
      </w:pPr>
      <w:r>
        <w:t xml:space="preserve">I acknowledge the use of Claude Opus 5 (Anthropic, https://claude.ai), accessed through the</w:t>
      </w:r>
      <w:r>
        <w:t xml:space="preserve"> </w:t>
      </w:r>
      <w:r>
        <w:t xml:space="preserve">Claude Code command-line interface (https://claude.com/claude-code), to restructure the</w:t>
      </w:r>
      <w:r>
        <w:t xml:space="preserve"> </w:t>
      </w:r>
      <w:r>
        <w:t xml:space="preserve">manuscript, to write the figure and table generation code, and to cross-check the manuscript</w:t>
      </w:r>
      <w:r>
        <w:t xml:space="preserve"> </w:t>
      </w:r>
      <w:r>
        <w:t xml:space="preserve">against the stored numerical results</w:t>
      </w:r>
      <w:r>
        <w:t xml:space="preserve"> </w:t>
      </w:r>
      <w:r>
        <w:t xml:space="preserve">(Anthropic, 2026)</w:t>
      </w:r>
      <w:r>
        <w:t xml:space="preserve">. I confirm that no content generated</w:t>
      </w:r>
      <w:r>
        <w:t xml:space="preserve"> </w:t>
      </w:r>
      <w:r>
        <w:t xml:space="preserve">by AI has been presented as my own work.</w:t>
      </w:r>
    </w:p>
    <w:p>
      <w:pPr>
        <w:pStyle w:val="BodyText"/>
      </w:pPr>
      <w:r>
        <w:t xml:space="preserve">The departmental policy treats AI-generated text, ideas and computer code as third-party</w:t>
      </w:r>
      <w:r>
        <w:t xml:space="preserve"> </w:t>
      </w:r>
      <w:r>
        <w:t xml:space="preserve">material requiring citation, so the tool is cited above and the code it wrote is identified by</w:t>
      </w:r>
      <w:r>
        <w:t xml:space="preserve"> </w:t>
      </w:r>
      <w:r>
        <w:t xml:space="preserve">file below. The paragraphs that follow give the expanded description.</w:t>
      </w:r>
    </w:p>
    <w:p>
      <w:pPr>
        <w:pStyle w:val="BodyText"/>
      </w:pPr>
      <w:r>
        <w:rPr>
          <w:b/>
          <w:bCs/>
        </w:rPr>
        <w:t xml:space="preserve">Where AI led and the author reviewed.</w:t>
      </w:r>
      <w:r>
        <w:t xml:space="preserve"> </w:t>
      </w:r>
      <w:r>
        <w:t xml:space="preserve">The restructuring of the paper into its present</w:t>
      </w:r>
      <w:r>
        <w:t xml:space="preserve"> </w:t>
      </w:r>
      <w:r>
        <w:t xml:space="preserve">four-section layout, and the whole of</w:t>
      </w:r>
      <w:r>
        <w:t xml:space="preserve"> </w:t>
      </w:r>
      <w:r>
        <w:rPr>
          <w:rStyle w:val="VerbatimChar"/>
        </w:rPr>
        <w:t xml:space="preserve">Net3/paper_figs.py</w:t>
      </w:r>
      <w:r>
        <w:t xml:space="preserve">, which renders the seven figures and</w:t>
      </w:r>
      <w:r>
        <w:t xml:space="preserve"> </w:t>
      </w:r>
      <w:r>
        <w:t xml:space="preserve">the table bodies from values already computed and stored in</w:t>
      </w:r>
      <w:r>
        <w:t xml:space="preserve"> </w:t>
      </w:r>
      <w:r>
        <w:rPr>
          <w:rStyle w:val="VerbatimChar"/>
        </w:rPr>
        <w:t xml:space="preserve">Net3/baseline_cache/</w:t>
      </w:r>
      <w:r>
        <w:t xml:space="preserve">. It reads</w:t>
      </w:r>
      <w:r>
        <w:t xml:space="preserve"> </w:t>
      </w:r>
      <w:r>
        <w:t xml:space="preserve">those artifacts and plots them; it computes no result. Every output was read and accepted or</w:t>
      </w:r>
      <w:r>
        <w:t xml:space="preserve"> </w:t>
      </w:r>
      <w:r>
        <w:t xml:space="preserve">rejected by the author.</w:t>
      </w:r>
    </w:p>
    <w:p>
      <w:pPr>
        <w:pStyle w:val="BodyText"/>
      </w:pPr>
      <w:r>
        <w:rPr>
          <w:b/>
          <w:bCs/>
        </w:rPr>
        <w:t xml:space="preserve">Where AI executed and the author verified independently.</w:t>
      </w:r>
      <w:r>
        <w:t xml:space="preserve"> </w:t>
      </w:r>
      <w:r>
        <w:t xml:space="preserve">Numerical cross-checking of the</w:t>
      </w:r>
      <w:r>
        <w:t xml:space="preserve"> </w:t>
      </w:r>
      <w:r>
        <w:t xml:space="preserve">manuscript and its figures against the stored artifacts, one registered comparison per quoted</w:t>
      </w:r>
      <w:r>
        <w:t xml:space="preserve"> </w:t>
      </w:r>
      <w:r>
        <w:t xml:space="preserve">figure, run by</w:t>
      </w:r>
      <w:r>
        <w:t xml:space="preserve"> </w:t>
      </w:r>
      <w:r>
        <w:rPr>
          <w:rStyle w:val="VerbatimChar"/>
        </w:rPr>
        <w:t xml:space="preserve">Net3/validate_artifacts.py</w:t>
      </w:r>
      <w:r>
        <w:t xml:space="preserve">. That checking found places where a result was</w:t>
      </w:r>
      <w:r>
        <w:t xml:space="preserve"> </w:t>
      </w:r>
      <w:r>
        <w:t xml:space="preserve">described inaccurately, and they were corrected before submission.</w:t>
      </w:r>
    </w:p>
    <w:p>
      <w:pPr>
        <w:pStyle w:val="BodyText"/>
      </w:pPr>
      <w:r>
        <w:rPr>
          <w:b/>
          <w:bCs/>
        </w:rPr>
        <w:t xml:space="preserve">Where the author worked without AI.</w:t>
      </w:r>
      <w:r>
        <w:t xml:space="preserve"> </w:t>
      </w:r>
      <w:r>
        <w:t xml:space="preserve">The whole experimental design; every</w:t>
      </w:r>
      <w:r>
        <w:t xml:space="preserve"> </w:t>
      </w:r>
      <w:r>
        <w:rPr>
          <w:rStyle w:val="VerbatimChar"/>
        </w:rPr>
        <w:t xml:space="preserve">step*.py</w:t>
      </w:r>
      <w:r>
        <w:t xml:space="preserve"> </w:t>
      </w:r>
      <w:r>
        <w:t xml:space="preserve">computation script; and all scientific judgements, including which results to report and how</w:t>
      </w:r>
      <w:r>
        <w:t xml:space="preserve"> </w:t>
      </w:r>
      <w:r>
        <w:t xml:space="preserve">strongly to state them.</w:t>
      </w:r>
    </w:p>
    <w:p>
      <w:pPr>
        <w:pStyle w:val="BodyText"/>
      </w:pPr>
      <w:r>
        <w:rPr>
          <w:b/>
          <w:bCs/>
        </w:rPr>
        <w:t xml:space="preserve">Where AI was not used at all.</w:t>
      </w:r>
      <w:r>
        <w:t xml:space="preserve"> </w:t>
      </w:r>
      <w:r>
        <w:t xml:space="preserve">The EPANET/WNTR simulations themselves and the generation of</w:t>
      </w:r>
      <w:r>
        <w:t xml:space="preserve"> </w:t>
      </w:r>
      <w:r>
        <w:t xml:space="preserve">any numerical result.</w:t>
      </w:r>
    </w:p>
    <w:p>
      <w:pPr>
        <w:pStyle w:val="BodyText"/>
      </w:pPr>
      <w:r>
        <w:t xml:space="preserve">Every number in this paper is the output of a deterministic computation stored under</w:t>
      </w:r>
      <w:r>
        <w:t xml:space="preserve"> </w:t>
      </w:r>
      <w:r>
        <w:rPr>
          <w:rStyle w:val="VerbatimChar"/>
        </w:rPr>
        <w:t xml:space="preserve">Net3/baseline_cache/</w:t>
      </w:r>
      <w:r>
        <w:t xml:space="preserve">. No numerical result was generated by an AI tool.</w:t>
      </w:r>
    </w:p>
    <w:bookmarkEnd w:id="158"/>
    <w:bookmarkStart w:id="168"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59"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59"/>
    <w:bookmarkStart w:id="160"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60"/>
    <w:bookmarkStart w:id="161"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61"/>
    <w:bookmarkStart w:id="162"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62"/>
    <w:bookmarkStart w:id="163"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63"/>
    <w:bookmarkStart w:id="164"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64"/>
    <w:bookmarkStart w:id="165"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65"/>
    <w:bookmarkStart w:id="166"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66"/>
    <w:bookmarkStart w:id="167"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67"/>
    <w:bookmarkEnd w:id="168"/>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6" Target="https://claude.ai" TargetMode="External" /><Relationship Type="http://schemas.openxmlformats.org/officeDocument/2006/relationships/hyperlink" Id="rId110" Target="https://doi.org/10.1002/hyp.10082" TargetMode="External" /><Relationship Type="http://schemas.openxmlformats.org/officeDocument/2006/relationships/hyperlink" Id="rId108" Target="https://doi.org/10.1002/hyp.3360060305" TargetMode="External" /><Relationship Type="http://schemas.openxmlformats.org/officeDocument/2006/relationships/hyperlink" Id="rId150" Target="https://doi.org/10.1002/j.1551-8833.1997.tb08259.x" TargetMode="External" /><Relationship Type="http://schemas.openxmlformats.org/officeDocument/2006/relationships/hyperlink" Id="rId132" Target="https://doi.org/10.1006/jcom.1998.0487" TargetMode="External" /><Relationship Type="http://schemas.openxmlformats.org/officeDocument/2006/relationships/hyperlink" Id="rId146" Target="https://doi.org/10.1016/0041-5553(67)90144-9" TargetMode="External" /><Relationship Type="http://schemas.openxmlformats.org/officeDocument/2006/relationships/hyperlink" Id="rId116" Target="https://doi.org/10.1016/S0043-1354(02)00056-8" TargetMode="External" /><Relationship Type="http://schemas.openxmlformats.org/officeDocument/2006/relationships/hyperlink" Id="rId118" Target="https://doi.org/10.1016/S0043-1354(98)00519-3" TargetMode="External" /><Relationship Type="http://schemas.openxmlformats.org/officeDocument/2006/relationships/hyperlink" Id="rId136" Target="https://doi.org/10.1016/S0043-1354(99)00097-4" TargetMode="External" /><Relationship Type="http://schemas.openxmlformats.org/officeDocument/2006/relationships/hyperlink" Id="rId124" Target="https://doi.org/10.1016/j.envsoft.2017.06.022" TargetMode="External" /><Relationship Type="http://schemas.openxmlformats.org/officeDocument/2006/relationships/hyperlink" Id="rId126" Target="https://doi.org/10.1016/j.jhydrol.2006.04.046" TargetMode="External" /><Relationship Type="http://schemas.openxmlformats.org/officeDocument/2006/relationships/hyperlink" Id="rId134" Target="https://doi.org/10.1016/j.mex.2019.03.008" TargetMode="External" /><Relationship Type="http://schemas.openxmlformats.org/officeDocument/2006/relationships/hyperlink" Id="rId130" Target="https://doi.org/10.1016/j.proeng.2014.02.135" TargetMode="External" /><Relationship Type="http://schemas.openxmlformats.org/officeDocument/2006/relationships/hyperlink" Id="rId112" Target="https://doi.org/10.1029/2000WR900350" TargetMode="External" /><Relationship Type="http://schemas.openxmlformats.org/officeDocument/2006/relationships/hyperlink" Id="rId148" Target="https://doi.org/10.1029/2008WR006822" TargetMode="External" /><Relationship Type="http://schemas.openxmlformats.org/officeDocument/2006/relationships/hyperlink" Id="rId143" Target="https://doi.org/10.1061/(ASCE)0733-9372(1994)120:4(803)" TargetMode="External" /><Relationship Type="http://schemas.openxmlformats.org/officeDocument/2006/relationships/hyperlink" Id="rId128" Target="https://doi.org/10.1061/(ASCE)0733-9496(2003)129:2(124)" TargetMode="External" /><Relationship Type="http://schemas.openxmlformats.org/officeDocument/2006/relationships/hyperlink" Id="rId120" Target="https://doi.org/10.1061/(ASCE)WR.1943-5452.0000325" TargetMode="External" /><Relationship Type="http://schemas.openxmlformats.org/officeDocument/2006/relationships/hyperlink" Id="rId138" Target="https://doi.org/10.1061/(ASCE)WR.1943-5452.0001118" TargetMode="External" /><Relationship Type="http://schemas.openxmlformats.org/officeDocument/2006/relationships/hyperlink" Id="rId140" Target="https://doi.org/10.1093/bioinformatics/btp358" TargetMode="External" /><Relationship Type="http://schemas.openxmlformats.org/officeDocument/2006/relationships/hyperlink" Id="rId122" Target="https://doi.org/10.15131/shef.data.29921225" TargetMode="External" /><Relationship Type="http://schemas.openxmlformats.org/officeDocument/2006/relationships/hyperlink" Id="rId104" Target="https://doi.org/10.3390/engproc2024069144" TargetMode="External" /><Relationship Type="http://schemas.openxmlformats.org/officeDocument/2006/relationships/hyperlink" Id="rId114" Target="https://doi.org/10.3390/pr11030676" TargetMode="External" /><Relationship Type="http://schemas.openxmlformats.org/officeDocument/2006/relationships/hyperlink" Id="rId154" Target="https://doi.org/10.5194/hess-26-1203-2022" TargetMode="External" /><Relationship Type="http://schemas.openxmlformats.org/officeDocument/2006/relationships/hyperlink" Id="rId152" Target="https://usepa.github.io/WNTR/units.html" TargetMode="External" /></Relationships>
</file>

<file path=word/_rels/footnotes.xml.rels><?xml version="1.0" encoding="UTF-8"?><Relationships xmlns="http://schemas.openxmlformats.org/package/2006/relationships"><Relationship Type="http://schemas.openxmlformats.org/officeDocument/2006/relationships/hyperlink" Id="rId106" Target="https://claude.ai" TargetMode="External" /><Relationship Type="http://schemas.openxmlformats.org/officeDocument/2006/relationships/hyperlink" Id="rId110" Target="https://doi.org/10.1002/hyp.10082" TargetMode="External" /><Relationship Type="http://schemas.openxmlformats.org/officeDocument/2006/relationships/hyperlink" Id="rId108" Target="https://doi.org/10.1002/hyp.3360060305" TargetMode="External" /><Relationship Type="http://schemas.openxmlformats.org/officeDocument/2006/relationships/hyperlink" Id="rId150" Target="https://doi.org/10.1002/j.1551-8833.1997.tb08259.x" TargetMode="External" /><Relationship Type="http://schemas.openxmlformats.org/officeDocument/2006/relationships/hyperlink" Id="rId132" Target="https://doi.org/10.1006/jcom.1998.0487" TargetMode="External" /><Relationship Type="http://schemas.openxmlformats.org/officeDocument/2006/relationships/hyperlink" Id="rId146" Target="https://doi.org/10.1016/0041-5553(67)90144-9" TargetMode="External" /><Relationship Type="http://schemas.openxmlformats.org/officeDocument/2006/relationships/hyperlink" Id="rId116" Target="https://doi.org/10.1016/S0043-1354(02)00056-8" TargetMode="External" /><Relationship Type="http://schemas.openxmlformats.org/officeDocument/2006/relationships/hyperlink" Id="rId118" Target="https://doi.org/10.1016/S0043-1354(98)00519-3" TargetMode="External" /><Relationship Type="http://schemas.openxmlformats.org/officeDocument/2006/relationships/hyperlink" Id="rId136" Target="https://doi.org/10.1016/S0043-1354(99)00097-4" TargetMode="External" /><Relationship Type="http://schemas.openxmlformats.org/officeDocument/2006/relationships/hyperlink" Id="rId124" Target="https://doi.org/10.1016/j.envsoft.2017.06.022" TargetMode="External" /><Relationship Type="http://schemas.openxmlformats.org/officeDocument/2006/relationships/hyperlink" Id="rId126" Target="https://doi.org/10.1016/j.jhydrol.2006.04.046" TargetMode="External" /><Relationship Type="http://schemas.openxmlformats.org/officeDocument/2006/relationships/hyperlink" Id="rId134" Target="https://doi.org/10.1016/j.mex.2019.03.008" TargetMode="External" /><Relationship Type="http://schemas.openxmlformats.org/officeDocument/2006/relationships/hyperlink" Id="rId130" Target="https://doi.org/10.1016/j.proeng.2014.02.135" TargetMode="External" /><Relationship Type="http://schemas.openxmlformats.org/officeDocument/2006/relationships/hyperlink" Id="rId112" Target="https://doi.org/10.1029/2000WR900350" TargetMode="External" /><Relationship Type="http://schemas.openxmlformats.org/officeDocument/2006/relationships/hyperlink" Id="rId148" Target="https://doi.org/10.1029/2008WR006822" TargetMode="External" /><Relationship Type="http://schemas.openxmlformats.org/officeDocument/2006/relationships/hyperlink" Id="rId143" Target="https://doi.org/10.1061/(ASCE)0733-9372(1994)120:4(803)" TargetMode="External" /><Relationship Type="http://schemas.openxmlformats.org/officeDocument/2006/relationships/hyperlink" Id="rId128" Target="https://doi.org/10.1061/(ASCE)0733-9496(2003)129:2(124)" TargetMode="External" /><Relationship Type="http://schemas.openxmlformats.org/officeDocument/2006/relationships/hyperlink" Id="rId120" Target="https://doi.org/10.1061/(ASCE)WR.1943-5452.0000325" TargetMode="External" /><Relationship Type="http://schemas.openxmlformats.org/officeDocument/2006/relationships/hyperlink" Id="rId138" Target="https://doi.org/10.1061/(ASCE)WR.1943-5452.0001118" TargetMode="External" /><Relationship Type="http://schemas.openxmlformats.org/officeDocument/2006/relationships/hyperlink" Id="rId140" Target="https://doi.org/10.1093/bioinformatics/btp358" TargetMode="External" /><Relationship Type="http://schemas.openxmlformats.org/officeDocument/2006/relationships/hyperlink" Id="rId122" Target="https://doi.org/10.15131/shef.data.29921225" TargetMode="External" /><Relationship Type="http://schemas.openxmlformats.org/officeDocument/2006/relationships/hyperlink" Id="rId104" Target="https://doi.org/10.3390/engproc2024069144" TargetMode="External" /><Relationship Type="http://schemas.openxmlformats.org/officeDocument/2006/relationships/hyperlink" Id="rId114" Target="https://doi.org/10.3390/pr11030676" TargetMode="External" /><Relationship Type="http://schemas.openxmlformats.org/officeDocument/2006/relationships/hyperlink" Id="rId154" Target="https://doi.org/10.5194/hess-26-1203-2022" TargetMode="External" /><Relationship Type="http://schemas.openxmlformats.org/officeDocument/2006/relationships/hyperlink" Id="rId152" Target="https://usepa.github.io/WNTR/uni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dc:language>en-GB</dc:language>
  <cp:keywords/>
  <dcterms:created xsi:type="dcterms:W3CDTF">2026-08-12T13:28:49Z</dcterms:created>
  <dcterms:modified xsi:type="dcterms:W3CDTF">2026-08-12T13:28:49Z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