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5E057">
      <w:pPr>
        <w:keepNext w:val="0"/>
        <w:keepLines w:val="0"/>
        <w:widowControl/>
        <w:suppressLineNumbers w:val="0"/>
        <w:bidi w:val="0"/>
        <w:ind w:left="0" w:firstLine="0"/>
        <w:jc w:val="left"/>
        <w:rPr>
          <w:rFonts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As we discussed, this project will aim to develop an uncertainty-aware calibration workflow for first-order chlorine residual decay modelling in the Bristol Water Field Lab. </w:t>
      </w:r>
    </w:p>
    <w:p w14:paraId="60940E45">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07C56F94">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The study will use an existing EPANET model of three monitored DMAs and continuous chlorine measurements from ten water quality monitors (sensor stations), including DMA inlet monitors. Measured inlet chlorine residuals will be used as time-varying boundary conditions in WNTR/EPANET, while downstream chlorine monitors will be used for calibration and validation. The project will compare simple first-order decay parameterisations, quantify uncertainty in calibrated decay coefficients using an ensemble-based method, and evaluate predictive reliability using independent validation data. The work will focus on chlorine residuals and first-order EPANET kinetics. </w:t>
      </w:r>
    </w:p>
    <w:p w14:paraId="1DD1AF8D">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Just to be clear hydraulic calibration, multi-species modelling and operational optimisation will not be included in this project. </w:t>
      </w:r>
    </w:p>
    <w:p w14:paraId="3A292E5E">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6F3F5342">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With three DMAs you have a natural multi-zone structure rather than a single calibration problem, and that's an advantage for the project. The three zones almost certainly differ in pipe material and age, so their wall-decay behaviour will differ — which turns "estimate kw" into a comparative question: how heterogeneous is wall decay across the network, and does a model calibrated on one DMA transfer to another? </w:t>
      </w:r>
    </w:p>
    <w:p w14:paraId="3B699021">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76092B89">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I suggest you start with reviewing the following material:</w:t>
      </w:r>
    </w:p>
    <w:p w14:paraId="1D78F566">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0DB2A9C0">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How EPANET actually computes a residual (read the two references first, alongside the enclosed code):</w:t>
      </w:r>
    </w:p>
    <w:p w14:paraId="4EC0BCD6">
      <w:pPr>
        <w:keepNext w:val="0"/>
        <w:keepLines w:val="0"/>
        <w:widowControl/>
        <w:suppressLineNumbers w:val="0"/>
        <w:bidi w:val="0"/>
        <w:spacing w:before="0" w:beforeAutospacing="0" w:after="0" w:afterAutospacing="0"/>
        <w:jc w:val="left"/>
        <w:rPr>
          <w:rFonts w:hint="default" w:ascii="Arial" w:hAnsi="Arial" w:eastAsia="Arial" w:cs="Arial"/>
          <w:i w:val="0"/>
          <w:iCs w:val="0"/>
          <w:caps w:val="0"/>
          <w:color w:val="000000"/>
          <w:spacing w:val="0"/>
          <w:kern w:val="0"/>
          <w:sz w:val="24"/>
          <w:szCs w:val="24"/>
          <w:u w:val="none"/>
          <w:lang w:val="en-US" w:eastAsia="zh-CN" w:bidi="ar"/>
        </w:rPr>
      </w:pPr>
    </w:p>
    <w:p w14:paraId="4D5E251A">
      <w:pPr>
        <w:keepNext w:val="0"/>
        <w:keepLines w:val="0"/>
        <w:widowControl/>
        <w:numPr>
          <w:ilvl w:val="0"/>
          <w:numId w:val="1"/>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EPANET 2.2 Users Manual (Rossman et al.), the water-quality chapter — the definitive account of first-order bulk/wall decay and the mass-transfer term the code relies on. This is the reference for exercises 3 and 4.</w:t>
      </w:r>
    </w:p>
    <w:p w14:paraId="5F4F309A">
      <w:pPr>
        <w:keepNext w:val="0"/>
        <w:keepLines w:val="0"/>
        <w:widowControl/>
        <w:suppressLineNumbers w:val="0"/>
        <w:bidi w:val="0"/>
        <w:spacing w:before="0" w:beforeAutospacing="0" w:after="0" w:afterAutospacing="0"/>
        <w:jc w:val="left"/>
        <w:rPr>
          <w:rFonts w:hint="default" w:ascii="Arial" w:hAnsi="Arial" w:eastAsia="Arial" w:cs="Arial"/>
          <w:i w:val="0"/>
          <w:iCs w:val="0"/>
          <w:caps w:val="0"/>
          <w:color w:val="000000"/>
          <w:spacing w:val="0"/>
          <w:kern w:val="0"/>
          <w:sz w:val="24"/>
          <w:szCs w:val="24"/>
          <w:u w:val="none"/>
          <w:lang w:val="en-US" w:eastAsia="zh-CN" w:bidi="ar"/>
        </w:rPr>
      </w:pPr>
    </w:p>
    <w:p w14:paraId="6F2BF3CF">
      <w:pPr>
        <w:keepNext w:val="0"/>
        <w:keepLines w:val="0"/>
        <w:widowControl/>
        <w:numPr>
          <w:ilvl w:val="0"/>
          <w:numId w:val="1"/>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Rossman, Clark &amp; Grayman (1994), "Modeling chlorine residuals in drinking-water distribution systems," J. Environmental Engineering (ASCE) — the foundational paper introducing the wall-reaction + mass-transfer formulation EPANET uses.</w:t>
      </w:r>
    </w:p>
    <w:p w14:paraId="6E65BE98">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08467C90">
      <w:pPr>
        <w:keepNext w:val="0"/>
        <w:keepLines w:val="0"/>
        <w:widowControl/>
        <w:suppressLineNumbers w:val="0"/>
        <w:bidi w:val="0"/>
        <w:ind w:left="0" w:firstLine="0"/>
        <w:jc w:val="left"/>
        <w:rPr>
          <w:rFonts w:hint="default" w:ascii="Arial" w:hAnsi="Arial" w:eastAsia="Arial" w:cs="Arial"/>
          <w:color w:val="000000"/>
          <w:sz w:val="24"/>
          <w:szCs w:val="24"/>
        </w:rPr>
      </w:pPr>
      <w:r>
        <w:rPr>
          <w:rFonts w:hint="default" w:ascii="Arial" w:hAnsi="Arial" w:eastAsia="Arial" w:cs="Arial"/>
          <w:i w:val="0"/>
          <w:iCs w:val="0"/>
          <w:caps w:val="0"/>
          <w:color w:val="000000"/>
          <w:spacing w:val="0"/>
          <w:kern w:val="0"/>
          <w:sz w:val="24"/>
          <w:szCs w:val="24"/>
          <w:u w:val="none"/>
          <w:lang w:val="en-US" w:eastAsia="zh-CN" w:bidi="ar"/>
        </w:rPr>
        <w:t>Decay kinetics - the bulk/wall split the project builds on:</w:t>
      </w:r>
    </w:p>
    <w:p w14:paraId="3AB4BDC2">
      <w:pPr>
        <w:keepNext w:val="0"/>
        <w:keepLines w:val="0"/>
        <w:widowControl/>
        <w:suppressLineNumbers w:val="0"/>
        <w:bidi w:val="0"/>
        <w:spacing w:before="0" w:beforeAutospacing="0" w:after="0" w:afterAutospacing="0"/>
        <w:jc w:val="left"/>
        <w:rPr>
          <w:rFonts w:hint="default" w:ascii="Arial" w:hAnsi="Arial" w:eastAsia="Arial" w:cs="Arial"/>
          <w:i w:val="0"/>
          <w:iCs w:val="0"/>
          <w:caps w:val="0"/>
          <w:color w:val="000000"/>
          <w:spacing w:val="0"/>
          <w:kern w:val="0"/>
          <w:sz w:val="24"/>
          <w:szCs w:val="24"/>
          <w:u w:val="none"/>
          <w:lang w:val="en-US" w:eastAsia="zh-CN" w:bidi="ar"/>
        </w:rPr>
      </w:pPr>
    </w:p>
    <w:p w14:paraId="496324C9">
      <w:pPr>
        <w:keepNext w:val="0"/>
        <w:keepLines w:val="0"/>
        <w:widowControl/>
        <w:numPr>
          <w:ilvl w:val="0"/>
          <w:numId w:val="1"/>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Vasconcelos, Rossman, Grayman, Boulos &amp; Clark (1997), "Kinetics of chlorine decay," J. AWWA — bulk vs wall, and why first-order is the usual (but not only) choice.</w:t>
      </w:r>
    </w:p>
    <w:p w14:paraId="7770F093">
      <w:pPr>
        <w:keepNext w:val="0"/>
        <w:keepLines w:val="0"/>
        <w:widowControl/>
        <w:numPr>
          <w:numId w:val="0"/>
        </w:numPr>
        <w:suppressLineNumbers w:val="0"/>
        <w:spacing w:before="0" w:beforeAutospacing="0" w:after="0" w:afterAutospacing="0"/>
        <w:rPr>
          <w:rFonts w:hint="default" w:ascii="Arial" w:hAnsi="Arial" w:eastAsia="Arial" w:cs="Arial"/>
          <w:color w:val="000000"/>
          <w:sz w:val="24"/>
          <w:szCs w:val="24"/>
        </w:rPr>
      </w:pPr>
    </w:p>
    <w:p w14:paraId="28149EFE">
      <w:pPr>
        <w:keepNext w:val="0"/>
        <w:keepLines w:val="0"/>
        <w:widowControl/>
        <w:numPr>
          <w:ilvl w:val="0"/>
          <w:numId w:val="1"/>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Hallam, West, Forster, Powell &amp; Spencer (2002), "The decay of chlorine associated with the pipe wall...," Water Research — the key wall-decay heterogeneity paper (material and age depe</w:t>
      </w:r>
      <w:bookmarkStart w:id="0" w:name="_GoBack"/>
      <w:bookmarkEnd w:id="0"/>
      <w:r>
        <w:rPr>
          <w:rFonts w:hint="default" w:ascii="Arial" w:hAnsi="Arial" w:eastAsia="Arial" w:cs="Arial"/>
          <w:i w:val="0"/>
          <w:iCs w:val="0"/>
          <w:caps w:val="0"/>
          <w:color w:val="000000"/>
          <w:spacing w:val="0"/>
          <w:kern w:val="0"/>
          <w:sz w:val="24"/>
          <w:szCs w:val="24"/>
          <w:u w:val="none"/>
          <w:lang w:val="en-US" w:eastAsia="zh-CN" w:bidi="ar"/>
        </w:rPr>
        <w:t>ndence). This directly justifies one kw per DMA.</w:t>
      </w:r>
    </w:p>
    <w:p w14:paraId="5ADED5A8">
      <w:pPr>
        <w:keepNext w:val="0"/>
        <w:keepLines w:val="0"/>
        <w:widowControl/>
        <w:numPr>
          <w:numId w:val="0"/>
        </w:numPr>
        <w:suppressLineNumbers w:val="0"/>
        <w:spacing w:before="0" w:beforeAutospacing="0" w:after="0" w:afterAutospacing="0"/>
        <w:rPr>
          <w:rFonts w:hint="default" w:ascii="Arial" w:hAnsi="Arial" w:eastAsia="Arial" w:cs="Arial"/>
          <w:color w:val="000000"/>
          <w:sz w:val="24"/>
          <w:szCs w:val="24"/>
        </w:rPr>
      </w:pPr>
    </w:p>
    <w:p w14:paraId="39330E1D">
      <w:pPr>
        <w:keepNext w:val="0"/>
        <w:keepLines w:val="0"/>
        <w:widowControl/>
        <w:numPr>
          <w:ilvl w:val="0"/>
          <w:numId w:val="2"/>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Powell, Hallam, West, Forster &amp; Simms (2000), "Factors which control bulk chlorine decay rates," Water Research — the bulk side, bottle tests, and temperature sensitivity (relevant to fixing kb).</w:t>
      </w:r>
    </w:p>
    <w:p w14:paraId="0D15812F">
      <w:pPr>
        <w:keepNext w:val="0"/>
        <w:keepLines w:val="0"/>
        <w:widowControl/>
        <w:numPr>
          <w:numId w:val="0"/>
        </w:numPr>
        <w:suppressLineNumbers w:val="0"/>
        <w:spacing w:before="0" w:beforeAutospacing="0" w:after="0" w:afterAutospacing="0"/>
        <w:rPr>
          <w:rFonts w:hint="default" w:ascii="Arial" w:hAnsi="Arial" w:eastAsia="Arial" w:cs="Arial"/>
          <w:color w:val="000000"/>
          <w:sz w:val="24"/>
          <w:szCs w:val="24"/>
        </w:rPr>
      </w:pPr>
    </w:p>
    <w:p w14:paraId="355AC940">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03FB463A">
      <w:pPr>
        <w:keepNext w:val="0"/>
        <w:keepLines w:val="0"/>
        <w:widowControl/>
        <w:suppressLineNumbers w:val="0"/>
        <w:bidi w:val="0"/>
        <w:ind w:left="0" w:firstLine="0"/>
        <w:jc w:val="left"/>
        <w:rPr>
          <w:rFonts w:hint="default" w:ascii="Arial" w:hAnsi="Arial" w:eastAsia="Arial" w:cs="Arial"/>
          <w:i w:val="0"/>
          <w:iCs w:val="0"/>
          <w:caps w:val="0"/>
          <w:color w:val="000000"/>
          <w:spacing w:val="0"/>
          <w:kern w:val="0"/>
          <w:sz w:val="24"/>
          <w:szCs w:val="24"/>
          <w:u w:val="none"/>
          <w:lang w:val="en-US" w:eastAsia="zh-CN" w:bidi="ar"/>
        </w:rPr>
      </w:pPr>
      <w:r>
        <w:rPr>
          <w:rFonts w:hint="default" w:ascii="Arial" w:hAnsi="Arial" w:eastAsia="Arial" w:cs="Arial"/>
          <w:i w:val="0"/>
          <w:iCs w:val="0"/>
          <w:caps w:val="0"/>
          <w:color w:val="000000"/>
          <w:spacing w:val="0"/>
          <w:kern w:val="0"/>
          <w:sz w:val="24"/>
          <w:szCs w:val="24"/>
          <w:u w:val="none"/>
          <w:lang w:val="en-US" w:eastAsia="zh-CN" w:bidi="ar"/>
        </w:rPr>
        <w:t>The simulation software:</w:t>
      </w:r>
    </w:p>
    <w:p w14:paraId="290B0F6A">
      <w:pPr>
        <w:keepNext w:val="0"/>
        <w:keepLines w:val="0"/>
        <w:widowControl/>
        <w:suppressLineNumbers w:val="0"/>
        <w:bidi w:val="0"/>
        <w:ind w:left="0" w:firstLine="0"/>
        <w:jc w:val="left"/>
        <w:rPr>
          <w:rFonts w:hint="default" w:ascii="Arial" w:hAnsi="Arial" w:eastAsia="Arial" w:cs="Arial"/>
          <w:i w:val="0"/>
          <w:iCs w:val="0"/>
          <w:caps w:val="0"/>
          <w:color w:val="000000"/>
          <w:spacing w:val="0"/>
          <w:kern w:val="0"/>
          <w:sz w:val="24"/>
          <w:szCs w:val="24"/>
          <w:u w:val="none"/>
          <w:lang w:val="en-US" w:eastAsia="zh-CN" w:bidi="ar"/>
        </w:rPr>
      </w:pPr>
    </w:p>
    <w:p w14:paraId="6D4D8833">
      <w:pPr>
        <w:keepNext w:val="0"/>
        <w:keepLines w:val="0"/>
        <w:widowControl/>
        <w:numPr>
          <w:ilvl w:val="0"/>
          <w:numId w:val="2"/>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kern w:val="0"/>
          <w:sz w:val="24"/>
          <w:szCs w:val="24"/>
          <w:u w:val="none"/>
          <w:lang w:val="en-US" w:eastAsia="zh-CN" w:bidi="ar"/>
        </w:rPr>
      </w:pPr>
      <w:r>
        <w:rPr>
          <w:rFonts w:hint="default" w:ascii="Arial" w:hAnsi="Arial" w:eastAsia="Arial" w:cs="Arial"/>
          <w:i w:val="0"/>
          <w:iCs w:val="0"/>
          <w:caps w:val="0"/>
          <w:color w:val="000000"/>
          <w:spacing w:val="0"/>
          <w:kern w:val="0"/>
          <w:sz w:val="24"/>
          <w:szCs w:val="24"/>
          <w:u w:val="none"/>
          <w:lang w:val="en-US" w:eastAsia="zh-CN" w:bidi="ar"/>
        </w:rPr>
        <w:t>WNTR documentation (</w:t>
      </w:r>
      <w:r>
        <w:rPr>
          <w:rFonts w:hint="default" w:ascii="Arial" w:hAnsi="Arial" w:eastAsia="Arial" w:cs="Arial"/>
          <w:i w:val="0"/>
          <w:iCs w:val="0"/>
          <w:caps w:val="0"/>
          <w:spacing w:val="0"/>
          <w:kern w:val="0"/>
          <w:sz w:val="24"/>
          <w:szCs w:val="24"/>
          <w:u w:val="none"/>
          <w:lang w:val="en-US" w:eastAsia="zh-CN" w:bidi="ar"/>
        </w:rPr>
        <w:fldChar w:fldCharType="begin"/>
      </w:r>
      <w:r>
        <w:rPr>
          <w:rFonts w:hint="default" w:ascii="Arial" w:hAnsi="Arial" w:eastAsia="Arial" w:cs="Arial"/>
          <w:i w:val="0"/>
          <w:iCs w:val="0"/>
          <w:caps w:val="0"/>
          <w:spacing w:val="0"/>
          <w:kern w:val="0"/>
          <w:sz w:val="24"/>
          <w:szCs w:val="24"/>
          <w:u w:val="none"/>
          <w:lang w:val="en-US" w:eastAsia="zh-CN" w:bidi="ar"/>
        </w:rPr>
        <w:instrText xml:space="preserve"> HYPERLINK "http://wntr.readthedocs.io/" </w:instrText>
      </w:r>
      <w:r>
        <w:rPr>
          <w:rFonts w:hint="default" w:ascii="Arial" w:hAnsi="Arial" w:eastAsia="Arial" w:cs="Arial"/>
          <w:i w:val="0"/>
          <w:iCs w:val="0"/>
          <w:caps w:val="0"/>
          <w:spacing w:val="0"/>
          <w:kern w:val="0"/>
          <w:sz w:val="24"/>
          <w:szCs w:val="24"/>
          <w:u w:val="none"/>
          <w:lang w:val="en-US" w:eastAsia="zh-CN" w:bidi="ar"/>
        </w:rPr>
        <w:fldChar w:fldCharType="separate"/>
      </w:r>
      <w:r>
        <w:rPr>
          <w:rStyle w:val="4"/>
          <w:rFonts w:hint="default" w:ascii="Arial" w:hAnsi="Arial" w:eastAsia="Arial" w:cs="Arial"/>
          <w:i w:val="0"/>
          <w:iCs w:val="0"/>
          <w:caps w:val="0"/>
          <w:spacing w:val="0"/>
          <w:sz w:val="24"/>
          <w:szCs w:val="24"/>
          <w:u w:val="none"/>
        </w:rPr>
        <w:t>wntr.readthedocs.io</w:t>
      </w:r>
      <w:r>
        <w:rPr>
          <w:rFonts w:hint="default" w:ascii="Arial" w:hAnsi="Arial" w:eastAsia="Arial" w:cs="Arial"/>
          <w:i w:val="0"/>
          <w:iCs w:val="0"/>
          <w:caps w:val="0"/>
          <w:spacing w:val="0"/>
          <w:kern w:val="0"/>
          <w:sz w:val="24"/>
          <w:szCs w:val="24"/>
          <w:u w:val="none"/>
          <w:lang w:val="en-US" w:eastAsia="zh-CN" w:bidi="ar"/>
        </w:rPr>
        <w:fldChar w:fldCharType="end"/>
      </w:r>
      <w:r>
        <w:rPr>
          <w:rFonts w:hint="default" w:ascii="Arial" w:hAnsi="Arial" w:eastAsia="Arial" w:cs="Arial"/>
          <w:i w:val="0"/>
          <w:iCs w:val="0"/>
          <w:caps w:val="0"/>
          <w:color w:val="000000"/>
          <w:spacing w:val="0"/>
          <w:kern w:val="0"/>
          <w:sz w:val="24"/>
          <w:szCs w:val="24"/>
          <w:u w:val="none"/>
          <w:lang w:val="en-US" w:eastAsia="zh-CN" w:bidi="ar"/>
        </w:rPr>
        <w:t>), the water-quality and reactions sections plus the simulator API — the practical companion to the script.</w:t>
      </w:r>
    </w:p>
    <w:p w14:paraId="4A0AFAF4">
      <w:pPr>
        <w:keepNext w:val="0"/>
        <w:keepLines w:val="0"/>
        <w:widowControl/>
        <w:suppressLineNumbers w:val="0"/>
        <w:bidi w:val="0"/>
        <w:spacing w:before="0" w:beforeAutospacing="0" w:after="0" w:afterAutospacing="0"/>
        <w:jc w:val="left"/>
        <w:rPr>
          <w:rFonts w:hint="default" w:ascii="Arial" w:hAnsi="Arial" w:eastAsia="Arial" w:cs="Arial"/>
          <w:i w:val="0"/>
          <w:iCs w:val="0"/>
          <w:caps w:val="0"/>
          <w:color w:val="000000"/>
          <w:spacing w:val="0"/>
          <w:kern w:val="0"/>
          <w:sz w:val="24"/>
          <w:szCs w:val="24"/>
          <w:u w:val="none"/>
          <w:lang w:val="en-US" w:eastAsia="zh-CN" w:bidi="ar"/>
        </w:rPr>
      </w:pPr>
    </w:p>
    <w:p w14:paraId="5D227166">
      <w:pPr>
        <w:keepNext w:val="0"/>
        <w:keepLines w:val="0"/>
        <w:widowControl/>
        <w:numPr>
          <w:ilvl w:val="0"/>
          <w:numId w:val="2"/>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Klise, Bynum, Moriarty &amp; Murray (2017), the WNTR software paper in Environmental Modelling &amp; Software — for citing the tool and understanding its design.</w:t>
      </w:r>
    </w:p>
    <w:p w14:paraId="226EB76B">
      <w:pPr>
        <w:keepNext w:val="0"/>
        <w:keepLines w:val="0"/>
        <w:widowControl/>
        <w:numPr>
          <w:numId w:val="0"/>
        </w:numPr>
        <w:suppressLineNumbers w:val="0"/>
        <w:spacing w:before="0" w:beforeAutospacing="0" w:after="0" w:afterAutospacing="0"/>
        <w:rPr>
          <w:rFonts w:hint="default" w:ascii="Arial" w:hAnsi="Arial" w:eastAsia="Arial" w:cs="Arial"/>
          <w:color w:val="000000"/>
          <w:sz w:val="24"/>
          <w:szCs w:val="24"/>
        </w:rPr>
      </w:pPr>
    </w:p>
    <w:p w14:paraId="44B481F6">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37A11401">
      <w:pPr>
        <w:keepNext w:val="0"/>
        <w:keepLines w:val="0"/>
        <w:widowControl/>
        <w:suppressLineNumbers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Uncertainty/calibration foundations (keep light at this stage):</w:t>
      </w:r>
    </w:p>
    <w:p w14:paraId="742C2604">
      <w:pPr>
        <w:keepNext w:val="0"/>
        <w:keepLines w:val="0"/>
        <w:widowControl/>
        <w:numPr>
          <w:numId w:val="0"/>
        </w:numPr>
        <w:suppressLineNumbers w:val="0"/>
        <w:bidi w:val="0"/>
        <w:spacing w:before="0" w:beforeAutospacing="0" w:after="0" w:afterAutospacing="0"/>
        <w:rPr>
          <w:rFonts w:hint="default" w:ascii="Arial" w:hAnsi="Arial" w:eastAsia="Arial" w:cs="Arial"/>
          <w:color w:val="000000"/>
          <w:sz w:val="24"/>
          <w:szCs w:val="24"/>
        </w:rPr>
      </w:pPr>
    </w:p>
    <w:p w14:paraId="4192516A">
      <w:pPr>
        <w:keepNext w:val="0"/>
        <w:keepLines w:val="0"/>
        <w:widowControl/>
        <w:numPr>
          <w:ilvl w:val="0"/>
          <w:numId w:val="2"/>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Beven &amp; Binley (1992), "The future of distributed models: model calibration and uncertainty prediction," Hydrological Processes — the original GLUE paper, your robust fallback method.</w:t>
      </w:r>
    </w:p>
    <w:p w14:paraId="745ECCF4">
      <w:pPr>
        <w:keepNext w:val="0"/>
        <w:keepLines w:val="0"/>
        <w:widowControl/>
        <w:numPr>
          <w:numId w:val="0"/>
        </w:numPr>
        <w:suppressLineNumbers w:val="0"/>
        <w:spacing w:before="0" w:beforeAutospacing="0" w:after="0" w:afterAutospacing="0"/>
        <w:rPr>
          <w:rFonts w:hint="default" w:ascii="Arial" w:hAnsi="Arial" w:eastAsia="Arial" w:cs="Arial"/>
          <w:color w:val="000000"/>
          <w:sz w:val="24"/>
          <w:szCs w:val="24"/>
        </w:rPr>
      </w:pPr>
    </w:p>
    <w:p w14:paraId="0E713D13">
      <w:pPr>
        <w:keepNext w:val="0"/>
        <w:keepLines w:val="0"/>
        <w:widowControl/>
        <w:numPr>
          <w:ilvl w:val="0"/>
          <w:numId w:val="2"/>
        </w:numPr>
        <w:suppressLineNumbers w:val="0"/>
        <w:bidi w:val="0"/>
        <w:spacing w:before="0" w:beforeAutospacing="0" w:after="0" w:afterAutospacing="0"/>
        <w:ind w:left="420" w:leftChars="0" w:hanging="420" w:firstLineChars="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A Bayesian methods reference (Gelman et al., Bayesian Data Analysis) for the MCMC and hierarchical/partial-pooling concepts behind the WP5 plan — they only need the relevant chapters.</w:t>
      </w:r>
    </w:p>
    <w:p w14:paraId="3D7E504B">
      <w:pPr>
        <w:keepNext w:val="0"/>
        <w:keepLines w:val="0"/>
        <w:widowControl/>
        <w:numPr>
          <w:numId w:val="0"/>
        </w:numPr>
        <w:suppressLineNumbers w:val="0"/>
        <w:spacing w:before="0" w:beforeAutospacing="0" w:after="0" w:afterAutospacing="0"/>
        <w:rPr>
          <w:rFonts w:hint="default" w:ascii="Arial" w:hAnsi="Arial" w:eastAsia="Arial" w:cs="Arial"/>
          <w:color w:val="000000"/>
          <w:sz w:val="24"/>
          <w:szCs w:val="24"/>
        </w:rPr>
      </w:pPr>
    </w:p>
    <w:p w14:paraId="0BE97984">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7839C0C1">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r>
        <w:rPr>
          <w:rFonts w:hint="default" w:ascii="Arial" w:hAnsi="Arial" w:eastAsia="Arial" w:cs="Arial"/>
          <w:i w:val="0"/>
          <w:iCs w:val="0"/>
          <w:caps w:val="0"/>
          <w:color w:val="000000"/>
          <w:spacing w:val="0"/>
          <w:kern w:val="0"/>
          <w:sz w:val="24"/>
          <w:szCs w:val="24"/>
          <w:u w:val="none"/>
          <w:lang w:val="en-US" w:eastAsia="zh-CN" w:bidi="ar"/>
        </w:rPr>
        <w:t>I also enclose a Jupyter notebook to get you started. Functionally it does four things: it loads a water network model, runs a chlorine residual simulation through WNTR (which is a Python wrapper that drives the EPANET water-quality engine under the hood), plots the results, and defines the reusable simulate_chlorine(kb, kw) function that the rest of the project will build on. Running it as-is uses a built-in practice network (Net3 from the EPANET default installation) so you can see everything work before pointing it at the real 3-DMA model. </w:t>
      </w:r>
    </w:p>
    <w:p w14:paraId="1464A69D">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60C8B756">
      <w:pPr>
        <w:keepNext w:val="0"/>
        <w:keepLines w:val="0"/>
        <w:widowControl/>
        <w:suppressLineNumbers w:val="0"/>
        <w:bidi w:val="0"/>
        <w:ind w:left="0" w:firstLine="0"/>
        <w:jc w:val="left"/>
        <w:rPr>
          <w:rFonts w:hint="default" w:ascii="Arial" w:hAnsi="Arial" w:eastAsia="Arial" w:cs="Arial"/>
          <w:i w:val="0"/>
          <w:iCs w:val="0"/>
          <w:caps w:val="0"/>
          <w:color w:val="000000"/>
          <w:spacing w:val="0"/>
          <w:sz w:val="24"/>
          <w:szCs w:val="24"/>
          <w:u w:val="none"/>
        </w:rPr>
      </w:pPr>
    </w:p>
    <w:p w14:paraId="1BA143F9">
      <w:pPr>
        <w:keepNext w:val="0"/>
        <w:keepLines w:val="0"/>
        <w:widowControl/>
        <w:suppressLineNumbers w:val="0"/>
        <w:bidi w:val="0"/>
        <w:ind w:left="0" w:firstLine="0"/>
        <w:jc w:val="left"/>
      </w:pPr>
      <w:r>
        <w:rPr>
          <w:rFonts w:hint="default" w:ascii="Arial" w:hAnsi="Arial" w:eastAsia="Arial" w:cs="Arial"/>
          <w:i w:val="0"/>
          <w:iCs w:val="0"/>
          <w:caps w:val="0"/>
          <w:color w:val="000000"/>
          <w:spacing w:val="0"/>
          <w:kern w:val="0"/>
          <w:sz w:val="24"/>
          <w:szCs w:val="24"/>
          <w:u w:val="none"/>
          <w:lang w:val="en-US" w:eastAsia="zh-CN" w:bidi="ar"/>
        </w:rPr>
        <w:t>Can we on Tuesday next week? I am travelling this week and will be available via email for questions.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797CF"/>
    <w:multiLevelType w:val="singleLevel"/>
    <w:tmpl w:val="B9F797CF"/>
    <w:lvl w:ilvl="0" w:tentative="0">
      <w:start w:val="1"/>
      <w:numFmt w:val="bullet"/>
      <w:lvlText w:val=""/>
      <w:lvlJc w:val="left"/>
      <w:pPr>
        <w:ind w:left="420" w:hanging="420"/>
      </w:pPr>
      <w:rPr>
        <w:rFonts w:hint="default" w:ascii="Wingdings" w:hAnsi="Wingdings"/>
      </w:rPr>
    </w:lvl>
  </w:abstractNum>
  <w:abstractNum w:abstractNumId="1">
    <w:nsid w:val="F3B98D2F"/>
    <w:multiLevelType w:val="singleLevel"/>
    <w:tmpl w:val="F3B98D2F"/>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7DD75"/>
    <w:rsid w:val="65F71A7D"/>
    <w:rsid w:val="6FF6305D"/>
    <w:rsid w:val="76F8B672"/>
    <w:rsid w:val="7BB7DD75"/>
    <w:rsid w:val="DDFFD267"/>
    <w:rsid w:val="FDD6B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2026-05-31T18:30:00Z</dcterms:created>
  <dc:creator>彭睿欣</dc:creator>
  <cp:lastModifiedBy>彭睿欣</cp:lastModifiedBy>
  <dcterms:modified xsi:type="dcterms:W3CDTF">2026-05-31T18:37:49Z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3AEBD22092128EAC3A701C6AF7127B82_41</vt:lpwstr>
  </property>
</Properties>
</file>