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59.png" ContentType="image/png"/>
  <Override PartName="/word/media/rId64.png" ContentType="image/png"/>
  <Override PartName="/word/media/rId71.png" ContentType="image/png"/>
  <Override PartName="/word/media/rId77.png" ContentType="image/png"/>
  <Override PartName="/word/media/rId84.png" ContentType="image/png"/>
  <Override PartName="/word/media/rId9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From Parameter Identifiability to Operational Risk: Uncertainty-Aware Calibration of Grouped Chlorine Wall Decay in EPANET Net3</w:t>
      </w:r>
    </w:p>
    <w:p>
      <w:pPr>
        <w:pStyle w:val="Author"/>
      </w:pPr>
      <w:r>
        <w:t xml:space="preserve">Ruixin Peng</w:t>
      </w:r>
    </w:p>
    <w:p>
      <w:pPr>
        <w:pStyle w:val="Date"/>
      </w:pPr>
      <w:r>
        <w:t xml:space="preserve">August 2026</w:t>
      </w:r>
    </w:p>
    <w:p>
      <w:pPr>
        <w:pStyle w:val="FirstParagraph"/>
      </w:pPr>
      <w:r>
        <w:rPr>
          <w:b/>
          <w:bCs/>
        </w:rPr>
        <w:t xml:space="preserve">Programme:</w:t>
      </w:r>
      <w:r>
        <w:t xml:space="preserve"> </w:t>
      </w:r>
      <w:r>
        <w:t xml:space="preserve">MSc [PROGRAMME — to confirm], Department of Civil and Environmental Engineering,</w:t>
      </w:r>
      <w:r>
        <w:t xml:space="preserve"> </w:t>
      </w:r>
      <w:r>
        <w:t xml:space="preserve">Imperial College London</w:t>
      </w:r>
    </w:p>
    <w:p>
      <w:pPr>
        <w:pStyle w:val="BodyText"/>
      </w:pPr>
      <w:r>
        <w:rPr>
          <w:b/>
          <w:bCs/>
        </w:rPr>
        <w:t xml:space="preserve">CID:</w:t>
      </w:r>
      <w:r>
        <w:t xml:space="preserve"> </w:t>
      </w:r>
      <w:r>
        <w:t xml:space="preserve">[CID — to confirm]</w:t>
      </w:r>
      <w:r>
        <w:t xml:space="preserve"> </w:t>
      </w:r>
      <w:r>
        <w:rPr>
          <w:b/>
          <w:bCs/>
        </w:rPr>
        <w:t xml:space="preserve">Supervisor:</w:t>
      </w:r>
      <w:r>
        <w:t xml:space="preserve"> </w:t>
      </w:r>
      <w:r>
        <w:t xml:space="preserve">[FIRST SUPERVISOR — to confirm]</w:t>
      </w:r>
    </w:p>
    <w:p>
      <w:pPr>
        <w:pStyle w:val="BodyText"/>
      </w:pPr>
      <w:r>
        <w:rPr>
          <w:b/>
          <w:bCs/>
        </w:rPr>
        <w:t xml:space="preserve">Module:</w:t>
      </w:r>
      <w:r>
        <w:t xml:space="preserve"> </w:t>
      </w:r>
      <w:r>
        <w:t xml:space="preserve">CIVE70058 Research Paper</w:t>
      </w:r>
    </w:p>
    <w:bookmarkStart w:id="9" w:name="abstract"/>
    <w:p>
      <w:pPr>
        <w:pStyle w:val="Heading1"/>
      </w:pPr>
      <w:r>
        <w:t xml:space="preserve">Abstract</w:t>
      </w:r>
    </w:p>
    <w:p>
      <w:pPr>
        <w:pStyle w:val="FirstParagraph"/>
      </w:pPr>
      <w:r>
        <w:t xml:space="preserve">Grouped wall-decay coefficients are routinely calibrated from a handful of chlorine monitors,</w:t>
      </w:r>
      <w:r>
        <w:t xml:space="preserve"> </w:t>
      </w:r>
      <w:r>
        <w:t xml:space="preserve">but the uncertainty reported can reflect the inference rule as much as the data, and whether</w:t>
      </w:r>
      <w:r>
        <w:t xml:space="preserve"> </w:t>
      </w:r>
      <w:r>
        <w:t xml:space="preserve">parameter error reaches prediction or operational decisions is seldom tested. This study</w:t>
      </w:r>
      <w:r>
        <w:t xml:space="preserve"> </w:t>
      </w:r>
      <w:r>
        <w:t xml:space="preserve">separates these effects in a controlled EPANET Net3 experiment with three synthetic reaction</w:t>
      </w:r>
      <w:r>
        <w:t xml:space="preserve"> </w:t>
      </w:r>
      <w:r>
        <w:t xml:space="preserve">zones, known coefficients and six monitors. A censored Gaussian likelihood is compared with the informal weighting previously applied to the</w:t>
      </w:r>
      <w:r>
        <w:t xml:space="preserve"> </w:t>
      </w:r>
      <w:r>
        <w:t xml:space="preserve">same system, on identical observations and candidate draws. Identifiability is triangulated</w:t>
      </w:r>
      <w:r>
        <w:t xml:space="preserve"> </w:t>
      </w:r>
      <w:r>
        <w:t xml:space="preserve">across prior contraction, displaced priors, Fisher information, profile likelihood and</w:t>
      </w:r>
      <w:r>
        <w:t xml:space="preserve"> </w:t>
      </w:r>
      <w:r>
        <w:t xml:space="preserve">repeated-noise calibration. Measurement, nuisance and structural errors are then placed on common</w:t>
      </w:r>
      <w:r>
        <w:t xml:space="preserve"> </w:t>
      </w:r>
      <w:r>
        <w:t xml:space="preserve">scales before propagation to prediction and low-chlorine risk.</w:t>
      </w:r>
    </w:p>
    <w:p>
      <w:pPr>
        <w:pStyle w:val="BodyText"/>
      </w:pPr>
      <w:r>
        <w:t xml:space="preserve">Under known bulk decay and unbiased sensors, the formal rule contracted all three coefficients to</w:t>
      </w:r>
      <w:r>
        <w:t xml:space="preserve"> </w:t>
      </w:r>
      <w:r>
        <w:t xml:space="preserve">25–31% of their prior standard deviation, whereas the informal score at its original</w:t>
      </w:r>
      <w:r>
        <w:t xml:space="preserve"> </w:t>
      </w:r>
      <w:r>
        <w:t xml:space="preserve">0.120 mg L</w:t>
      </w:r>
      <w:r>
        <w:rPr>
          <w:vertAlign w:val="superscript"/>
        </w:rPr>
        <w:t xml:space="preserve">-1</w:t>
      </w:r>
      <w:r>
        <w:t xml:space="preserve"> </w:t>
      </w:r>
      <w:r>
        <w:t xml:space="preserve">behavioural threshold retained 86–98%. Both rules used the same 294 observations,</w:t>
      </w:r>
      <w:r>
        <w:t xml:space="preserve"> </w:t>
      </w:r>
      <w:r>
        <w:t xml:space="preserve">so the difference is produced by the weighting alone. The average and new coefficients no longer met the study identifiability criterion once bulk</w:t>
      </w:r>
      <w:r>
        <w:t xml:space="preserve"> </w:t>
      </w:r>
      <w:r>
        <w:t xml:space="preserve">decay and monitor offsets were treated as jointly unknown.</w:t>
      </w:r>
      <w:r>
        <w:t xml:space="preserve"> </w:t>
      </w:r>
      <w:r>
        <w:t xml:space="preserve">Recalibration over 100 noise realisations gave spreads closely matching the Cramér–Rao bound, at</w:t>
      </w:r>
      <w:r>
        <w:t xml:space="preserve"> </w:t>
      </w:r>
      <w:r>
        <w:t xml:space="preserve">near-nominal 90% coverage. Systematic sensor error, bulk-decay misspecification and</w:t>
      </w:r>
      <w:r>
        <w:t xml:space="preserve"> </w:t>
      </w:r>
      <w:r>
        <w:t xml:space="preserve">length-structured heterogeneity displaced coefficients by as much as 5.94 baseline posterior</w:t>
      </w:r>
      <w:r>
        <w:t xml:space="preserve"> </w:t>
      </w:r>
      <w:r>
        <w:t xml:space="preserve">standard deviations, while the minimum candidate-library RMSE never exceeded the realised observation-noise RMSE by</w:t>
      </w:r>
      <w:r>
        <w:t xml:space="preserve"> </w:t>
      </w:r>
      <w:r>
        <w:t xml:space="preserve">more than 6.2%. Yet when the old or average zone was withheld its</w:t>
      </w:r>
      <w:r>
        <w:t xml:space="preserve"> </w:t>
      </w:r>
      <w:r>
        <w:t xml:space="preserve">coefficient returned to the prior midpoint and retained essentially the whole prior width, while</w:t>
      </w:r>
      <w:r>
        <w:t xml:space="preserve"> </w:t>
      </w:r>
      <w:r>
        <w:t xml:space="preserve">held-out prediction at the omitted monitors stayed close to the 0.1 mg L</w:t>
      </w:r>
      <w:r>
        <w:rPr>
          <w:vertAlign w:val="superscript"/>
        </w:rPr>
        <w:t xml:space="preserve">-1</w:t>
      </w:r>
      <w:r>
        <w:t xml:space="preserve"> </w:t>
      </w:r>
      <w:r>
        <w:t xml:space="preserve">observation-noise</w:t>
      </w:r>
      <w:r>
        <w:t xml:space="preserve"> </w:t>
      </w:r>
      <w:r>
        <w:t xml:space="preserve">scale. Displacements of several standard deviations largely preserved whole-network rank order,</w:t>
      </w:r>
      <w:r>
        <w:t xml:space="preserve"> </w:t>
      </w:r>
      <w:r>
        <w:t xml:space="preserve">but they altered the six-node operational shortlist under one risk metric and not another.</w:t>
      </w:r>
    </w:p>
    <w:p>
      <w:pPr>
        <w:pStyle w:val="BodyText"/>
      </w:pPr>
      <w:r>
        <w:t xml:space="preserve">Parameter identification, predictive adequacy and decision stability should be assessed</w:t>
      </w:r>
      <w:r>
        <w:t xml:space="preserve"> </w:t>
      </w:r>
      <w:r>
        <w:t xml:space="preserve">separately. All conclusions are bounded by a synthetic known-truth design with internal hold-out</w:t>
      </w:r>
      <w:r>
        <w:t xml:space="preserve"> </w:t>
      </w:r>
      <w:r>
        <w:t xml:space="preserve">evaluation and no field data.</w:t>
      </w:r>
    </w:p>
    <w:bookmarkEnd w:id="9"/>
    <w:bookmarkStart w:id="14" w:name="introduction"/>
    <w:p>
      <w:pPr>
        <w:pStyle w:val="Heading1"/>
      </w:pPr>
      <w:r>
        <w:t xml:space="preserve">1. Introduction</w:t>
      </w:r>
    </w:p>
    <w:bookmarkStart w:id="10" w:name="Xd5d69df5afc60954188de1b07ab3244f3febdf3"/>
    <w:p>
      <w:pPr>
        <w:pStyle w:val="Heading2"/>
      </w:pPr>
      <w:r>
        <w:t xml:space="preserve">1.1 Chlorine residual modelling as an inverse problem</w:t>
      </w:r>
    </w:p>
    <w:p>
      <w:pPr>
        <w:pStyle w:val="FirstParagraph"/>
      </w:pPr>
      <w:r>
        <w:t xml:space="preserve">A chlorine residual is maintained through a distribution network to provide continuing</w:t>
      </w:r>
      <w:r>
        <w:t xml:space="preserve"> </w:t>
      </w:r>
      <w:r>
        <w:t xml:space="preserve">disinfection after treatment, and its concentration at any location reflects reaction in the</w:t>
      </w:r>
      <w:r>
        <w:t xml:space="preserve"> </w:t>
      </w:r>
      <w:r>
        <w:t xml:space="preserve">bulk water, reaction at the pipe wall, and the transport and residence time that determine</w:t>
      </w:r>
      <w:r>
        <w:t xml:space="preserve"> </w:t>
      </w:r>
      <w:r>
        <w:t xml:space="preserve">exposure to both</w:t>
      </w:r>
      <w:r>
        <w:t xml:space="preserve"> </w:t>
      </w:r>
      <w:r>
        <w:t xml:space="preserve">(Rossman, Clark &amp; Grayman, 1994; Vasconcelos</w:t>
      </w:r>
      <w:r>
        <w:t xml:space="preserve"> </w:t>
      </w:r>
      <w:r>
        <w:rPr>
          <w:i/>
          <w:iCs/>
        </w:rPr>
        <w:t xml:space="preserve">et al.</w:t>
      </w:r>
      <w:r>
        <w:t xml:space="preserve">, 1997)</w:t>
      </w:r>
      <w:r>
        <w:t xml:space="preserve">. In the first-order representation implemented in EPANET, bulk decay is described by a coefficient</w:t>
      </w:r>
      <w:r>
        <w:t xml:space="preserve"> </w:t>
      </w:r>
      <m:oMath>
        <m:sSub>
          <m:e>
            <m:r>
              <m:t>k</m:t>
            </m:r>
          </m:e>
          <m:sub>
            <m:r>
              <m:t>b</m:t>
            </m:r>
          </m:sub>
        </m:sSub>
      </m:oMath>
      <w:r>
        <w:t xml:space="preserve"> </w:t>
      </w:r>
      <w:r>
        <w:t xml:space="preserve">in day</w:t>
      </w:r>
      <w:r>
        <w:rPr>
          <w:vertAlign w:val="superscript"/>
        </w:rPr>
        <w:t xml:space="preserve">-1</w:t>
      </w:r>
      <w:r>
        <w:t xml:space="preserve"> </w:t>
      </w:r>
      <w:r>
        <w:t xml:space="preserve">and wall decay by</w:t>
      </w:r>
      <w:r>
        <w:t xml:space="preserve"> </w:t>
      </w:r>
      <m:oMath>
        <m:sSub>
          <m:e>
            <m:r>
              <m:t>k</m:t>
            </m:r>
          </m:e>
          <m:sub>
            <m:r>
              <m:t>w</m:t>
            </m:r>
          </m:sub>
        </m:sSub>
      </m:oMath>
      <w:r>
        <w:t xml:space="preserve"> </w:t>
      </w:r>
      <w:r>
        <w:t xml:space="preserve">in m day</w:t>
      </w:r>
      <w:r>
        <w:rPr>
          <w:vertAlign w:val="superscript"/>
        </w:rPr>
        <w:t xml:space="preserve">-1</w:t>
      </w:r>
      <w:r>
        <w:t xml:space="preserve">. The wall reaction is coupled to mass</w:t>
      </w:r>
      <w:r>
        <w:t xml:space="preserve"> </w:t>
      </w:r>
      <w:r>
        <w:t xml:space="preserve">transfer from the bulk, so diameter and flow regime also affect its effective contribution</w:t>
      </w:r>
      <w:r>
        <w:t xml:space="preserve"> </w:t>
      </w:r>
      <w:r>
        <w:t xml:space="preserve">(Rossman, 2000)</w:t>
      </w:r>
      <w:r>
        <w:t xml:space="preserve">.</w:t>
      </w:r>
    </w:p>
    <w:p>
      <w:pPr>
        <w:pStyle w:val="BodyText"/>
      </w:pPr>
      <w:r>
        <w:t xml:space="preserve">The two components are not equally accessible to measurement. Bulk decay can be estimated</w:t>
      </w:r>
      <w:r>
        <w:t xml:space="preserve"> </w:t>
      </w:r>
      <w:r>
        <w:t xml:space="preserve">independently from controlled bottle tests, whereas wall decay is less directly observable. It depends on pipe-surface condition, corrosion products, deposits and biofilm, and generally has to be inferred from pipe-loop or field concentration data after accounting for bulk decay</w:t>
      </w:r>
      <w:r>
        <w:t xml:space="preserve"> </w:t>
      </w:r>
      <w:r>
        <w:t xml:space="preserve">(Powell</w:t>
      </w:r>
      <w:r>
        <w:t xml:space="preserve"> </w:t>
      </w:r>
      <w:r>
        <w:rPr>
          <w:i/>
          <w:iCs/>
        </w:rPr>
        <w:t xml:space="preserve">et al.</w:t>
      </w:r>
      <w:r>
        <w:t xml:space="preserve">, 2000; Hallam</w:t>
      </w:r>
      <w:r>
        <w:t xml:space="preserve"> </w:t>
      </w:r>
      <w:r>
        <w:rPr>
          <w:i/>
          <w:iCs/>
        </w:rPr>
        <w:t xml:space="preserve">et al.</w:t>
      </w:r>
      <w:r>
        <w:t xml:space="preserve">, 2002)</w:t>
      </w:r>
      <w:r>
        <w:t xml:space="preserve">. Because networks contain far more pipes than monitors, wall</w:t>
      </w:r>
      <w:r>
        <w:t xml:space="preserve"> </w:t>
      </w:r>
      <w:r>
        <w:t xml:space="preserve">coefficients are commonly estimated for groups of pipes rather than individually, with grouping</w:t>
      </w:r>
      <w:r>
        <w:t xml:space="preserve"> </w:t>
      </w:r>
      <w:r>
        <w:t xml:space="preserve">based on whatever physical or spatial information is available</w:t>
      </w:r>
      <w:r>
        <w:t xml:space="preserve"> </w:t>
      </w:r>
      <w:r>
        <w:t xml:space="preserve">(Munavalli &amp; Mohan Kumar, 2003; Nejjari</w:t>
      </w:r>
      <w:r>
        <w:t xml:space="preserve"> </w:t>
      </w:r>
      <w:r>
        <w:rPr>
          <w:i/>
          <w:iCs/>
        </w:rPr>
        <w:t xml:space="preserve">et al.</w:t>
      </w:r>
      <w:r>
        <w:t xml:space="preserve">, 2014)</w:t>
      </w:r>
      <w:r>
        <w:t xml:space="preserve">. Grouped coefficients have been calibrated by global optimisation heuristics, genetic and</w:t>
      </w:r>
      <w:r>
        <w:t xml:space="preserve"> </w:t>
      </w:r>
      <w:r>
        <w:t xml:space="preserve">particle-swarm among them</w:t>
      </w:r>
      <w:r>
        <w:t xml:space="preserve"> </w:t>
      </w:r>
      <w:r>
        <w:t xml:space="preserve">(Peirovi Minaee</w:t>
      </w:r>
      <w:r>
        <w:t xml:space="preserve"> </w:t>
      </w:r>
      <w:r>
        <w:rPr>
          <w:i/>
          <w:iCs/>
        </w:rPr>
        <w:t xml:space="preserve">et al.</w:t>
      </w:r>
      <w:r>
        <w:t xml:space="preserve">, 2019; Gómez-Coronel</w:t>
      </w:r>
      <w:r>
        <w:t xml:space="preserve"> </w:t>
      </w:r>
      <w:r>
        <w:rPr>
          <w:i/>
          <w:iCs/>
        </w:rPr>
        <w:t xml:space="preserve">et al.</w:t>
      </w:r>
      <w:r>
        <w:t xml:space="preserve">, 2023)</w:t>
      </w:r>
      <w:r>
        <w:t xml:space="preserve">, Such calibrations target best-fitting values but do not themselves quantify how strongly the data</w:t>
      </w:r>
      <w:r>
        <w:t xml:space="preserve"> </w:t>
      </w:r>
      <w:r>
        <w:t xml:space="preserve">identify them.</w:t>
      </w:r>
    </w:p>
    <w:p>
      <w:pPr>
        <w:pStyle w:val="BodyText"/>
      </w:pPr>
      <w:r>
        <w:t xml:space="preserve">Chlorine calibration is therefore an inverse problem rather than a curve-fitting exercise, and</w:t>
      </w:r>
      <w:r>
        <w:t xml:space="preserve"> </w:t>
      </w:r>
      <w:r>
        <w:t xml:space="preserve">the distinction matters because the coefficients are not the only quantity of interest.</w:t>
      </w:r>
      <w:r>
        <w:t xml:space="preserve"> </w:t>
      </w:r>
      <w:r>
        <w:t xml:space="preserve">Calibrated models are also used to predict concentrations at unmonitored locations and to support</w:t>
      </w:r>
      <w:r>
        <w:t xml:space="preserve"> </w:t>
      </w:r>
      <w:r>
        <w:t xml:space="preserve">monitoring or control decisions, so a calibration may fail at several distinct levels, and those</w:t>
      </w:r>
      <w:r>
        <w:t xml:space="preserve"> </w:t>
      </w:r>
      <w:r>
        <w:t xml:space="preserve">failures need not occur together.</w:t>
      </w:r>
    </w:p>
    <w:bookmarkEnd w:id="10"/>
    <w:bookmarkStart w:id="11" w:name="X6caffb3c1927aa9f8c86386fba93fc75f07be34"/>
    <w:p>
      <w:pPr>
        <w:pStyle w:val="Heading2"/>
      </w:pPr>
      <w:r>
        <w:t xml:space="preserve">1.2 Uncertainty, identifiability and their propagation</w:t>
      </w:r>
    </w:p>
    <w:p>
      <w:pPr>
        <w:pStyle w:val="FirstParagraph"/>
      </w:pPr>
      <w:r>
        <w:t xml:space="preserve">Several uncertainty sources act on such a problem. Measurement noise and temporal dependence reduce the effective information in monitored series,</w:t>
      </w:r>
      <w:r>
        <w:t xml:space="preserve"> </w:t>
      </w:r>
      <w:r>
        <w:t xml:space="preserve">and readings at a reporting boundary are censored, not exact. Systematic offsets or drift bias the inferred parameters while remaining hard to diagnose from</w:t>
      </w:r>
      <w:r>
        <w:t xml:space="preserve"> </w:t>
      </w:r>
      <w:r>
        <w:t xml:space="preserve">fit quality, and online free-chlorine sensors degrade that way</w:t>
      </w:r>
      <w:r>
        <w:t xml:space="preserve"> </w:t>
      </w:r>
      <w:r>
        <w:t xml:space="preserve">(Aisopou &amp; Stoianov, 2024)</w:t>
      </w:r>
      <w:r>
        <w:t xml:space="preserve">. Bulk decay is often characterised separately and held fixed during wall-decay calibration, so an</w:t>
      </w:r>
      <w:r>
        <w:t xml:space="preserve"> </w:t>
      </w:r>
      <w:r>
        <w:t xml:space="preserve">error in it is absorbed by the wall coefficients, and grouping is an approximation where wall</w:t>
      </w:r>
      <w:r>
        <w:t xml:space="preserve"> </w:t>
      </w:r>
      <w:r>
        <w:t xml:space="preserve">reactivity varies</w:t>
      </w:r>
      <w:r>
        <w:t xml:space="preserve"> </w:t>
      </w:r>
      <w:r>
        <w:t xml:space="preserve">(Powell</w:t>
      </w:r>
      <w:r>
        <w:t xml:space="preserve"> </w:t>
      </w:r>
      <w:r>
        <w:rPr>
          <w:i/>
          <w:iCs/>
        </w:rPr>
        <w:t xml:space="preserve">et al.</w:t>
      </w:r>
      <w:r>
        <w:t xml:space="preserve">, 2000; Hallam</w:t>
      </w:r>
      <w:r>
        <w:t xml:space="preserve"> </w:t>
      </w:r>
      <w:r>
        <w:rPr>
          <w:i/>
          <w:iCs/>
        </w:rPr>
        <w:t xml:space="preserve">et al.</w:t>
      </w:r>
      <w:r>
        <w:t xml:space="preserve">, 2002; Nejjari</w:t>
      </w:r>
      <w:r>
        <w:t xml:space="preserve"> </w:t>
      </w:r>
      <w:r>
        <w:rPr>
          <w:i/>
          <w:iCs/>
        </w:rPr>
        <w:t xml:space="preserve">et al.</w:t>
      </w:r>
      <w:r>
        <w:t xml:space="preserve">, 2014)</w:t>
      </w:r>
      <w:r>
        <w:t xml:space="preserve">. A close fit therefore does not establish that the coefficients represent the underlying reaction</w:t>
      </w:r>
      <w:r>
        <w:t xml:space="preserve"> </w:t>
      </w:r>
      <w:r>
        <w:t xml:space="preserve">process.</w:t>
      </w:r>
    </w:p>
    <w:p>
      <w:pPr>
        <w:pStyle w:val="BodyText"/>
      </w:pPr>
      <w:r>
        <w:t xml:space="preserve">Uncertainty here has been addressed through real-time data assimilation</w:t>
      </w:r>
      <w:r>
        <w:t xml:space="preserve"> </w:t>
      </w:r>
      <w:r>
        <w:t xml:space="preserve">(Hutton</w:t>
      </w:r>
      <w:r>
        <w:t xml:space="preserve"> </w:t>
      </w:r>
      <w:r>
        <w:rPr>
          <w:i/>
          <w:iCs/>
        </w:rPr>
        <w:t xml:space="preserve">et al.</w:t>
      </w:r>
      <w:r>
        <w:t xml:space="preserve">, 2014)</w:t>
      </w:r>
      <w:r>
        <w:t xml:space="preserve">, including joint state and parameter estimation by ensemble Kalman</w:t>
      </w:r>
      <w:r>
        <w:t xml:space="preserve"> </w:t>
      </w:r>
      <w:r>
        <w:t xml:space="preserve">filtering</w:t>
      </w:r>
      <w:r>
        <w:t xml:space="preserve"> </w:t>
      </w:r>
      <w:r>
        <w:t xml:space="preserve">(Rajakumar</w:t>
      </w:r>
      <w:r>
        <w:t xml:space="preserve"> </w:t>
      </w:r>
      <w:r>
        <w:rPr>
          <w:i/>
          <w:iCs/>
        </w:rPr>
        <w:t xml:space="preserve">et al.</w:t>
      </w:r>
      <w:r>
        <w:t xml:space="preserve">, 2019)</w:t>
      </w:r>
      <w:r>
        <w:t xml:space="preserve">, through explicit input error</w:t>
      </w:r>
      <w:r>
        <w:t xml:space="preserve"> </w:t>
      </w:r>
      <w:r>
        <w:t xml:space="preserve">(Wu, Marshall &amp; Sharma, 2022)</w:t>
      </w:r>
      <w:r>
        <w:t xml:space="preserve">, and through formal</w:t>
      </w:r>
      <w:r>
        <w:t xml:space="preserve"> </w:t>
      </w:r>
      <w:r>
        <w:t xml:space="preserve">Bayesian inference on disinfectant decay</w:t>
      </w:r>
      <w:r>
        <w:t xml:space="preserve"> </w:t>
      </w:r>
      <w:r>
        <w:t xml:space="preserve">(Jenks, Ulusoy &amp; Stoianov, 2025)</w:t>
      </w:r>
      <w:r>
        <w:t xml:space="preserve">.</w:t>
      </w:r>
    </w:p>
    <w:p>
      <w:pPr>
        <w:pStyle w:val="BodyText"/>
      </w:pPr>
      <w:r>
        <w:t xml:space="preserve">Identifiability analysis addresses how strongly the observations constrain those parameters.</w:t>
      </w:r>
      <w:r>
        <w:t xml:space="preserve"> </w:t>
      </w:r>
      <w:r>
        <w:t xml:space="preserve">Local sensitivity-based diagnostics examine whether nearby parameter changes produce</w:t>
      </w:r>
      <w:r>
        <w:t xml:space="preserve"> </w:t>
      </w:r>
      <w:r>
        <w:t xml:space="preserve">distinguishable changes in the monitored outputs, which Fisher information and the associated</w:t>
      </w:r>
      <w:r>
        <w:t xml:space="preserve"> </w:t>
      </w:r>
      <w:r>
        <w:t xml:space="preserve">Cramér–Rao bounds quantify under an assumed observation model</w:t>
      </w:r>
      <w:r>
        <w:t xml:space="preserve"> </w:t>
      </w:r>
      <w:r>
        <w:t xml:space="preserve">(Brun, Reichert &amp; Künsch, 2001)</w:t>
      </w:r>
      <w:r>
        <w:t xml:space="preserve">. Practical</w:t>
      </w:r>
      <w:r>
        <w:t xml:space="preserve"> </w:t>
      </w:r>
      <w:r>
        <w:t xml:space="preserve">identifiability concerns whether the finite, noisy observations available constrain the</w:t>
      </w:r>
      <w:r>
        <w:t xml:space="preserve"> </w:t>
      </w:r>
      <w:r>
        <w:t xml:space="preserve">parameters sufficiently, for which profile likelihood is a direct diagnostic</w:t>
      </w:r>
      <w:r>
        <w:t xml:space="preserve"> </w:t>
      </w:r>
      <w:r>
        <w:t xml:space="preserve">(Raue</w:t>
      </w:r>
      <w:r>
        <w:t xml:space="preserve"> </w:t>
      </w:r>
      <w:r>
        <w:rPr>
          <w:i/>
          <w:iCs/>
        </w:rPr>
        <w:t xml:space="preserve">et al.</w:t>
      </w:r>
      <w:r>
        <w:t xml:space="preserve">, 2009)</w:t>
      </w:r>
      <w:r>
        <w:t xml:space="preserve">, and</w:t>
      </w:r>
      <w:r>
        <w:t xml:space="preserve"> </w:t>
      </w:r>
      <w:r>
        <w:t xml:space="preserve">repeated sampling then tests whether the resulting intervals show the bias and coverage the</w:t>
      </w:r>
      <w:r>
        <w:t xml:space="preserve"> </w:t>
      </w:r>
      <w:r>
        <w:t xml:space="preserve">assumed model implies. No single diagnostic</w:t>
      </w:r>
      <w:r>
        <w:t xml:space="preserve"> </w:t>
      </w:r>
      <w:r>
        <w:t xml:space="preserve">suffices. A posterior mean close to the truth may simply reflect favourable prior placement, and</w:t>
      </w:r>
      <w:r>
        <w:t xml:space="preserve"> </w:t>
      </w:r>
      <w:r>
        <w:t xml:space="preserve">a narrow posterior may reflect a restrictive prior or a misspecified likelihood rather than</w:t>
      </w:r>
      <w:r>
        <w:t xml:space="preserve"> </w:t>
      </w:r>
      <w:r>
        <w:t xml:space="preserve">physical correctness.</w:t>
      </w:r>
    </w:p>
    <w:p>
      <w:pPr>
        <w:pStyle w:val="BodyText"/>
      </w:pPr>
      <w:r>
        <w:t xml:space="preserve">Uncertainty surviving calibration must finally be propagated to whatever decision the model</w:t>
      </w:r>
      <w:r>
        <w:t xml:space="preserve"> </w:t>
      </w:r>
      <w:r>
        <w:t xml:space="preserve">supports, where stability is again not a single property and holding at one scale does not imply</w:t>
      </w:r>
      <w:r>
        <w:t xml:space="preserve"> </w:t>
      </w:r>
      <w:r>
        <w:t xml:space="preserve">holding at another.</w:t>
      </w:r>
    </w:p>
    <w:bookmarkEnd w:id="11"/>
    <w:bookmarkStart w:id="12" w:name="methodological-gap"/>
    <w:p>
      <w:pPr>
        <w:pStyle w:val="Heading2"/>
      </w:pPr>
      <w:r>
        <w:t xml:space="preserve">1.3 Methodological gap</w:t>
      </w:r>
    </w:p>
    <w:p>
      <w:pPr>
        <w:pStyle w:val="FirstParagraph"/>
      </w:pPr>
      <w:r>
        <w:t xml:space="preserve">Three methodological questions motivate this study. First, conclusions about parameter</w:t>
      </w:r>
      <w:r>
        <w:t xml:space="preserve"> </w:t>
      </w:r>
      <w:r>
        <w:t xml:space="preserve">uncertainty can depend on the inference formulation itself. GLUE-type environmental analyses may combine behavioural thresholds with informal likelihood</w:t>
      </w:r>
      <w:r>
        <w:t xml:space="preserve"> </w:t>
      </w:r>
      <w:r>
        <w:t xml:space="preserve">measures whose statistical interpretation depends on their relationship to the assumed error</w:t>
      </w:r>
      <w:r>
        <w:t xml:space="preserve"> </w:t>
      </w:r>
      <w:r>
        <w:t xml:space="preserve">process</w:t>
      </w:r>
      <w:r>
        <w:t xml:space="preserve"> </w:t>
      </w:r>
      <w:r>
        <w:t xml:space="preserve">(Beven &amp; Binley, 1992)</w:t>
      </w:r>
      <w:r>
        <w:t xml:space="preserve">. Critiques have shown that a measure not representing the sampling</w:t>
      </w:r>
      <w:r>
        <w:t xml:space="preserve"> </w:t>
      </w:r>
      <w:r>
        <w:t xml:space="preserve">distribution of model errors need not deliver formally calibrated parameter or prediction</w:t>
      </w:r>
      <w:r>
        <w:t xml:space="preserve"> </w:t>
      </w:r>
      <w:r>
        <w:t xml:space="preserve">uncertainty</w:t>
      </w:r>
      <w:r>
        <w:t xml:space="preserve"> </w:t>
      </w:r>
      <w:r>
        <w:t xml:space="preserve">(Mantovan &amp; Todini, 2006; Stedinger</w:t>
      </w:r>
      <w:r>
        <w:t xml:space="preserve"> </w:t>
      </w:r>
      <w:r>
        <w:rPr>
          <w:i/>
          <w:iCs/>
        </w:rPr>
        <w:t xml:space="preserve">et al.</w:t>
      </w:r>
      <w:r>
        <w:t xml:space="preserve">, 2008)</w:t>
      </w:r>
      <w:r>
        <w:t xml:space="preserve">. The controlled setting here sidesteps that broader debate rather than resolving it. Because the</w:t>
      </w:r>
      <w:r>
        <w:t xml:space="preserve"> </w:t>
      </w:r>
      <w:r>
        <w:t xml:space="preserve">synthetic observation model is known, the informal weighting previously applied to this system</w:t>
      </w:r>
      <w:r>
        <w:t xml:space="preserve"> </w:t>
      </w:r>
      <w:r>
        <w:t xml:space="preserve">can be compared directly with the corresponding formal likelihood on identical observations and</w:t>
      </w:r>
      <w:r>
        <w:t xml:space="preserve"> </w:t>
      </w:r>
      <w:r>
        <w:t xml:space="preserve">candidate draws.</w:t>
      </w:r>
    </w:p>
    <w:p>
      <w:pPr>
        <w:pStyle w:val="BodyText"/>
      </w:pPr>
      <w:r>
        <w:t xml:space="preserve">Second, an identifiability result obtained under a favourable baseline does not establish that</w:t>
      </w:r>
      <w:r>
        <w:t xml:space="preserve"> </w:t>
      </w:r>
      <w:r>
        <w:t xml:space="preserve">the same parameters remain recoverable once further uncertainty sources are admitted. These act</w:t>
      </w:r>
      <w:r>
        <w:t xml:space="preserve"> </w:t>
      </w:r>
      <w:r>
        <w:t xml:space="preserve">in different ways, so loss of precision has to be separated from displacement of the estimate and</w:t>
      </w:r>
      <w:r>
        <w:t xml:space="preserve"> </w:t>
      </w:r>
      <w:r>
        <w:t xml:space="preserve">both placed on a common scale.</w:t>
      </w:r>
    </w:p>
    <w:p>
      <w:pPr>
        <w:pStyle w:val="BodyText"/>
      </w:pPr>
      <w:r>
        <w:t xml:space="preserve">Third, parameter identification, predictive adequacy and decision robustness answer different</w:t>
      </w:r>
      <w:r>
        <w:t xml:space="preserve"> </w:t>
      </w:r>
      <w:r>
        <w:t xml:space="preserve">questions. A held-out prediction error cannot establish that the parameter governing a physical</w:t>
      </w:r>
      <w:r>
        <w:t xml:space="preserve"> </w:t>
      </w:r>
      <w:r>
        <w:t xml:space="preserve">process has been identified, and a high whole-network rank correlation cannot establish that a</w:t>
      </w:r>
      <w:r>
        <w:t xml:space="preserve"> </w:t>
      </w:r>
      <w:r>
        <w:t xml:space="preserve">small hot-spot set is unchanged.</w:t>
      </w:r>
    </w:p>
    <w:bookmarkEnd w:id="12"/>
    <w:bookmarkStart w:id="13" w:name="aim-research-questions-and-scope"/>
    <w:p>
      <w:pPr>
        <w:pStyle w:val="Heading2"/>
      </w:pPr>
      <w:r>
        <w:t xml:space="preserve">1.4 Aim, research questions and scope</w:t>
      </w:r>
    </w:p>
    <w:p>
      <w:pPr>
        <w:pStyle w:val="FirstParagraph"/>
      </w:pPr>
      <w:r>
        <w:t xml:space="preserve">This study investigates how inference formulation and measurement, nuisance and structural-error</w:t>
      </w:r>
      <w:r>
        <w:t xml:space="preserve"> </w:t>
      </w:r>
      <w:r>
        <w:t xml:space="preserve">assumptions affect the practical identifiability of grouped chlorine wall-decay coefficients,</w:t>
      </w:r>
      <w:r>
        <w:t xml:space="preserve"> </w:t>
      </w:r>
      <w:r>
        <w:t xml:space="preserve">and whether the resulting parameter errors propagate to spatial prediction and to operational</w:t>
      </w:r>
      <w:r>
        <w:t xml:space="preserve"> </w:t>
      </w:r>
      <w:r>
        <w:t xml:space="preserve">low-chlorine risk prioritisation. A synthetic experiment on the EPANET Net3 network is used so</w:t>
      </w:r>
      <w:r>
        <w:t xml:space="preserve"> </w:t>
      </w:r>
      <w:r>
        <w:t xml:space="preserve">that the true coefficients are known, individual error sources can be introduced under</w:t>
      </w:r>
      <w:r>
        <w:t xml:space="preserve"> </w:t>
      </w:r>
      <w:r>
        <w:t xml:space="preserve">controlled conditions, and every diagnostic can be evaluated against a known reference.</w:t>
      </w:r>
    </w:p>
    <w:p>
      <w:pPr>
        <w:pStyle w:val="BodyText"/>
      </w:pPr>
      <w:r>
        <w:rPr>
          <w:b/>
          <w:bCs/>
        </w:rPr>
        <w:t xml:space="preserve">RQ1.</w:t>
      </w:r>
      <w:r>
        <w:t xml:space="preserve"> </w:t>
      </w:r>
      <w:r>
        <w:t xml:space="preserve">Under the controlled baseline assumptions, how much information do six monitored</w:t>
      </w:r>
      <w:r>
        <w:t xml:space="preserve"> </w:t>
      </w:r>
      <w:r>
        <w:t xml:space="preserve">chlorine series contain about three grouped wall-decay coefficients, and how strongly does the</w:t>
      </w:r>
      <w:r>
        <w:t xml:space="preserve"> </w:t>
      </w:r>
      <w:r>
        <w:t xml:space="preserve">answer depend on the inference formulation?</w:t>
      </w:r>
    </w:p>
    <w:p>
      <w:pPr>
        <w:pStyle w:val="BodyText"/>
      </w:pPr>
      <w:r>
        <w:rPr>
          <w:b/>
          <w:bCs/>
        </w:rPr>
        <w:t xml:space="preserve">RQ2.</w:t>
      </w:r>
      <w:r>
        <w:t xml:space="preserve"> </w:t>
      </w:r>
      <w:r>
        <w:t xml:space="preserve">How robust is baseline parameter identification to random measurement error, temporal</w:t>
      </w:r>
      <w:r>
        <w:t xml:space="preserve"> </w:t>
      </w:r>
      <w:r>
        <w:t xml:space="preserve">correlation, systematic sensor error, bulk-decay misspecification, zero-floor censoring and</w:t>
      </w:r>
      <w:r>
        <w:t xml:space="preserve"> </w:t>
      </w:r>
      <w:r>
        <w:t xml:space="preserve">within-zone structural heterogeneity?</w:t>
      </w:r>
    </w:p>
    <w:p>
      <w:pPr>
        <w:pStyle w:val="BodyText"/>
      </w:pPr>
      <w:r>
        <w:rPr>
          <w:b/>
          <w:bCs/>
        </w:rPr>
        <w:t xml:space="preserve">RQ3.</w:t>
      </w:r>
      <w:r>
        <w:t xml:space="preserve"> </w:t>
      </w:r>
      <w:r>
        <w:t xml:space="preserve">Do errors in the inferred parameters necessarily degrade spatial prediction or</w:t>
      </w:r>
      <w:r>
        <w:t xml:space="preserve"> </w:t>
      </w:r>
      <w:r>
        <w:t xml:space="preserve">operational prioritisation, and how does the answer depend on the risk metric used?</w:t>
      </w:r>
    </w:p>
    <w:p>
      <w:pPr>
        <w:pStyle w:val="BodyText"/>
      </w:pPr>
      <w:r>
        <w:t xml:space="preserve">The study makes four contributions. It compares a formal censored Gaussian likelihood with the</w:t>
      </w:r>
      <w:r>
        <w:t xml:space="preserve"> </w:t>
      </w:r>
      <w:r>
        <w:t xml:space="preserve">specific informal weighting previously applied to this system, on identical observations and</w:t>
      </w:r>
      <w:r>
        <w:t xml:space="preserve"> </w:t>
      </w:r>
      <w:r>
        <w:t xml:space="preserve">candidate draws. It triangulates identifiability across posterior contraction, displaced priors,</w:t>
      </w:r>
      <w:r>
        <w:t xml:space="preserve"> </w:t>
      </w:r>
      <w:r>
        <w:t xml:space="preserve">Fisher information, continuous profile likelihood and repeated-noise calibration. It separates</w:t>
      </w:r>
      <w:r>
        <w:t xml:space="preserve"> </w:t>
      </w:r>
      <w:r>
        <w:t xml:space="preserve">precision loss from parameter displacement across measurement, nuisance and structural</w:t>
      </w:r>
      <w:r>
        <w:t xml:space="preserve"> </w:t>
      </w:r>
      <w:r>
        <w:t xml:space="preserve">perturbations on common scales. And it distinguishes parameter identification, predictive</w:t>
      </w:r>
      <w:r>
        <w:t xml:space="preserve"> </w:t>
      </w:r>
      <w:r>
        <w:t xml:space="preserve">adequacy and decision robustness.</w:t>
      </w:r>
    </w:p>
    <w:p>
      <w:pPr>
        <w:pStyle w:val="BodyText"/>
      </w:pPr>
      <w:r>
        <w:t xml:space="preserve">The scope is deliberately bounded. Network, zoning and truths are synthetic, the hydraulic model</w:t>
      </w:r>
      <w:r>
        <w:t xml:space="preserve"> </w:t>
      </w:r>
      <w:r>
        <w:t xml:space="preserve">is treated as known rather than calibrated, chemistry is first-order in both bulk and wall</w:t>
      </w:r>
      <w:r>
        <w:t xml:space="preserve"> </w:t>
      </w:r>
      <w:r>
        <w:t xml:space="preserve">reactions, and no field observations enter the analysis.</w:t>
      </w:r>
    </w:p>
    <w:bookmarkEnd w:id="13"/>
    <w:bookmarkEnd w:id="14"/>
    <w:bookmarkStart w:id="51" w:name="method-and-approach"/>
    <w:p>
      <w:pPr>
        <w:pStyle w:val="Heading1"/>
      </w:pPr>
      <w:r>
        <w:t xml:space="preserve">2. Method and approach</w:t>
      </w:r>
    </w:p>
    <w:bookmarkStart w:id="18" w:name="X98add4f3a77e532fe8a1f15af661444d5f35e88"/>
    <w:p>
      <w:pPr>
        <w:pStyle w:val="Heading2"/>
      </w:pPr>
      <w:r>
        <w:t xml:space="preserve">2.1 Study framework and controlled Net3 system</w:t>
      </w:r>
    </w:p>
    <w:bookmarkStart w:id="15" w:name="network-and-hydraulic-model"/>
    <w:p>
      <w:pPr>
        <w:pStyle w:val="Heading3"/>
      </w:pPr>
      <w:r>
        <w:t xml:space="preserve">2.1.1 Network and hydraulic model</w:t>
      </w:r>
    </w:p>
    <w:p>
      <w:pPr>
        <w:pStyle w:val="FirstParagraph"/>
      </w:pPr>
      <w:r>
        <w:t xml:space="preserve">All experiments used the EPANET Net3 example network</w:t>
      </w:r>
      <w:r>
        <w:t xml:space="preserve"> </w:t>
      </w:r>
      <w:r>
        <w:t xml:space="preserve">(Rossman</w:t>
      </w:r>
      <w:r>
        <w:t xml:space="preserve"> </w:t>
      </w:r>
      <w:r>
        <w:rPr>
          <w:i/>
          <w:iCs/>
        </w:rPr>
        <w:t xml:space="preserve">et al.</w:t>
      </w:r>
      <w:r>
        <w:t xml:space="preserve">, 2020)</w:t>
      </w:r>
      <w:r>
        <w:t xml:space="preserve"> </w:t>
      </w:r>
      <w:r>
        <w:t xml:space="preserve">through WNTR</w:t>
      </w:r>
      <w:r>
        <w:t xml:space="preserve"> </w:t>
      </w:r>
      <w:r>
        <w:t xml:space="preserve">(Klise</w:t>
      </w:r>
      <w:r>
        <w:t xml:space="preserve"> </w:t>
      </w:r>
      <w:r>
        <w:rPr>
          <w:i/>
          <w:iCs/>
        </w:rPr>
        <w:t xml:space="preserve">et al.</w:t>
      </w:r>
      <w:r>
        <w:t xml:space="preserve">, 2017)</w:t>
      </w:r>
      <w:r>
        <w:t xml:space="preserve">, comprising 92 junctions, 117</w:t>
      </w:r>
      <w:r>
        <w:t xml:space="preserve"> </w:t>
      </w:r>
      <w:r>
        <w:t xml:space="preserve">pipes, three tanks, two reservoirs and two pumps. Hydraulic and reporting timesteps were 1 h and</w:t>
      </w:r>
      <w:r>
        <w:t xml:space="preserve"> </w:t>
      </w:r>
      <w:r>
        <w:t xml:space="preserve">the water-quality timestep was 5 min. The hydraulic model was treated as known rather than</w:t>
      </w:r>
      <w:r>
        <w:t xml:space="preserve"> </w:t>
      </w:r>
      <w:r>
        <w:t xml:space="preserve">calibrated: demands, pipe roughness, tank characteristics and pump controls were held at the</w:t>
      </w:r>
      <w:r>
        <w:t xml:space="preserve"> </w:t>
      </w:r>
      <w:r>
        <w:t xml:space="preserve">values encoded in the frozen Net3 input file throughout, so the experiments below vary</w:t>
      </w:r>
      <w:r>
        <w:t xml:space="preserve"> </w:t>
      </w:r>
      <w:r>
        <w:t xml:space="preserve">water-quality parameters or the observation process while retaining the same hydraulic</w:t>
      </w:r>
      <w:r>
        <w:t xml:space="preserve"> </w:t>
      </w:r>
      <w:r>
        <w:t xml:space="preserve">representation.</w:t>
      </w:r>
    </w:p>
    <w:bookmarkEnd w:id="15"/>
    <w:bookmarkStart w:id="16" w:name="Xfc93dcaedf165e5436355787b793d0f1148b000"/>
    <w:p>
      <w:pPr>
        <w:pStyle w:val="Heading3"/>
      </w:pPr>
      <w:r>
        <w:t xml:space="preserve">2.1.2 Synthetic three-zone wall-decay representation</w:t>
      </w:r>
    </w:p>
    <w:p>
      <w:pPr>
        <w:pStyle w:val="FirstParagraph"/>
      </w:pPr>
      <w:r>
        <w:t xml:space="preserve">The pipes were divided into three synthetic spatial reaction zones by a deterministic rule on</w:t>
      </w:r>
      <w:r>
        <w:t xml:space="preserve"> </w:t>
      </w:r>
      <w:r>
        <w:t xml:space="preserve">node coordinates. Nodes with</w:t>
      </w:r>
      <w:r>
        <w:t xml:space="preserve"> </w:t>
      </w:r>
      <m:oMath>
        <m:r>
          <m:t>y</m:t>
        </m:r>
        <m:r>
          <m:rPr>
            <m:sty m:val="p"/>
          </m:rPr>
          <m:t>≤</m:t>
        </m:r>
        <m:r>
          <m:t>10</m:t>
        </m:r>
      </m:oMath>
      <w:r>
        <w:t xml:space="preserve"> </w:t>
      </w:r>
      <w:r>
        <w:t xml:space="preserve">were assigned to the average zone; among the remainder,</w:t>
      </w:r>
      <w:r>
        <w:t xml:space="preserve"> </w:t>
      </w:r>
      <w:r>
        <w:t xml:space="preserve">those with</w:t>
      </w:r>
      <w:r>
        <w:t xml:space="preserve"> </w:t>
      </w:r>
      <m:oMath>
        <m:r>
          <m:t>x</m:t>
        </m:r>
        <m:r>
          <m:rPr>
            <m:sty m:val="p"/>
          </m:rPr>
          <m:t>≤</m:t>
        </m:r>
        <m:r>
          <m:t>26</m:t>
        </m:r>
      </m:oMath>
      <w:r>
        <w:t xml:space="preserve"> </w:t>
      </w:r>
      <w:r>
        <w:t xml:space="preserve">were assigned to the new zone and those with</w:t>
      </w:r>
      <w:r>
        <w:t xml:space="preserve"> </w:t>
      </w:r>
      <m:oMath>
        <m:r>
          <m:t>x</m:t>
        </m:r>
        <m:r>
          <m:rPr>
            <m:sty m:val="p"/>
          </m:rPr>
          <m:t>&gt;</m:t>
        </m:r>
        <m:r>
          <m:t>26</m:t>
        </m:r>
      </m:oMath>
      <w:r>
        <w:t xml:space="preserve"> </w:t>
      </w:r>
      <w:r>
        <w:t xml:space="preserve">to the old zone. A</w:t>
      </w:r>
      <w:r>
        <w:t xml:space="preserve"> </w:t>
      </w:r>
      <w:r>
        <w:t xml:space="preserve">pipe whose end nodes fell in different zones was assigned to the weaker-reactivity side, under</w:t>
      </w:r>
      <w:r>
        <w:t xml:space="preserve"> </w:t>
      </w:r>
      <w:r>
        <w:t xml:space="preserve">the fixed ordering new, average, old. This produced 14 old-zone, 37 average-zone and 66 new-zone</w:t>
      </w:r>
      <w:r>
        <w:t xml:space="preserve"> </w:t>
      </w:r>
      <w:r>
        <w:t xml:space="preserve">pipes.</w:t>
      </w:r>
    </w:p>
    <w:p>
      <w:pPr>
        <w:pStyle w:val="BodyText"/>
      </w:pPr>
      <w:r>
        <w:t xml:space="preserve">These labels denote synthetic reaction groups only. Net3 carries no pipe material or age</w:t>
      </w:r>
      <w:r>
        <w:t xml:space="preserve"> </w:t>
      </w:r>
      <w:r>
        <w:t xml:space="preserve">information used by this study, so</w:t>
      </w:r>
      <w:r>
        <w:t xml:space="preserve"> </w:t>
      </w:r>
      <w:r>
        <w:t xml:space="preserve">“old”</w:t>
      </w:r>
      <w:r>
        <w:t xml:space="preserve">,</w:t>
      </w:r>
      <w:r>
        <w:t xml:space="preserve"> </w:t>
      </w:r>
      <w:r>
        <w:t xml:space="preserve">“average”</w:t>
      </w:r>
      <w:r>
        <w:t xml:space="preserve"> </w:t>
      </w:r>
      <w:r>
        <w:t xml:space="preserve">and</w:t>
      </w:r>
      <w:r>
        <w:t xml:space="preserve"> </w:t>
      </w:r>
      <w:r>
        <w:t xml:space="preserve">“new”</w:t>
      </w:r>
      <w:r>
        <w:t xml:space="preserve"> </w:t>
      </w:r>
      <w:r>
        <w:t xml:space="preserve">should not be read as observed</w:t>
      </w:r>
      <w:r>
        <w:t xml:space="preserve"> </w:t>
      </w:r>
      <w:r>
        <w:t xml:space="preserve">asset-condition classes.</w:t>
      </w:r>
    </w:p>
    <w:p>
      <w:pPr>
        <w:pStyle w:val="BodyText"/>
      </w:pPr>
      <w:r>
        <w:t xml:space="preserve">Both bulk and wall reactions were represented as first-order processes. The synthetic truth</w:t>
      </w:r>
      <w:r>
        <w:t xml:space="preserve"> </w:t>
      </w:r>
      <w:r>
        <w:t xml:space="preserve">assigned uniform wall-decay coefficients of −1.0, −0.1 and −0.05 m day</w:t>
      </w:r>
      <w:r>
        <w:rPr>
          <w:vertAlign w:val="superscript"/>
        </w:rPr>
        <w:t xml:space="preserve">-1</w:t>
      </w:r>
      <w:r>
        <w:t xml:space="preserve"> </w:t>
      </w:r>
      <w:r>
        <w:t xml:space="preserve">to the old, average</w:t>
      </w:r>
      <w:r>
        <w:t xml:space="preserve"> </w:t>
      </w:r>
      <w:r>
        <w:t xml:space="preserve">and new zones. The baseline bulk-decay coefficient was fixed at −0.5 day</w:t>
      </w:r>
      <w:r>
        <w:rPr>
          <w:vertAlign w:val="superscript"/>
        </w:rPr>
        <w:t xml:space="preserve">-1</w:t>
      </w:r>
      <w:r>
        <w:t xml:space="preserve">, except in the</w:t>
      </w:r>
      <w:r>
        <w:t xml:space="preserve"> </w:t>
      </w:r>
      <w:r>
        <w:t xml:space="preserve">robustness analyses of Section 2.5.5. Source chlorine was 1.0 mg L</w:t>
      </w:r>
      <w:r>
        <w:rPr>
          <w:vertAlign w:val="superscript"/>
        </w:rPr>
        <w:t xml:space="preserve">-1</w:t>
      </w:r>
      <w:r>
        <w:t xml:space="preserve"> </w:t>
      </w:r>
      <w:r>
        <w:t xml:space="preserve">and the tanks were</w:t>
      </w:r>
      <w:r>
        <w:t xml:space="preserve"> </w:t>
      </w:r>
      <w:r>
        <w:t xml:space="preserve">initialised at 0.5 mg L</w:t>
      </w:r>
      <w:r>
        <w:rPr>
          <w:vertAlign w:val="superscript"/>
        </w:rPr>
        <w:t xml:space="preserve">-1</w:t>
      </w:r>
      <w:r>
        <w:t xml:space="preserve">.</w:t>
      </w:r>
    </w:p>
    <w:bookmarkEnd w:id="16"/>
    <w:bookmarkStart w:id="17" w:name="monitoring-configuration-and-priors"/>
    <w:p>
      <w:pPr>
        <w:pStyle w:val="Heading3"/>
      </w:pPr>
      <w:r>
        <w:t xml:space="preserve">2.1.3 Monitoring configuration and priors</w:t>
      </w:r>
    </w:p>
    <w:p>
      <w:pPr>
        <w:pStyle w:val="FirstParagraph"/>
      </w:pPr>
      <w:r>
        <w:t xml:space="preserve">Six junctions were used as calibration monitors, two in each synthetic zone: nodes 107 and 113</w:t>
      </w:r>
      <w:r>
        <w:t xml:space="preserve"> </w:t>
      </w:r>
      <w:r>
        <w:t xml:space="preserve">in the new zone, 15 and 145 in the old, and 209 and 231 in the average. This configuration also</w:t>
      </w:r>
      <w:r>
        <w:t xml:space="preserve"> </w:t>
      </w:r>
      <w:r>
        <w:t xml:space="preserve">permits two distinct held-out designs to be separated: leave-one-monitor-out retains one local</w:t>
      </w:r>
      <w:r>
        <w:t xml:space="preserve"> </w:t>
      </w:r>
      <w:r>
        <w:t xml:space="preserve">monitor in the withheld monitor’s zone, whereas leave-one-zone-out removes both.</w:t>
      </w:r>
    </w:p>
    <w:p>
      <w:pPr>
        <w:pStyle w:val="BodyText"/>
      </w:pPr>
      <w:r>
        <w:t xml:space="preserve">The 48 h assessment window defined in Section 2.2.2 contains 49 hourly reporting points per</w:t>
      </w:r>
      <w:r>
        <w:t xml:space="preserve"> </w:t>
      </w:r>
      <w:r>
        <w:t xml:space="preserve">monitor, giving</w:t>
      </w:r>
      <w:r>
        <w:t xml:space="preserve"> </w:t>
      </w:r>
      <m:oMath>
        <m:r>
          <m:t>6</m:t>
        </m:r>
        <m:r>
          <m:rPr>
            <m:sty m:val="p"/>
          </m:rPr>
          <m:t>×</m:t>
        </m:r>
        <m:r>
          <m:t>49</m:t>
        </m:r>
        <m:r>
          <m:rPr>
            <m:sty m:val="p"/>
          </m:rPr>
          <m:t>=</m:t>
        </m:r>
        <m:r>
          <m:t>294</m:t>
        </m:r>
      </m:oMath>
      <w:r>
        <w:t xml:space="preserve"> </w:t>
      </w:r>
      <w:r>
        <w:t xml:space="preserve">observations in the baseline calibration. Independent</w:t>
      </w:r>
      <w:r>
        <w:t xml:space="preserve"> </w:t>
      </w:r>
      <w:r>
        <w:t xml:space="preserve">uniform priors were specified as [−1.5, −0.2], [−0.2, −0.04] and [−0.10, −0.005] m day</w:t>
      </w:r>
      <w:r>
        <w:rPr>
          <w:vertAlign w:val="superscript"/>
        </w:rPr>
        <w:t xml:space="preserve">-1</w:t>
      </w:r>
      <w:r>
        <w:t xml:space="preserve"> </w:t>
      </w:r>
      <w:r>
        <w:t xml:space="preserve">for</w:t>
      </w:r>
      <w:r>
        <w:t xml:space="preserve"> </w:t>
      </w:r>
      <w:r>
        <w:t xml:space="preserve">the old, average and new coefficients. All three contain their synthetic truths but are not</w:t>
      </w:r>
      <w:r>
        <w:t xml:space="preserve"> </w:t>
      </w:r>
      <w:r>
        <w:t xml:space="preserve">centred on them, which matters for interpreting any posterior that reverts towards its prior.</w:t>
      </w:r>
      <w:r>
        <w:t xml:space="preserve"> </w:t>
      </w:r>
      <w:r>
        <w:t xml:space="preserve">Table 1 summarises the baseline design.</w:t>
      </w:r>
    </w:p>
    <w:tbl>
      <w:tblPr>
        <w:tblStyle w:val="Table"/>
        <w:tblW w:type="pct" w:w="5000"/>
        <w:tblLayout w:type="fixed"/>
        <w:tblLook w:firstRow="1" w:lastRow="0" w:firstColumn="0" w:lastColumn="0" w:noHBand="0" w:noVBand="0" w:val="0020"/>
      </w:tblPr>
      <w:tblGrid>
        <w:gridCol w:w="1320"/>
        <w:gridCol w:w="1760"/>
        <w:gridCol w:w="1760"/>
        <w:gridCol w:w="1760"/>
        <w:gridCol w:w="1320"/>
      </w:tblGrid>
      <w:tr>
        <w:trPr>
          <w:tblHeader w:val="on"/>
        </w:trPr>
        <w:tc>
          <w:tcPr/>
          <w:p>
            <w:pPr>
              <w:pStyle w:val="Compact"/>
            </w:pPr>
            <w:r>
              <w:t xml:space="preserve">Quantity</w:t>
            </w:r>
          </w:p>
        </w:tc>
        <w:tc>
          <w:tcPr/>
          <w:p>
            <w:pPr>
              <w:pStyle w:val="Compact"/>
              <w:jc w:val="right"/>
            </w:pPr>
            <w:r>
              <w:t xml:space="preserve">Old zone</w:t>
            </w:r>
          </w:p>
        </w:tc>
        <w:tc>
          <w:tcPr/>
          <w:p>
            <w:pPr>
              <w:pStyle w:val="Compact"/>
              <w:jc w:val="right"/>
            </w:pPr>
            <w:r>
              <w:t xml:space="preserve">Average zone</w:t>
            </w:r>
          </w:p>
        </w:tc>
        <w:tc>
          <w:tcPr/>
          <w:p>
            <w:pPr>
              <w:pStyle w:val="Compact"/>
              <w:jc w:val="right"/>
            </w:pPr>
            <w:r>
              <w:t xml:space="preserve">New zone</w:t>
            </w:r>
          </w:p>
        </w:tc>
        <w:tc>
          <w:tcPr/>
          <w:p>
            <w:pPr>
              <w:pStyle w:val="Compact"/>
            </w:pPr>
            <w:r>
              <w:t xml:space="preserve">Unit</w:t>
            </w:r>
          </w:p>
        </w:tc>
      </w:tr>
      <w:tr>
        <w:tc>
          <w:tcPr/>
          <w:p>
            <w:pPr>
              <w:pStyle w:val="Compact"/>
            </w:pPr>
            <w:r>
              <w:t xml:space="preserve">Pipes</w:t>
            </w:r>
          </w:p>
        </w:tc>
        <w:tc>
          <w:tcPr/>
          <w:p>
            <w:pPr>
              <w:pStyle w:val="Compact"/>
              <w:jc w:val="right"/>
            </w:pPr>
            <w:r>
              <w:t xml:space="preserve">14</w:t>
            </w:r>
          </w:p>
        </w:tc>
        <w:tc>
          <w:tcPr/>
          <w:p>
            <w:pPr>
              <w:pStyle w:val="Compact"/>
              <w:jc w:val="right"/>
            </w:pPr>
            <w:r>
              <w:t xml:space="preserve">37</w:t>
            </w:r>
          </w:p>
        </w:tc>
        <w:tc>
          <w:tcPr/>
          <w:p>
            <w:pPr>
              <w:pStyle w:val="Compact"/>
              <w:jc w:val="right"/>
            </w:pPr>
            <w:r>
              <w:t xml:space="preserve">66</w:t>
            </w:r>
          </w:p>
        </w:tc>
        <w:tc>
          <w:tcPr/>
          <w:p>
            <w:pPr>
              <w:pStyle w:val="Compact"/>
            </w:pPr>
            <w:r>
              <w:t xml:space="preserve">—</w:t>
            </w:r>
          </w:p>
        </w:tc>
      </w:tr>
      <w:tr>
        <w:tc>
          <w:tcPr/>
          <w:p>
            <w:pPr>
              <w:pStyle w:val="Compact"/>
            </w:pPr>
            <w:r>
              <w:t xml:space="preserve">True wall decay</w:t>
            </w:r>
          </w:p>
        </w:tc>
        <w:tc>
          <w:tcPr/>
          <w:p>
            <w:pPr>
              <w:pStyle w:val="Compact"/>
              <w:jc w:val="right"/>
            </w:pPr>
            <w:r>
              <w:t xml:space="preserve">-1.000</w:t>
            </w:r>
          </w:p>
        </w:tc>
        <w:tc>
          <w:tcPr/>
          <w:p>
            <w:pPr>
              <w:pStyle w:val="Compact"/>
              <w:jc w:val="right"/>
            </w:pPr>
            <w:r>
              <w:t xml:space="preserve">-0.100</w:t>
            </w:r>
          </w:p>
        </w:tc>
        <w:tc>
          <w:tcPr/>
          <w:p>
            <w:pPr>
              <w:pStyle w:val="Compact"/>
              <w:jc w:val="right"/>
            </w:pPr>
            <w:r>
              <w:t xml:space="preserve">-0.050</w:t>
            </w:r>
          </w:p>
        </w:tc>
        <w:tc>
          <w:tcPr/>
          <w:p>
            <w:pPr>
              <w:pStyle w:val="Compact"/>
            </w:pPr>
            <w:r>
              <w:t xml:space="preserve">m/day</w:t>
            </w:r>
          </w:p>
        </w:tc>
      </w:tr>
      <w:tr>
        <w:tc>
          <w:tcPr/>
          <w:p>
            <w:pPr>
              <w:pStyle w:val="Compact"/>
            </w:pPr>
            <w:r>
              <w:t xml:space="preserve">Prior range</w:t>
            </w:r>
          </w:p>
        </w:tc>
        <w:tc>
          <w:tcPr/>
          <w:p>
            <w:pPr>
              <w:pStyle w:val="Compact"/>
              <w:jc w:val="right"/>
            </w:pPr>
            <w:r>
              <w:t xml:space="preserve">[-1.500, -0.200]</w:t>
            </w:r>
          </w:p>
        </w:tc>
        <w:tc>
          <w:tcPr/>
          <w:p>
            <w:pPr>
              <w:pStyle w:val="Compact"/>
              <w:jc w:val="right"/>
            </w:pPr>
            <w:r>
              <w:t xml:space="preserve">[-0.200, -0.040]</w:t>
            </w:r>
          </w:p>
        </w:tc>
        <w:tc>
          <w:tcPr/>
          <w:p>
            <w:pPr>
              <w:pStyle w:val="Compact"/>
              <w:jc w:val="right"/>
            </w:pPr>
            <w:r>
              <w:t xml:space="preserve">[-0.100, -0.005]</w:t>
            </w:r>
          </w:p>
        </w:tc>
        <w:tc>
          <w:tcPr/>
          <w:p>
            <w:pPr>
              <w:pStyle w:val="Compact"/>
            </w:pPr>
            <w:r>
              <w:t xml:space="preserve">m/day</w:t>
            </w:r>
          </w:p>
        </w:tc>
      </w:tr>
      <w:tr>
        <w:tc>
          <w:tcPr/>
          <w:p>
            <w:pPr>
              <w:pStyle w:val="Compact"/>
            </w:pPr>
            <w:r>
              <w:t xml:space="preserve">Prior SD</w:t>
            </w:r>
          </w:p>
        </w:tc>
        <w:tc>
          <w:tcPr/>
          <w:p>
            <w:pPr>
              <w:pStyle w:val="Compact"/>
              <w:jc w:val="right"/>
            </w:pPr>
            <w:r>
              <w:t xml:space="preserve">0.3753</w:t>
            </w:r>
          </w:p>
        </w:tc>
        <w:tc>
          <w:tcPr/>
          <w:p>
            <w:pPr>
              <w:pStyle w:val="Compact"/>
              <w:jc w:val="right"/>
            </w:pPr>
            <w:r>
              <w:t xml:space="preserve">0.0462</w:t>
            </w:r>
          </w:p>
        </w:tc>
        <w:tc>
          <w:tcPr/>
          <w:p>
            <w:pPr>
              <w:pStyle w:val="Compact"/>
              <w:jc w:val="right"/>
            </w:pPr>
            <w:r>
              <w:t xml:space="preserve">0.0274</w:t>
            </w:r>
          </w:p>
        </w:tc>
        <w:tc>
          <w:tcPr/>
          <w:p>
            <w:pPr>
              <w:pStyle w:val="Compact"/>
            </w:pPr>
            <w:r>
              <w:t xml:space="preserve">m/day</w:t>
            </w:r>
          </w:p>
        </w:tc>
      </w:tr>
      <w:tr>
        <w:tc>
          <w:tcPr/>
          <w:p>
            <w:pPr>
              <w:pStyle w:val="Compact"/>
            </w:pPr>
            <w:r>
              <w:t xml:space="preserve">Monitors</w:t>
            </w:r>
          </w:p>
        </w:tc>
        <w:tc>
          <w:tcPr/>
          <w:p>
            <w:pPr>
              <w:pStyle w:val="Compact"/>
              <w:jc w:val="right"/>
            </w:pPr>
            <w:r>
              <w:t xml:space="preserve">15, 145</w:t>
            </w:r>
          </w:p>
        </w:tc>
        <w:tc>
          <w:tcPr/>
          <w:p>
            <w:pPr>
              <w:pStyle w:val="Compact"/>
              <w:jc w:val="right"/>
            </w:pPr>
            <w:r>
              <w:t xml:space="preserve">209, 231</w:t>
            </w:r>
          </w:p>
        </w:tc>
        <w:tc>
          <w:tcPr/>
          <w:p>
            <w:pPr>
              <w:pStyle w:val="Compact"/>
              <w:jc w:val="right"/>
            </w:pPr>
            <w:r>
              <w:t xml:space="preserve">107, 113</w:t>
            </w:r>
          </w:p>
        </w:tc>
        <w:tc>
          <w:tcPr/>
          <w:p>
            <w:pPr>
              <w:pStyle w:val="Compact"/>
            </w:pPr>
            <w:r>
              <w:t xml:space="preserve">junction ID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Shared setting</w:t>
            </w:r>
          </w:p>
        </w:tc>
        <w:tc>
          <w:tcPr/>
          <w:p>
            <w:pPr>
              <w:pStyle w:val="Compact"/>
            </w:pPr>
            <w:r>
              <w:t xml:space="preserve">Value</w:t>
            </w:r>
          </w:p>
        </w:tc>
      </w:tr>
      <w:tr>
        <w:tc>
          <w:tcPr/>
          <w:p>
            <w:pPr>
              <w:pStyle w:val="Compact"/>
            </w:pPr>
            <w:r>
              <w:t xml:space="preserve">Bulk decay (first order, fixed)</w:t>
            </w:r>
          </w:p>
        </w:tc>
        <w:tc>
          <w:tcPr/>
          <w:p>
            <w:pPr>
              <w:pStyle w:val="Compact"/>
            </w:pPr>
            <w:r>
              <w:t xml:space="preserve">-0.5 1/day</w:t>
            </w:r>
          </w:p>
        </w:tc>
      </w:tr>
      <w:tr>
        <w:tc>
          <w:tcPr/>
          <w:p>
            <w:pPr>
              <w:pStyle w:val="Compact"/>
            </w:pPr>
            <w:r>
              <w:t xml:space="preserve">Source chlorine</w:t>
            </w:r>
          </w:p>
        </w:tc>
        <w:tc>
          <w:tcPr/>
          <w:p>
            <w:pPr>
              <w:pStyle w:val="Compact"/>
            </w:pPr>
            <w:r>
              <w:t xml:space="preserve">1.0 mg/L</w:t>
            </w:r>
          </w:p>
        </w:tc>
      </w:tr>
      <w:tr>
        <w:tc>
          <w:tcPr/>
          <w:p>
            <w:pPr>
              <w:pStyle w:val="Compact"/>
            </w:pPr>
            <w:r>
              <w:t xml:space="preserve">Tank initial chlorine</w:t>
            </w:r>
          </w:p>
        </w:tc>
        <w:tc>
          <w:tcPr/>
          <w:p>
            <w:pPr>
              <w:pStyle w:val="Compact"/>
            </w:pPr>
            <w:r>
              <w:t xml:space="preserve">0.5 mg/L</w:t>
            </w:r>
          </w:p>
        </w:tc>
      </w:tr>
      <w:tr>
        <w:tc>
          <w:tcPr/>
          <w:p>
            <w:pPr>
              <w:pStyle w:val="Compact"/>
            </w:pPr>
            <w:r>
              <w:t xml:space="preserve">Hydraulic and reporting timestep</w:t>
            </w:r>
          </w:p>
        </w:tc>
        <w:tc>
          <w:tcPr/>
          <w:p>
            <w:pPr>
              <w:pStyle w:val="Compact"/>
            </w:pPr>
            <w:r>
              <w:t xml:space="preserve">1 h</w:t>
            </w:r>
          </w:p>
        </w:tc>
      </w:tr>
      <w:tr>
        <w:tc>
          <w:tcPr/>
          <w:p>
            <w:pPr>
              <w:pStyle w:val="Compact"/>
            </w:pPr>
            <w:r>
              <w:t xml:space="preserve">Water-quality timestep</w:t>
            </w:r>
          </w:p>
        </w:tc>
        <w:tc>
          <w:tcPr/>
          <w:p>
            <w:pPr>
              <w:pStyle w:val="Compact"/>
            </w:pPr>
            <w:r>
              <w:t xml:space="preserve">5 min</w:t>
            </w:r>
          </w:p>
        </w:tc>
      </w:tr>
      <w:tr>
        <w:tc>
          <w:tcPr/>
          <w:p>
            <w:pPr>
              <w:pStyle w:val="Compact"/>
            </w:pPr>
            <w:r>
              <w:t xml:space="preserve">Total duration / warm-up / assessment window</w:t>
            </w:r>
          </w:p>
        </w:tc>
        <w:tc>
          <w:tcPr/>
          <w:p>
            <w:pPr>
              <w:pStyle w:val="Compact"/>
            </w:pPr>
            <w:r>
              <w:t xml:space="preserve">168 / 120 / 48 h</w:t>
            </w:r>
          </w:p>
        </w:tc>
      </w:tr>
      <w:tr>
        <w:tc>
          <w:tcPr/>
          <w:p>
            <w:pPr>
              <w:pStyle w:val="Compact"/>
            </w:pPr>
            <w:r>
              <w:t xml:space="preserve">Observation error SD</w:t>
            </w:r>
          </w:p>
        </w:tc>
        <w:tc>
          <w:tcPr/>
          <w:p>
            <w:pPr>
              <w:pStyle w:val="Compact"/>
            </w:pPr>
            <w:r>
              <w:t xml:space="preserve">0.10 mg/L</w:t>
            </w:r>
          </w:p>
        </w:tc>
      </w:tr>
      <w:tr>
        <w:tc>
          <w:tcPr/>
          <w:p>
            <w:pPr>
              <w:pStyle w:val="Compact"/>
            </w:pPr>
            <w:r>
              <w:t xml:space="preserve">Operational threshold</w:t>
            </w:r>
          </w:p>
        </w:tc>
        <w:tc>
          <w:tcPr/>
          <w:p>
            <w:pPr>
              <w:pStyle w:val="Compact"/>
            </w:pPr>
            <w:r>
              <w:t xml:space="preserve">0.20 mg/L</w:t>
            </w:r>
          </w:p>
        </w:tc>
      </w:tr>
      <w:tr>
        <w:tc>
          <w:tcPr/>
          <w:p>
            <w:pPr>
              <w:pStyle w:val="Compact"/>
            </w:pPr>
            <w:r>
              <w:t xml:space="preserve">Candidate library</w:t>
            </w:r>
          </w:p>
        </w:tc>
        <w:tc>
          <w:tcPr/>
          <w:p>
            <w:pPr>
              <w:pStyle w:val="Compact"/>
            </w:pPr>
            <w:r>
              <w:t xml:space="preserve">8192 scrambled Sobol draws</w:t>
            </w:r>
          </w:p>
        </w:tc>
      </w:tr>
      <w:tr>
        <w:tc>
          <w:tcPr/>
          <w:p>
            <w:pPr>
              <w:pStyle w:val="Compact"/>
            </w:pPr>
            <w:r>
              <w:t xml:space="preserve">Observations</w:t>
            </w:r>
          </w:p>
        </w:tc>
        <w:tc>
          <w:tcPr/>
          <w:p>
            <w:pPr>
              <w:pStyle w:val="Compact"/>
            </w:pPr>
            <w:r>
              <w:t xml:space="preserve">294 (6 monitors x 49 hourly values)</w:t>
            </w:r>
          </w:p>
        </w:tc>
      </w:tr>
    </w:tbl>
    <w:p>
      <w:pPr>
        <w:pStyle w:val="BodyText"/>
      </w:pPr>
      <w:r>
        <w:t xml:space="preserve">Table 1.</w:t>
      </w:r>
      <w:r>
        <w:t xml:space="preserve"> </w:t>
      </w:r>
      <w:r>
        <w:rPr>
          <w:b/>
          <w:bCs/>
        </w:rPr>
        <w:t xml:space="preserve">Baseline design and parameter ranges.</w:t>
      </w:r>
      <w:r>
        <w:t xml:space="preserve"> </w:t>
      </w:r>
      <w:r>
        <w:t xml:space="preserve">Constants are held fixed across all experiments except where a later section states otherwise. Prior standard deviations are those of the uniform priors.</w:t>
      </w:r>
    </w:p>
    <w:bookmarkEnd w:id="17"/>
    <w:bookmarkEnd w:id="18"/>
    <w:bookmarkStart w:id="23" w:name="X5931a57e0a4fa812c68a2d559b617dab4f3896e"/>
    <w:p>
      <w:pPr>
        <w:pStyle w:val="Heading2"/>
      </w:pPr>
      <w:r>
        <w:t xml:space="preserve">2.2 Forward simulation and synthetic observation generation</w:t>
      </w:r>
    </w:p>
    <w:bookmarkStart w:id="19" w:name="forward-chlorine-simulation"/>
    <w:p>
      <w:pPr>
        <w:pStyle w:val="Heading3"/>
      </w:pPr>
      <w:r>
        <w:t xml:space="preserve">2.2.1 Forward chlorine simulation</w:t>
      </w:r>
    </w:p>
    <w:p>
      <w:pPr>
        <w:pStyle w:val="FirstParagraph"/>
      </w:pPr>
      <w:r>
        <w:t xml:space="preserve">The baseline synthetic truth was generated by running the EPANET water-quality model with the</w:t>
      </w:r>
      <w:r>
        <w:t xml:space="preserve"> </w:t>
      </w:r>
      <w:r>
        <w:t xml:space="preserve">true zonal wall-decay coefficients, the fixed bulk-decay coefficient and the boundary</w:t>
      </w:r>
      <w:r>
        <w:t xml:space="preserve"> </w:t>
      </w:r>
      <w:r>
        <w:t xml:space="preserve">concentrations of Section 2.1, storing concentrations at all 92 junctions including the six</w:t>
      </w:r>
      <w:r>
        <w:t xml:space="preserve"> </w:t>
      </w:r>
      <w:r>
        <w:t xml:space="preserve">calibration monitors. This simulation defines the reference chlorine field from which the</w:t>
      </w:r>
      <w:r>
        <w:t xml:space="preserve"> </w:t>
      </w:r>
      <w:r>
        <w:t xml:space="preserve">baseline observations are generated and against which baseline parameter and prediction recovery</w:t>
      </w:r>
      <w:r>
        <w:t xml:space="preserve"> </w:t>
      </w:r>
      <w:r>
        <w:t xml:space="preserve">are evaluated; the robustness experiments of Sections 2.5 and 2.6 perturb either this field or</w:t>
      </w:r>
      <w:r>
        <w:t xml:space="preserve"> </w:t>
      </w:r>
      <w:r>
        <w:t xml:space="preserve">its observation model explicitly.</w:t>
      </w:r>
    </w:p>
    <w:bookmarkEnd w:id="19"/>
    <w:bookmarkStart w:id="20" w:name="warm-up-and-assessment-window-selection"/>
    <w:p>
      <w:pPr>
        <w:pStyle w:val="Heading3"/>
      </w:pPr>
      <w:r>
        <w:t xml:space="preserve">2.2.2 Warm-up and assessment-window selection</w:t>
      </w:r>
    </w:p>
    <w:p>
      <w:pPr>
        <w:pStyle w:val="FirstParagraph"/>
      </w:pPr>
      <w:r>
        <w:t xml:space="preserve">Because storage makes the chlorine field settle slowly, warm-up was assessed by an explicit</w:t>
      </w:r>
      <w:r>
        <w:t xml:space="preserve"> </w:t>
      </w:r>
      <w:r>
        <w:t xml:space="preserve">cyclostationarity test rather than chosen by convention. Demands and pump operation are 24 h</w:t>
      </w:r>
      <w:r>
        <w:t xml:space="preserve"> </w:t>
      </w:r>
      <w:r>
        <w:t xml:space="preserve">periodic, so each cycle was compared with its successor against six diagnostics whose tolerances</w:t>
      </w:r>
      <w:r>
        <w:t xml:space="preserve"> </w:t>
      </w:r>
      <w:r>
        <w:t xml:space="preserve">were declared in advance, evaluated at the synthetic truth and at both corners of the prior box.</w:t>
      </w:r>
    </w:p>
    <w:p>
      <w:pPr>
        <w:pStyle w:val="BodyText"/>
      </w:pPr>
      <w:r>
        <w:t xml:space="preserve">The rule required every diagnostic to pass, and no cycle pair satisfied it within the 168 h model</w:t>
      </w:r>
      <w:r>
        <w:t xml:space="preserve"> </w:t>
      </w:r>
      <w:r>
        <w:t xml:space="preserve">horizon. Because the inverse analyses depend directly on the chlorine field, 120 h was adopted</w:t>
      </w:r>
      <w:r>
        <w:t xml:space="preserve"> </w:t>
      </w:r>
      <w:r>
        <w:t xml:space="preserve">instead, the earliest warm-up at which all three chlorine-concentration diagnostics passed. The</w:t>
      </w:r>
      <w:r>
        <w:t xml:space="preserve"> </w:t>
      </w:r>
      <w:r>
        <w:t xml:space="preserve">assessment window is therefore 120–168 h, with 49 hourly reporting points per monitor.</w:t>
      </w:r>
      <w:r>
        <w:t xml:space="preserve"> </w:t>
      </w:r>
      <w:r>
        <w:t xml:space="preserve">Definitions, tolerances and per-cycle values are in Appendix A, and Section 3.1.2 reports what</w:t>
      </w:r>
      <w:r>
        <w:t xml:space="preserve"> </w:t>
      </w:r>
      <w:r>
        <w:t xml:space="preserve">the unmet diagnostics bound.</w:t>
      </w:r>
    </w:p>
    <w:bookmarkEnd w:id="20"/>
    <w:bookmarkStart w:id="21" w:name="synthetic-measurement-error-model"/>
    <w:p>
      <w:pPr>
        <w:pStyle w:val="Heading3"/>
      </w:pPr>
      <w:r>
        <w:t xml:space="preserve">2.2.3 Synthetic measurement-error model</w:t>
      </w:r>
    </w:p>
    <w:p>
      <w:pPr>
        <w:pStyle w:val="FirstParagraph"/>
      </w:pPr>
      <w:r>
        <w:t xml:space="preserve">Synthetic observations were generated as</w:t>
      </w:r>
    </w:p>
    <w:p>
      <w:pPr>
        <w:pStyle w:val="BodyText"/>
      </w:pPr>
      <m:oMathPara>
        <m:oMathParaPr>
          <m:jc m:val="center"/>
        </m:oMathParaPr>
        <m:oMath>
          <m:sSub>
            <m:e>
              <m:r>
                <m:t>C</m:t>
              </m:r>
            </m:e>
            <m:sub>
              <m:r>
                <m:rPr>
                  <m:sty m:val="p"/>
                </m:rPr>
                <m:t>o</m:t>
              </m:r>
              <m:r>
                <m:rPr>
                  <m:sty m:val="p"/>
                </m:rPr>
                <m:t>b</m:t>
              </m:r>
              <m:r>
                <m:rPr>
                  <m:sty m:val="p"/>
                </m:rPr>
                <m:t>s</m:t>
              </m:r>
            </m:sub>
          </m:sSub>
          <m:r>
            <m:rPr>
              <m:sty m:val="p"/>
            </m:rPr>
            <m:t>=</m:t>
          </m:r>
          <m:r>
            <m:rPr>
              <m:sty m:val="p"/>
            </m:rPr>
            <m:t>max</m:t>
          </m:r>
          <m:d>
            <m:dPr>
              <m:begChr m:val="["/>
              <m:sepChr m:val=""/>
              <m:endChr m:val="]"/>
              <m:grow/>
            </m:dPr>
            <m:e>
              <m:r>
                <m:t>0</m:t>
              </m:r>
              <m:r>
                <m:rPr>
                  <m:sty m:val="p"/>
                </m:rPr>
                <m:t>,</m:t>
              </m:r>
              <m:sSub>
                <m:e>
                  <m:r>
                    <m:t>C</m:t>
                  </m:r>
                </m:e>
                <m:sub>
                  <m:r>
                    <m:rPr>
                      <m:sty m:val="p"/>
                    </m:rPr>
                    <m:t>t</m:t>
                  </m:r>
                  <m:r>
                    <m:rPr>
                      <m:sty m:val="p"/>
                    </m:rPr>
                    <m:t>r</m:t>
                  </m:r>
                  <m:r>
                    <m:rPr>
                      <m:sty m:val="p"/>
                    </m:rPr>
                    <m:t>u</m:t>
                  </m:r>
                  <m:r>
                    <m:rPr>
                      <m:sty m:val="p"/>
                    </m:rPr>
                    <m:t>e</m:t>
                  </m:r>
                </m:sub>
              </m:sSub>
              <m:r>
                <m:rPr>
                  <m:sty m:val="p"/>
                </m:rPr>
                <m:t>+</m:t>
              </m:r>
              <m:r>
                <m:t>ϵ</m:t>
              </m:r>
            </m:e>
          </m:d>
          <m:r>
            <m:rPr>
              <m:sty m:val="p"/>
            </m:rPr>
            <m:t>,</m:t>
          </m:r>
          <m:r>
            <m:t>ϵ</m:t>
          </m:r>
          <m:r>
            <m:rPr>
              <m:sty m:val="p"/>
            </m:rPr>
            <m:t>∼</m:t>
          </m:r>
          <m:r>
            <m:t>N</m:t>
          </m:r>
          <m:r>
            <m:rPr>
              <m:sty m:val="p"/>
            </m:rPr>
            <m:t>(</m:t>
          </m:r>
          <m:r>
            <m:t>0</m:t>
          </m:r>
          <m:r>
            <m:rPr>
              <m:sty m:val="p"/>
            </m:rPr>
            <m:t>,</m:t>
          </m:r>
          <m:sSup>
            <m:e>
              <m:r>
                <m:t>σ</m:t>
              </m:r>
            </m:e>
            <m:sup>
              <m:r>
                <m:t>2</m:t>
              </m:r>
            </m:sup>
          </m:sSup>
          <m:r>
            <m:rPr>
              <m:sty m:val="p"/>
            </m:rPr>
            <m:t>)</m:t>
          </m:r>
          <m:r>
            <m:rPr>
              <m:sty m:val="p"/>
            </m:rPr>
            <m:t>,</m:t>
          </m:r>
        </m:oMath>
      </m:oMathPara>
    </w:p>
    <w:p>
      <w:pPr>
        <w:pStyle w:val="FirstParagraph"/>
      </w:pPr>
      <w:r>
        <w:t xml:space="preserve">with a baseline</w:t>
      </w:r>
      <w:r>
        <w:t xml:space="preserve"> </w:t>
      </w:r>
      <m:oMath>
        <m:r>
          <m:t>σ</m:t>
        </m:r>
        <m:r>
          <m:rPr>
            <m:sty m:val="p"/>
          </m:rPr>
          <m:t>=</m:t>
        </m:r>
        <m:r>
          <m:t>0.1</m:t>
        </m:r>
      </m:oMath>
      <w:r>
        <w:t xml:space="preserve"> </w:t>
      </w:r>
      <w:r>
        <w:t xml:space="preserve">mg L</w:t>
      </w:r>
      <w:r>
        <w:rPr>
          <w:vertAlign w:val="superscript"/>
        </w:rPr>
        <w:t xml:space="preserve">-1</w:t>
      </w:r>
      <w:r>
        <w:t xml:space="preserve">. Throughout this study</w:t>
      </w:r>
      <w:r>
        <w:t xml:space="preserve"> </w:t>
      </w:r>
      <m:oMath>
        <m:r>
          <m:t>σ</m:t>
        </m:r>
      </m:oMath>
      <w:r>
        <w:t xml:space="preserve"> </w:t>
      </w:r>
      <w:r>
        <w:t xml:space="preserve">denotes one standard</w:t>
      </w:r>
      <w:r>
        <w:t xml:space="preserve"> </w:t>
      </w:r>
      <w:r>
        <w:t xml:space="preserve">deviation of the assumed random measurement error, not a 95% interval or a hard error bound. The</w:t>
      </w:r>
      <w:r>
        <w:t xml:space="preserve"> </w:t>
      </w:r>
      <w:r>
        <w:t xml:space="preserve">non-negativity floor means a latent reading below zero is recorded as zero; such observations</w:t>
      </w:r>
      <w:r>
        <w:t xml:space="preserve"> </w:t>
      </w:r>
      <w:r>
        <w:t xml:space="preserve">are treated as left-censored in the primary likelihood rather than as exact zero measurements.</w:t>
      </w:r>
    </w:p>
    <w:p>
      <w:pPr>
        <w:pStyle w:val="BodyText"/>
      </w:pPr>
      <w:r>
        <w:t xml:space="preserve">The reference observation set uses a fixed random seed. Repeated-noise experiments use</w:t>
      </w:r>
      <w:r>
        <w:t xml:space="preserve"> </w:t>
      </w:r>
      <w:r>
        <w:t xml:space="preserve">separately generated realisations, whereas paired perturbation studies reuse identical noise</w:t>
      </w:r>
      <w:r>
        <w:t xml:space="preserve"> </w:t>
      </w:r>
      <w:r>
        <w:t xml:space="preserve">seeds across comparison arms, so that a reported shift isolates the imposed perturbation rather</w:t>
      </w:r>
      <w:r>
        <w:t xml:space="preserve"> </w:t>
      </w:r>
      <w:r>
        <w:t xml:space="preserve">than a change in the random draw.</w:t>
      </w:r>
    </w:p>
    <w:bookmarkEnd w:id="21"/>
    <w:bookmarkStart w:id="22" w:name="numerical-and-unit-verification"/>
    <w:p>
      <w:pPr>
        <w:pStyle w:val="Heading3"/>
      </w:pPr>
      <w:r>
        <w:t xml:space="preserve">2.2.4 Numerical and unit verification</w:t>
      </w:r>
    </w:p>
    <w:p>
      <w:pPr>
        <w:pStyle w:val="FirstParagraph"/>
      </w:pPr>
      <w:r>
        <w:t xml:space="preserve">All concentrations are reported in mg L</w:t>
      </w:r>
      <w:r>
        <w:rPr>
          <w:vertAlign w:val="superscript"/>
        </w:rPr>
        <w:t xml:space="preserve">-1</w:t>
      </w:r>
      <w:r>
        <w:t xml:space="preserve">, converted to WNTR’s internal kg m</w:t>
      </w:r>
      <w:r>
        <w:rPr>
          <w:vertAlign w:val="superscript"/>
        </w:rPr>
        <w:t xml:space="preserve">-3</w:t>
      </w:r>
      <w:r>
        <w:t xml:space="preserve"> </w:t>
      </w:r>
      <w:r>
        <w:t xml:space="preserve">representation</w:t>
      </w:r>
      <w:r>
        <w:t xml:space="preserve"> </w:t>
      </w:r>
      <w:r>
        <w:t xml:space="preserve">on model input and back on output</w:t>
      </w:r>
      <w:r>
        <w:t xml:space="preserve"> </w:t>
      </w:r>
      <w:r>
        <w:t xml:space="preserve">(Klise</w:t>
      </w:r>
      <w:r>
        <w:t xml:space="preserve"> </w:t>
      </w:r>
      <w:r>
        <w:rPr>
          <w:i/>
          <w:iCs/>
        </w:rPr>
        <w:t xml:space="preserve">et al.</w:t>
      </w:r>
      <w:r>
        <w:t xml:space="preserve">, 2017; WNTR Development Team, 2026)</w:t>
      </w:r>
      <w:r>
        <w:t xml:space="preserve">.</w:t>
      </w:r>
      <w:r>
        <w:t xml:space="preserve"> </w:t>
      </w:r>
      <w:r>
        <w:t xml:space="preserve">The EPANET absolute quality tolerance was set to</w:t>
      </w:r>
      <w:r>
        <w:t xml:space="preserve"> </w:t>
      </w:r>
      <m:oMath>
        <m:r>
          <m:t>1</m:t>
        </m:r>
        <m:r>
          <m:rPr>
            <m:sty m:val="p"/>
          </m:rPr>
          <m:t>×</m:t>
        </m:r>
        <m:sSup>
          <m:e>
            <m:r>
              <m:t>10</m:t>
            </m:r>
          </m:e>
          <m:sup>
            <m:r>
              <m:rPr>
                <m:sty m:val="p"/>
              </m:rPr>
              <m:t>−</m:t>
            </m:r>
            <m:r>
              <m:t>5</m:t>
            </m:r>
          </m:sup>
        </m:sSup>
      </m:oMath>
      <w:r>
        <w:t xml:space="preserve"> </w:t>
      </w:r>
      <w:r>
        <w:t xml:space="preserve">mg L</w:t>
      </w:r>
      <w:r>
        <w:rPr>
          <w:vertAlign w:val="superscript"/>
        </w:rPr>
        <w:t xml:space="preserve">-1</w:t>
      </w:r>
      <w:r>
        <w:t xml:space="preserve">. It is a chosen setting, a thousand times stricter than the EPANET default of 0.01 mg L</w:t>
      </w:r>
      <w:r>
        <w:rPr>
          <w:vertAlign w:val="superscript"/>
        </w:rPr>
        <w:t xml:space="preserve">-1</w:t>
      </w:r>
      <w:r>
        <w:t xml:space="preserve"> </w:t>
      </w:r>
      <w:r>
        <w:t xml:space="preserve">(Rossman</w:t>
      </w:r>
      <w:r>
        <w:t xml:space="preserve"> </w:t>
      </w:r>
      <w:r>
        <w:rPr>
          <w:i/>
          <w:iCs/>
        </w:rPr>
        <w:t xml:space="preserve">et al.</w:t>
      </w:r>
      <w:r>
        <w:t xml:space="preserve">, 2020)</w:t>
      </w:r>
      <w:r>
        <w:t xml:space="preserve">, holding the tolerance-to-source ratio fixed so that the corrected and superseded</w:t>
      </w:r>
      <w:r>
        <w:t xml:space="preserve"> </w:t>
      </w:r>
      <w:r>
        <w:t xml:space="preserve">implementations are one numerical experiment.</w:t>
      </w:r>
    </w:p>
    <w:p>
      <w:pPr>
        <w:pStyle w:val="BodyText"/>
      </w:pPr>
      <w:r>
        <w:t xml:space="preserve">Three checks support the implementation. A single-pipe bulk-only configuration was compared with</w:t>
      </w:r>
      <w:r>
        <w:t xml:space="preserve"> </w:t>
      </w:r>
      <w:r>
        <w:t xml:space="preserve">the analytic first-order solution</w:t>
      </w:r>
      <w:r>
        <w:t xml:space="preserve"> </w:t>
      </w:r>
      <m:oMath>
        <m:r>
          <m:t>C</m:t>
        </m:r>
        <m:r>
          <m:rPr>
            <m:sty m:val="p"/>
          </m:rPr>
          <m:t>=</m:t>
        </m:r>
        <m:sSub>
          <m:e>
            <m:r>
              <m:t>C</m:t>
            </m:r>
          </m:e>
          <m:sub>
            <m:r>
              <m:t>0</m:t>
            </m:r>
          </m:sub>
        </m:sSub>
        <m:r>
          <m:rPr>
            <m:sty m:val="p"/>
          </m:rPr>
          <m:t>exp</m:t>
        </m:r>
        <m:r>
          <m:rPr>
            <m:sty m:val="p"/>
          </m:rPr>
          <m:t>(</m:t>
        </m:r>
        <m:sSub>
          <m:e>
            <m:r>
              <m:t>k</m:t>
            </m:r>
          </m:e>
          <m:sub>
            <m:r>
              <m:t>b</m:t>
            </m:r>
          </m:sub>
        </m:sSub>
        <m:sSub>
          <m:e>
            <m:r>
              <m:t>t</m:t>
            </m:r>
          </m:e>
          <m:sub>
            <m:r>
              <m:rPr>
                <m:sty m:val="p"/>
              </m:rPr>
              <m:t>r</m:t>
            </m:r>
            <m:r>
              <m:rPr>
                <m:sty m:val="p"/>
              </m:rPr>
              <m:t>e</m:t>
            </m:r>
            <m:r>
              <m:rPr>
                <m:sty m:val="p"/>
              </m:rPr>
              <m:t>s</m:t>
            </m:r>
          </m:sub>
        </m:sSub>
        <m:r>
          <m:rPr>
            <m:sty m:val="p"/>
          </m:rPr>
          <m:t>)</m:t>
        </m:r>
      </m:oMath>
      <w:r>
        <w:t xml:space="preserve">. Wall-reaction behaviour was checked for the expected sign, for monotonic response, and against</w:t>
      </w:r>
      <w:r>
        <w:t xml:space="preserve"> </w:t>
      </w:r>
      <w:r>
        <w:t xml:space="preserve">the limiting case without mass transfer. A unit-equivalence test confirmed that the</w:t>
      </w:r>
      <w:r>
        <w:t xml:space="preserve"> </w:t>
      </w:r>
      <w:r>
        <w:t xml:space="preserve">corrected implementation reproduces the previously generated field to within a maximum relative</w:t>
      </w:r>
      <w:r>
        <w:t xml:space="preserve"> </w:t>
      </w:r>
      <w:r>
        <w:t xml:space="preserve">difference of</w:t>
      </w:r>
      <w:r>
        <w:t xml:space="preserve"> </w:t>
      </w:r>
      <m:oMath>
        <m:r>
          <m:t>2.3</m:t>
        </m:r>
        <m:r>
          <m:rPr>
            <m:sty m:val="p"/>
          </m:rPr>
          <m:t>×</m:t>
        </m:r>
        <m:sSup>
          <m:e>
            <m:r>
              <m:t>10</m:t>
            </m:r>
          </m:e>
          <m:sup>
            <m:r>
              <m:rPr>
                <m:sty m:val="p"/>
              </m:rPr>
              <m:t>−</m:t>
            </m:r>
            <m:r>
              <m:t>7</m:t>
            </m:r>
          </m:sup>
        </m:sSup>
      </m:oMath>
      <w:r>
        <w:t xml:space="preserve">, with no change in any of the below-threshold duration</w:t>
      </w:r>
      <w:r>
        <w:t xml:space="preserve"> </w:t>
      </w:r>
      <w:r>
        <w:t xml:space="preserve">classifications tested. Agreement at this level is expected rather than fortuitous. First-order</w:t>
      </w:r>
      <w:r>
        <w:t xml:space="preserve"> </w:t>
      </w:r>
      <w:r>
        <w:t xml:space="preserve">kinetics are invariant to the concentration scale, and every absolute quantity was rescaled</w:t>
      </w:r>
      <w:r>
        <w:t xml:space="preserve"> </w:t>
      </w:r>
      <w:r>
        <w:t xml:space="preserve">together, including the source and tank concentrations, the observation standard deviation, the</w:t>
      </w:r>
      <w:r>
        <w:t xml:space="preserve"> </w:t>
      </w:r>
      <w:r>
        <w:t xml:space="preserve">0.2 mg L</w:t>
      </w:r>
      <w:r>
        <w:rPr>
          <w:vertAlign w:val="superscript"/>
        </w:rPr>
        <w:t xml:space="preserve">-1</w:t>
      </w:r>
      <w:r>
        <w:t xml:space="preserve"> </w:t>
      </w:r>
      <w:r>
        <w:t xml:space="preserve">threshold and the tolerance-to-source ratio, so the two implementations are the same</w:t>
      </w:r>
      <w:r>
        <w:t xml:space="preserve"> </w:t>
      </w:r>
      <w:r>
        <w:t xml:space="preserve">numerical experiment. Any residual beyond solver tolerance would therefore have indicated a</w:t>
      </w:r>
      <w:r>
        <w:t xml:space="preserve"> </w:t>
      </w:r>
      <w:r>
        <w:t xml:space="preserve">second, independent error. The Net3 input file is frozen and hash-checked, and the computational environment is pinned to exact library versions, which matters here because the study documents version-specific WNTR behaviour. The analysis code, the cached artifacts and these checks are archived in the project repository at the release cited in Appendix I. Full results are given in Appendix B.</w:t>
      </w:r>
    </w:p>
    <w:bookmarkEnd w:id="22"/>
    <w:bookmarkEnd w:id="23"/>
    <w:bookmarkStart w:id="28" w:name="X8fff0967549037f4a7243dde66bbb1581386ec5"/>
    <w:p>
      <w:pPr>
        <w:pStyle w:val="Heading2"/>
      </w:pPr>
      <w:r>
        <w:t xml:space="preserve">2.3 Parameter sampling and inference formulations</w:t>
      </w:r>
    </w:p>
    <w:bookmarkStart w:id="24" w:name="priors-and-sobol-candidate-library"/>
    <w:p>
      <w:pPr>
        <w:pStyle w:val="Heading3"/>
      </w:pPr>
      <w:r>
        <w:t xml:space="preserve">2.3.1 Priors and Sobol candidate library</w:t>
      </w:r>
    </w:p>
    <w:p>
      <w:pPr>
        <w:pStyle w:val="FirstParagraph"/>
      </w:pPr>
      <w:r>
        <w:t xml:space="preserve">The three-dimensional baseline prior box was sampled with</w:t>
      </w:r>
      <w:r>
        <w:t xml:space="preserve"> </w:t>
      </w:r>
      <m:oMath>
        <m:r>
          <m:t>8192</m:t>
        </m:r>
        <m:r>
          <m:rPr>
            <m:sty m:val="p"/>
          </m:rPr>
          <m:t>=</m:t>
        </m:r>
        <m:sSup>
          <m:e>
            <m:r>
              <m:t>2</m:t>
            </m:r>
          </m:e>
          <m:sup>
            <m:r>
              <m:t>13</m:t>
            </m:r>
          </m:sup>
        </m:sSup>
      </m:oMath>
      <w:r>
        <w:t xml:space="preserve"> </w:t>
      </w:r>
      <w:r>
        <w:t xml:space="preserve">scrambled Sobol draws</w:t>
      </w:r>
      <w:r>
        <w:t xml:space="preserve"> </w:t>
      </w:r>
      <w:r>
        <w:t xml:space="preserve">(Sobol’, 1967; Owen, 1998)</w:t>
      </w:r>
      <w:r>
        <w:t xml:space="preserve">.</w:t>
      </w:r>
      <w:r>
        <w:t xml:space="preserve"> </w:t>
      </w:r>
      <w:r>
        <w:t xml:space="preserve">Each baseline candidate was simulated once and its predictions at all 92 junctions cached.</w:t>
      </w:r>
      <w:r>
        <w:t xml:space="preserve"> </w:t>
      </w:r>
      <w:r>
        <w:t xml:space="preserve">Experiments that changed only the observation realisation or the weighting rule reused this</w:t>
      </w:r>
      <w:r>
        <w:t xml:space="preserve"> </w:t>
      </w:r>
      <w:r>
        <w:t xml:space="preserve">common library. The censored Gaussian, iid Gaussian and informal GLUE formulations were evaluated</w:t>
      </w:r>
      <w:r>
        <w:t xml:space="preserve"> </w:t>
      </w:r>
      <w:r>
        <w:t xml:space="preserve">on identical prior draws and identical model predictions, so any difference between those</w:t>
      </w:r>
      <w:r>
        <w:t xml:space="preserve"> </w:t>
      </w:r>
      <w:r>
        <w:t xml:space="preserve">baseline results is attributable to the weighting formulation rather than to sampling or to</w:t>
      </w:r>
      <w:r>
        <w:t xml:space="preserve"> </w:t>
      </w:r>
      <w:r>
        <w:t xml:space="preserve">different forward simulations. Experiments that altered the prior domain or a forward-model parameter generated their own prediction libraries under the same sampling principles. These were the displaced-prior tests of Section 2.4.2, the bulk-decay cases of Section 2.5.5 and the scenarios of Section 2.8.4.</w:t>
      </w:r>
    </w:p>
    <w:p>
      <w:pPr>
        <w:pStyle w:val="BodyText"/>
      </w:pPr>
      <w:r>
        <w:t xml:space="preserve">Sampling convergence of the baseline weighted ensemble was assessed on the nested leading Sobol</w:t>
      </w:r>
      <w:r>
        <w:t xml:space="preserve"> </w:t>
      </w:r>
      <w:r>
        <w:t xml:space="preserve">subsets of 1024, 2048, 4096 and 8192 candidates, comparing posterior medians, quantiles and</w:t>
      </w:r>
      <w:r>
        <w:t xml:space="preserve"> </w:t>
      </w:r>
      <w:r>
        <w:t xml:space="preserve">effective sample size. The effective sample size,</w:t>
      </w:r>
      <w:r>
        <w:t xml:space="preserve"> </w:t>
      </w:r>
      <m:oMath>
        <m:r>
          <m:rPr>
            <m:sty m:val="p"/>
          </m:rPr>
          <m:t>E</m:t>
        </m:r>
        <m:r>
          <m:rPr>
            <m:sty m:val="p"/>
          </m:rPr>
          <m:t>S</m:t>
        </m:r>
        <m:r>
          <m:rPr>
            <m:sty m:val="p"/>
          </m:rPr>
          <m:t>S</m:t>
        </m:r>
        <m:r>
          <m:rPr>
            <m:sty m:val="p"/>
          </m:rPr>
          <m:t>=</m:t>
        </m:r>
        <m:r>
          <m:t>1</m:t>
        </m:r>
        <m:r>
          <m:rPr>
            <m:sty m:val="p"/>
          </m:rPr>
          <m:t>/</m:t>
        </m:r>
        <m:nary>
          <m:naryPr>
            <m:chr m:val="∑"/>
            <m:limLoc m:val="undOvr"/>
            <m:subHide m:val="off"/>
            <m:supHide m:val="on"/>
          </m:naryPr>
          <m:sub>
            <m:r>
              <m:t>i</m:t>
            </m:r>
          </m:sub>
          <m:sup>
            <m:r>
              <m:t/>
            </m:r>
          </m:sup>
          <m:e>
            <m:sSubSup>
              <m:e>
                <m:r>
                  <m:t>w</m:t>
                </m:r>
              </m:e>
              <m:sub>
                <m:r>
                  <m:t>i</m:t>
                </m:r>
              </m:sub>
              <m:sup>
                <m:r>
                  <m:t>2</m:t>
                </m:r>
              </m:sup>
            </m:sSubSup>
          </m:e>
        </m:nary>
      </m:oMath>
      <w:r>
        <w:t xml:space="preserve">, is reported</w:t>
      </w:r>
      <w:r>
        <w:t xml:space="preserve"> </w:t>
      </w:r>
      <w:r>
        <w:t xml:space="preserve">throughout as a diagnostic of how far the discrete weights concentrate.</w:t>
      </w:r>
    </w:p>
    <w:bookmarkEnd w:id="24"/>
    <w:bookmarkStart w:id="25" w:name="censored-gaussian-likelihood"/>
    <w:p>
      <w:pPr>
        <w:pStyle w:val="Heading3"/>
      </w:pPr>
      <w:r>
        <w:t xml:space="preserve">2.3.2 Censored Gaussian likelihood</w:t>
      </w:r>
    </w:p>
    <w:p>
      <w:pPr>
        <w:pStyle w:val="FirstParagraph"/>
      </w:pPr>
      <w:r>
        <w:t xml:space="preserve">The primary inference rule was a censored Gaussian likelihood. Up to additive constants</w:t>
      </w:r>
      <w:r>
        <w:t xml:space="preserve"> </w:t>
      </w:r>
      <w:r>
        <w:t xml:space="preserve">independent of the parameter vector</w:t>
      </w:r>
      <w:r>
        <w:t xml:space="preserve"> </w:t>
      </w:r>
      <m:oMath>
        <m:r>
          <m:t>θ</m:t>
        </m:r>
      </m:oMath>
      <w:r>
        <w:t xml:space="preserve">,</w:t>
      </w:r>
    </w:p>
    <w:p>
      <w:pPr>
        <w:pStyle w:val="BodyText"/>
      </w:pPr>
      <m:oMathPara>
        <m:oMathParaPr>
          <m:jc m:val="center"/>
        </m:oMathParaPr>
        <m:oMath>
          <m:r>
            <m:t>ℓ</m:t>
          </m:r>
          <m:r>
            <m:rPr>
              <m:sty m:val="p"/>
            </m:rPr>
            <m:t>(</m:t>
          </m:r>
          <m:r>
            <m:t>θ</m:t>
          </m:r>
          <m:r>
            <m:rPr>
              <m:sty m:val="p"/>
            </m:rPr>
            <m:t>)</m:t>
          </m:r>
          <m:r>
            <m:rPr>
              <m:sty m:val="p"/>
            </m:rPr>
            <m:t>=</m:t>
          </m:r>
          <m:r>
            <m:rPr>
              <m:sty m:val="p"/>
            </m:rPr>
            <m:t>−</m:t>
          </m:r>
          <m:f>
            <m:fPr>
              <m:type m:val="bar"/>
            </m:fPr>
            <m:num>
              <m:r>
                <m:t>1</m:t>
              </m:r>
            </m:num>
            <m:den>
              <m:r>
                <m:t>2</m:t>
              </m:r>
            </m:den>
          </m:f>
          <m:nary>
            <m:naryPr>
              <m:chr m:val="∑"/>
              <m:limLoc m:val="undOvr"/>
              <m:subHide m:val="off"/>
              <m:supHide m:val="on"/>
            </m:naryPr>
            <m:sub>
              <m:sSub>
                <m:e>
                  <m:r>
                    <m:t>y</m:t>
                  </m:r>
                </m:e>
                <m:sub>
                  <m:r>
                    <m:t>i</m:t>
                  </m:r>
                </m:sub>
              </m:sSub>
              <m:r>
                <m:rPr>
                  <m:sty m:val="p"/>
                </m:rPr>
                <m:t>&gt;</m:t>
              </m:r>
              <m:r>
                <m:t>0</m:t>
              </m:r>
            </m:sub>
            <m:sup>
              <m:r>
                <m:t/>
              </m:r>
            </m:sup>
            <m:e>
              <m:sSup>
                <m:e>
                  <m:d>
                    <m:dPr>
                      <m:begChr m:val="["/>
                      <m:sepChr m:val=""/>
                      <m:endChr m:val="]"/>
                      <m:grow/>
                    </m:dPr>
                    <m:e>
                      <m:f>
                        <m:fPr>
                          <m:type m:val="bar"/>
                        </m:fPr>
                        <m:num>
                          <m:sSub>
                            <m:e>
                              <m:r>
                                <m:t>y</m:t>
                              </m:r>
                            </m:e>
                            <m:sub>
                              <m:r>
                                <m:t>i</m:t>
                              </m:r>
                            </m:sub>
                          </m:sSub>
                          <m:r>
                            <m:rPr>
                              <m:sty m:val="p"/>
                            </m:rPr>
                            <m:t>−</m:t>
                          </m:r>
                          <m:sSub>
                            <m:e>
                              <m:r>
                                <m:t>μ</m:t>
                              </m:r>
                            </m:e>
                            <m:sub>
                              <m:r>
                                <m:t>i</m:t>
                              </m:r>
                            </m:sub>
                          </m:sSub>
                          <m:r>
                            <m:rPr>
                              <m:sty m:val="p"/>
                            </m:rPr>
                            <m:t>(</m:t>
                          </m:r>
                          <m:r>
                            <m:t>θ</m:t>
                          </m:r>
                          <m:r>
                            <m:rPr>
                              <m:sty m:val="p"/>
                            </m:rPr>
                            <m:t>)</m:t>
                          </m:r>
                        </m:num>
                        <m:den>
                          <m:r>
                            <m:t>σ</m:t>
                          </m:r>
                        </m:den>
                      </m:f>
                    </m:e>
                  </m:d>
                </m:e>
                <m:sup>
                  <m:r>
                    <m:t>2</m:t>
                  </m:r>
                </m:sup>
              </m:sSup>
            </m:e>
          </m:nary>
          <m:r>
            <m:rPr>
              <m:sty m:val="p"/>
            </m:rPr>
            <m:t>+</m:t>
          </m:r>
          <m:nary>
            <m:naryPr>
              <m:chr m:val="∑"/>
              <m:limLoc m:val="undOvr"/>
              <m:subHide m:val="off"/>
              <m:supHide m:val="on"/>
            </m:naryPr>
            <m:sub>
              <m:sSub>
                <m:e>
                  <m:r>
                    <m:t>y</m:t>
                  </m:r>
                </m:e>
                <m:sub>
                  <m:r>
                    <m:t>i</m:t>
                  </m:r>
                </m:sub>
              </m:sSub>
              <m:r>
                <m:rPr>
                  <m:sty m:val="p"/>
                </m:rPr>
                <m:t>=</m:t>
              </m:r>
              <m:r>
                <m:t>0</m:t>
              </m:r>
            </m:sub>
            <m:sup>
              <m:r>
                <m:t/>
              </m:r>
            </m:sup>
            <m:e>
              <m:r>
                <m:rPr>
                  <m:sty m:val="p"/>
                </m:rPr>
                <m:t>log</m:t>
              </m:r>
            </m:e>
          </m:nary>
          <m:r>
            <m:rPr>
              <m:sty m:val="p"/>
            </m:rPr>
            <m:t>Φ</m:t>
          </m:r>
          <m:d>
            <m:dPr>
              <m:begChr m:val="["/>
              <m:sepChr m:val=""/>
              <m:endChr m:val="]"/>
              <m:grow/>
            </m:dPr>
            <m:e>
              <m:r>
                <m:rPr>
                  <m:sty m:val="p"/>
                </m:rPr>
                <m:t>−</m:t>
              </m:r>
              <m:f>
                <m:fPr>
                  <m:type m:val="bar"/>
                </m:fPr>
                <m:num>
                  <m:sSub>
                    <m:e>
                      <m:r>
                        <m:t>μ</m:t>
                      </m:r>
                    </m:e>
                    <m:sub>
                      <m:r>
                        <m:t>i</m:t>
                      </m:r>
                    </m:sub>
                  </m:sSub>
                  <m:r>
                    <m:rPr>
                      <m:sty m:val="p"/>
                    </m:rPr>
                    <m:t>(</m:t>
                  </m:r>
                  <m:r>
                    <m:t>θ</m:t>
                  </m:r>
                  <m:r>
                    <m:rPr>
                      <m:sty m:val="p"/>
                    </m:rPr>
                    <m:t>)</m:t>
                  </m:r>
                </m:num>
                <m:den>
                  <m:r>
                    <m:t>σ</m:t>
                  </m:r>
                </m:den>
              </m:f>
            </m:e>
          </m:d>
          <m:r>
            <m:rPr>
              <m:sty m:val="p"/>
            </m:rPr>
            <m:t>,</m:t>
          </m:r>
        </m:oMath>
      </m:oMathPara>
    </w:p>
    <w:p>
      <w:pPr>
        <w:pStyle w:val="FirstParagraph"/>
      </w:pPr>
      <w:r>
        <w:t xml:space="preserve">where</w:t>
      </w:r>
      <w:r>
        <w:t xml:space="preserve"> </w:t>
      </w:r>
      <m:oMath>
        <m:sSub>
          <m:e>
            <m:r>
              <m:t>y</m:t>
            </m:r>
          </m:e>
          <m:sub>
            <m:r>
              <m:t>i</m:t>
            </m:r>
          </m:sub>
        </m:sSub>
      </m:oMath>
      <w:r>
        <w:t xml:space="preserve"> </w:t>
      </w:r>
      <w:r>
        <w:t xml:space="preserve">is an observed concentration,</w:t>
      </w:r>
      <w:r>
        <w:t xml:space="preserve"> </w:t>
      </w:r>
      <m:oMath>
        <m:sSub>
          <m:e>
            <m:r>
              <m:t>μ</m:t>
            </m:r>
          </m:e>
          <m:sub>
            <m:r>
              <m:t>i</m:t>
            </m:r>
          </m:sub>
        </m:sSub>
        <m:r>
          <m:rPr>
            <m:sty m:val="p"/>
          </m:rPr>
          <m:t>(</m:t>
        </m:r>
        <m:r>
          <m:t>θ</m:t>
        </m:r>
        <m:r>
          <m:rPr>
            <m:sty m:val="p"/>
          </m:rPr>
          <m:t>)</m:t>
        </m:r>
      </m:oMath>
      <w:r>
        <w:t xml:space="preserve"> </w:t>
      </w:r>
      <w:r>
        <w:t xml:space="preserve">the corresponding model prediction and</w:t>
      </w:r>
      <w:r>
        <w:t xml:space="preserve"> </w:t>
      </w:r>
      <m:oMath>
        <m:r>
          <m:rPr>
            <m:sty m:val="p"/>
          </m:rPr>
          <m:t>Φ</m:t>
        </m:r>
      </m:oMath>
      <w:r>
        <w:t xml:space="preserve"> </w:t>
      </w:r>
      <w:r>
        <w:t xml:space="preserve">the standard-normal cumulative distribution function. Positive observations contribute</w:t>
      </w:r>
      <w:r>
        <w:t xml:space="preserve"> </w:t>
      </w:r>
      <w:r>
        <w:t xml:space="preserve">Gaussian residual terms; observations recorded at the zero floor contribute the probability that</w:t>
      </w:r>
      <w:r>
        <w:t xml:space="preserve"> </w:t>
      </w:r>
      <w:r>
        <w:t xml:space="preserve">the latent reading lies at or below that floor.</w:t>
      </w:r>
    </w:p>
    <w:p>
      <w:pPr>
        <w:pStyle w:val="BodyText"/>
      </w:pPr>
      <w:r>
        <w:t xml:space="preserve">The rule uses the uniform priors of Section 2.1.3 and has no behavioural acceptance threshold.</w:t>
      </w:r>
      <w:r>
        <w:t xml:space="preserve"> </w:t>
      </w:r>
      <w:r>
        <w:t xml:space="preserve">Because candidates are drawn directly from those priors, their normalised likelihood weights are</w:t>
      </w:r>
      <w:r>
        <w:t xml:space="preserve"> </w:t>
      </w:r>
      <w:r>
        <w:t xml:space="preserve">a discrete Monte Carlo approximation to the posterior over the sampled space. Weights were</w:t>
      </w:r>
      <w:r>
        <w:t xml:space="preserve"> </w:t>
      </w:r>
      <w:r>
        <w:t xml:space="preserve">computed in numerically stable form as</w:t>
      </w:r>
    </w:p>
    <w:p>
      <w:pPr>
        <w:pStyle w:val="BodyText"/>
      </w:pPr>
      <m:oMathPara>
        <m:oMathParaPr>
          <m:jc m:val="center"/>
        </m:oMathParaPr>
        <m:oMath>
          <m:sSub>
            <m:e>
              <m:r>
                <m:t>w</m:t>
              </m:r>
            </m:e>
            <m:sub>
              <m:r>
                <m:t>i</m:t>
              </m:r>
            </m:sub>
          </m:sSub>
          <m:r>
            <m:rPr>
              <m:sty m:val="p"/>
            </m:rPr>
            <m:t>=</m:t>
          </m:r>
          <m:f>
            <m:fPr>
              <m:type m:val="bar"/>
            </m:fPr>
            <m:num>
              <m:r>
                <m:rPr>
                  <m:sty m:val="p"/>
                </m:rPr>
                <m:t>exp</m:t>
              </m:r>
              <m:d>
                <m:dPr>
                  <m:begChr m:val="["/>
                  <m:sepChr m:val=""/>
                  <m:endChr m:val="]"/>
                  <m:grow/>
                </m:dPr>
                <m:e>
                  <m:r>
                    <m:t>ℓ</m:t>
                  </m:r>
                  <m:r>
                    <m:rPr>
                      <m:sty m:val="p"/>
                    </m:rPr>
                    <m:t>(</m:t>
                  </m:r>
                  <m:sSub>
                    <m:e>
                      <m:r>
                        <m:t>θ</m:t>
                      </m:r>
                    </m:e>
                    <m:sub>
                      <m:r>
                        <m:t>i</m:t>
                      </m:r>
                    </m:sub>
                  </m:sSub>
                  <m:r>
                    <m:rPr>
                      <m:sty m:val="p"/>
                    </m:rPr>
                    <m:t>)</m:t>
                  </m:r>
                  <m:r>
                    <m:rPr>
                      <m:sty m:val="p"/>
                    </m:rPr>
                    <m:t>−</m:t>
                  </m:r>
                  <m:sSub>
                    <m:e>
                      <m:r>
                        <m:t>ℓ</m:t>
                      </m:r>
                    </m:e>
                    <m:sub>
                      <m:r>
                        <m:rPr>
                          <m:sty m:val="p"/>
                        </m:rPr>
                        <m:t>max</m:t>
                      </m:r>
                    </m:sub>
                  </m:sSub>
                </m:e>
              </m:d>
            </m:num>
            <m:den>
              <m:nary>
                <m:naryPr>
                  <m:chr m:val="∑"/>
                  <m:limLoc m:val="undOvr"/>
                  <m:subHide m:val="off"/>
                  <m:supHide m:val="on"/>
                </m:naryPr>
                <m:sub>
                  <m:r>
                    <m:t>j</m:t>
                  </m:r>
                </m:sub>
                <m:sup>
                  <m:r>
                    <m:t/>
                  </m:r>
                </m:sup>
                <m:e>
                  <m:r>
                    <m:rPr>
                      <m:sty m:val="p"/>
                    </m:rPr>
                    <m:t>exp</m:t>
                  </m:r>
                </m:e>
              </m:nary>
              <m:d>
                <m:dPr>
                  <m:begChr m:val="["/>
                  <m:sepChr m:val=""/>
                  <m:endChr m:val="]"/>
                  <m:grow/>
                </m:dPr>
                <m:e>
                  <m:r>
                    <m:t>ℓ</m:t>
                  </m:r>
                  <m:r>
                    <m:rPr>
                      <m:sty m:val="p"/>
                    </m:rPr>
                    <m:t>(</m:t>
                  </m:r>
                  <m:sSub>
                    <m:e>
                      <m:r>
                        <m:t>θ</m:t>
                      </m:r>
                    </m:e>
                    <m:sub>
                      <m:r>
                        <m:t>j</m:t>
                      </m:r>
                    </m:sub>
                  </m:sSub>
                  <m:r>
                    <m:rPr>
                      <m:sty m:val="p"/>
                    </m:rPr>
                    <m:t>)</m:t>
                  </m:r>
                  <m:r>
                    <m:rPr>
                      <m:sty m:val="p"/>
                    </m:rPr>
                    <m:t>−</m:t>
                  </m:r>
                  <m:sSub>
                    <m:e>
                      <m:r>
                        <m:t>ℓ</m:t>
                      </m:r>
                    </m:e>
                    <m:sub>
                      <m:r>
                        <m:rPr>
                          <m:sty m:val="p"/>
                        </m:rPr>
                        <m:t>max</m:t>
                      </m:r>
                    </m:sub>
                  </m:sSub>
                </m:e>
              </m:d>
            </m:den>
          </m:f>
          <m:r>
            <m:rPr>
              <m:sty m:val="p"/>
            </m:rPr>
            <m:t>,</m:t>
          </m:r>
        </m:oMath>
      </m:oMathPara>
    </w:p>
    <w:p>
      <w:pPr>
        <w:pStyle w:val="FirstParagraph"/>
      </w:pPr>
      <w:r>
        <w:t xml:space="preserve">from which weighted means, standard deviations, quantiles and effective sample sizes follow.</w:t>
      </w:r>
    </w:p>
    <w:bookmarkEnd w:id="25"/>
    <w:bookmarkStart w:id="26" w:name="formal-iid-gaussian-comparator"/>
    <w:p>
      <w:pPr>
        <w:pStyle w:val="Heading3"/>
      </w:pPr>
      <w:r>
        <w:t xml:space="preserve">2.3.3 Formal iid Gaussian comparator</w:t>
      </w:r>
    </w:p>
    <w:p>
      <w:pPr>
        <w:pStyle w:val="FirstParagraph"/>
      </w:pPr>
      <w:r>
        <w:t xml:space="preserve">A formal iid comparator used the same prior draws, the same observation-error standard deviation</w:t>
      </w:r>
      <w:r>
        <w:t xml:space="preserve"> </w:t>
      </w:r>
      <w:r>
        <w:t xml:space="preserve">and the same Gaussian residual model, but treated every recorded value as exact, including those</w:t>
      </w:r>
      <w:r>
        <w:t xml:space="preserve"> </w:t>
      </w:r>
      <w:r>
        <w:t xml:space="preserve">at the zero floor. It therefore differs from the primary rule only in its handling of censored</w:t>
      </w:r>
      <w:r>
        <w:t xml:space="preserve"> </w:t>
      </w:r>
      <w:r>
        <w:t xml:space="preserve">readings, and exists solely to quantify what that handling contributes; it is not a second</w:t>
      </w:r>
      <w:r>
        <w:t xml:space="preserve"> </w:t>
      </w:r>
      <w:r>
        <w:t xml:space="preserve">primary analysis.</w:t>
      </w:r>
    </w:p>
    <w:bookmarkEnd w:id="26"/>
    <w:bookmarkStart w:id="27" w:name="informal-glue-behavioural-comparator"/>
    <w:p>
      <w:pPr>
        <w:pStyle w:val="Heading3"/>
      </w:pPr>
      <w:r>
        <w:t xml:space="preserve">2.3.4 Informal GLUE behavioural comparator</w:t>
      </w:r>
    </w:p>
    <w:p>
      <w:pPr>
        <w:pStyle w:val="FirstParagraph"/>
      </w:pPr>
      <w:r>
        <w:t xml:space="preserve">The specific informal GLUE weighting</w:t>
      </w:r>
      <w:r>
        <w:t xml:space="preserve"> </w:t>
      </w:r>
      <w:r>
        <w:t xml:space="preserve">(Beven &amp; Binley, 1992)</w:t>
      </w:r>
      <w:r>
        <w:t xml:space="preserve"> </w:t>
      </w:r>
      <w:r>
        <w:t xml:space="preserve">used in the original analysis of this</w:t>
      </w:r>
      <w:r>
        <w:t xml:space="preserve"> </w:t>
      </w:r>
      <w:r>
        <w:t xml:space="preserve">system was retained as a comparator, so that its effect could be measured on the same observations and predictions</w:t>
      </w:r>
      <w:r>
        <w:t xml:space="preserve"> </w:t>
      </w:r>
      <w:r>
        <w:t xml:space="preserve">as the formal rules. Candidate</w:t>
      </w:r>
      <w:r>
        <w:t xml:space="preserve"> </w:t>
      </w:r>
      <m:oMath>
        <m:r>
          <m:t>i</m:t>
        </m:r>
      </m:oMath>
      <w:r>
        <w:t xml:space="preserve"> </w:t>
      </w:r>
      <w:r>
        <w:t xml:space="preserve">received weight</w:t>
      </w:r>
    </w:p>
    <w:p>
      <w:pPr>
        <w:pStyle w:val="BodyText"/>
      </w:pPr>
      <m:oMathPara>
        <m:oMathParaPr>
          <m:jc m:val="center"/>
        </m:oMathParaPr>
        <m:oMath>
          <m:sSubSup>
            <m:e>
              <m:r>
                <m:t>w</m:t>
              </m:r>
            </m:e>
            <m:sub>
              <m:r>
                <m:t>i</m:t>
              </m:r>
            </m:sub>
            <m:sup>
              <m:r>
                <m:rPr>
                  <m:sty m:val="p"/>
                </m:rPr>
                <m:t>G</m:t>
              </m:r>
              <m:r>
                <m:rPr>
                  <m:sty m:val="p"/>
                </m:rPr>
                <m:t>L</m:t>
              </m:r>
              <m:r>
                <m:rPr>
                  <m:sty m:val="p"/>
                </m:rPr>
                <m:t>U</m:t>
              </m:r>
              <m:r>
                <m:rPr>
                  <m:sty m:val="p"/>
                </m:rPr>
                <m:t>E</m:t>
              </m:r>
            </m:sup>
          </m:sSubSup>
          <m:r>
            <m:rPr>
              <m:sty m:val="p"/>
            </m:rPr>
            <m:t>∝</m:t>
          </m:r>
          <m:r>
            <m:rPr>
              <m:sty m:val="p"/>
            </m:rPr>
            <m:t>exp</m:t>
          </m:r>
          <m:d>
            <m:dPr>
              <m:begChr m:val="["/>
              <m:sepChr m:val=""/>
              <m:endChr m:val="]"/>
              <m:grow/>
            </m:dPr>
            <m:e>
              <m:r>
                <m:rPr>
                  <m:sty m:val="p"/>
                </m:rPr>
                <m:t>−</m:t>
              </m:r>
              <m:f>
                <m:fPr>
                  <m:type m:val="bar"/>
                </m:fPr>
                <m:num>
                  <m:r>
                    <m:t>1</m:t>
                  </m:r>
                </m:num>
                <m:den>
                  <m:r>
                    <m:t>2</m:t>
                  </m:r>
                </m:den>
              </m:f>
              <m:sSup>
                <m:e>
                  <m:d>
                    <m:dPr>
                      <m:begChr m:val="("/>
                      <m:sepChr m:val=""/>
                      <m:endChr m:val=")"/>
                      <m:grow/>
                    </m:dPr>
                    <m:e>
                      <m:f>
                        <m:fPr>
                          <m:type m:val="bar"/>
                        </m:fPr>
                        <m:num>
                          <m:sSub>
                            <m:e>
                              <m:r>
                                <m:rPr>
                                  <m:sty m:val="p"/>
                                </m:rPr>
                                <m:t>R</m:t>
                              </m:r>
                              <m:r>
                                <m:rPr>
                                  <m:sty m:val="p"/>
                                </m:rPr>
                                <m:t>M</m:t>
                              </m:r>
                              <m:r>
                                <m:rPr>
                                  <m:sty m:val="p"/>
                                </m:rPr>
                                <m:t>S</m:t>
                              </m:r>
                              <m:r>
                                <m:rPr>
                                  <m:sty m:val="p"/>
                                </m:rPr>
                                <m:t>E</m:t>
                              </m:r>
                            </m:e>
                            <m:sub>
                              <m:r>
                                <m:t>i</m:t>
                              </m:r>
                            </m:sub>
                          </m:sSub>
                        </m:num>
                        <m:den>
                          <m:r>
                            <m:t>σ</m:t>
                          </m:r>
                        </m:den>
                      </m:f>
                    </m:e>
                  </m:d>
                </m:e>
                <m:sup>
                  <m:r>
                    <m:t>2</m:t>
                  </m:r>
                </m:sup>
              </m:sSup>
            </m:e>
          </m:d>
          <m:r>
            <m:rPr>
              <m:sty m:val="b"/>
            </m:rPr>
            <m:t>1</m:t>
          </m:r>
          <m:d>
            <m:dPr>
              <m:begChr m:val="("/>
              <m:sepChr m:val=""/>
              <m:endChr m:val=")"/>
              <m:grow/>
            </m:dPr>
            <m:e>
              <m:sSub>
                <m:e>
                  <m:r>
                    <m:rPr>
                      <m:sty m:val="p"/>
                    </m:rPr>
                    <m:t>R</m:t>
                  </m:r>
                  <m:r>
                    <m:rPr>
                      <m:sty m:val="p"/>
                    </m:rPr>
                    <m:t>M</m:t>
                  </m:r>
                  <m:r>
                    <m:rPr>
                      <m:sty m:val="p"/>
                    </m:rPr>
                    <m:t>S</m:t>
                  </m:r>
                  <m:r>
                    <m:rPr>
                      <m:sty m:val="p"/>
                    </m:rPr>
                    <m:t>E</m:t>
                  </m:r>
                </m:e>
                <m:sub>
                  <m:r>
                    <m:t>i</m:t>
                  </m:r>
                </m:sub>
              </m:sSub>
              <m:r>
                <m:rPr>
                  <m:sty m:val="p"/>
                </m:rPr>
                <m:t>&lt;</m:t>
              </m:r>
              <m:r>
                <m:t>T</m:t>
              </m:r>
            </m:e>
          </m:d>
          <m:r>
            <m:rPr>
              <m:sty m:val="p"/>
            </m:rPr>
            <m:t>,</m:t>
          </m:r>
        </m:oMath>
      </m:oMathPara>
    </w:p>
    <w:p>
      <w:pPr>
        <w:pStyle w:val="FirstParagraph"/>
      </w:pPr>
      <w:r>
        <w:t xml:space="preserve">with</w:t>
      </w:r>
      <w:r>
        <w:t xml:space="preserve"> </w:t>
      </w:r>
      <m:oMath>
        <m:r>
          <m:t>T</m:t>
        </m:r>
      </m:oMath>
      <w:r>
        <w:t xml:space="preserve"> </w:t>
      </w:r>
      <w:r>
        <w:t xml:space="preserve">a behavioural RMSE threshold. Three thresholds were examined: 0.107, 0.110 and 0.120 mg</w:t>
      </w:r>
      <w:r>
        <w:t xml:space="preserve"> </w:t>
      </w:r>
      <w:r>
        <w:t xml:space="preserve">L</w:t>
      </w:r>
      <w:r>
        <w:rPr>
          <w:vertAlign w:val="superscript"/>
        </w:rPr>
        <w:t xml:space="preserve">-1</w:t>
      </w:r>
      <w:r>
        <w:t xml:space="preserve">. The first is the approximate one-sided 95% upper acceptance band of the RMSE objective</w:t>
      </w:r>
      <w:r>
        <w:t xml:space="preserve"> </w:t>
      </w:r>
      <w:r>
        <w:t xml:space="preserve">evaluated at the truth,</w:t>
      </w:r>
    </w:p>
    <w:p>
      <w:pPr>
        <w:pStyle w:val="BodyText"/>
      </w:pPr>
      <m:oMathPara>
        <m:oMathParaPr>
          <m:jc m:val="center"/>
        </m:oMathParaPr>
        <m:oMath>
          <m:r>
            <m:t>T</m:t>
          </m:r>
          <m:r>
            <m:rPr>
              <m:sty m:val="p"/>
            </m:rPr>
            <m:t>(</m:t>
          </m:r>
          <m:r>
            <m:t>σ</m:t>
          </m:r>
          <m:r>
            <m:rPr>
              <m:sty m:val="p"/>
            </m:rPr>
            <m:t>)</m:t>
          </m:r>
          <m:r>
            <m:rPr>
              <m:sty m:val="p"/>
            </m:rPr>
            <m:t>=</m:t>
          </m:r>
          <m:r>
            <m:t>σ</m:t>
          </m:r>
          <m:d>
            <m:dPr>
              <m:begChr m:val="("/>
              <m:sepChr m:val=""/>
              <m:endChr m:val=")"/>
              <m:grow/>
            </m:dPr>
            <m:e>
              <m:r>
                <m:t>1</m:t>
              </m:r>
              <m:r>
                <m:rPr>
                  <m:sty m:val="p"/>
                </m:rPr>
                <m:t>+</m:t>
              </m:r>
              <m:f>
                <m:fPr>
                  <m:type m:val="bar"/>
                </m:fPr>
                <m:num>
                  <m:r>
                    <m:t>z</m:t>
                  </m:r>
                </m:num>
                <m:den>
                  <m:rad>
                    <m:radPr>
                      <m:degHide m:val="on"/>
                    </m:radPr>
                    <m:deg/>
                    <m:e>
                      <m:r>
                        <m:t>2</m:t>
                      </m:r>
                      <m:r>
                        <m:t>N</m:t>
                      </m:r>
                    </m:e>
                  </m:rad>
                </m:den>
              </m:f>
            </m:e>
          </m:d>
          <m:r>
            <m:rPr>
              <m:sty m:val="p"/>
            </m:rPr>
            <m:t>,</m:t>
          </m:r>
        </m:oMath>
      </m:oMathPara>
    </w:p>
    <w:p>
      <w:pPr>
        <w:pStyle w:val="FirstParagraph"/>
      </w:pPr>
      <w:r>
        <w:t xml:space="preserve">which for</w:t>
      </w:r>
      <w:r>
        <w:t xml:space="preserve"> </w:t>
      </w:r>
      <m:oMath>
        <m:r>
          <m:t>z</m:t>
        </m:r>
        <m:r>
          <m:rPr>
            <m:sty m:val="p"/>
          </m:rPr>
          <m:t>=</m:t>
        </m:r>
        <m:r>
          <m:t>1.645</m:t>
        </m:r>
      </m:oMath>
      <w:r>
        <w:t xml:space="preserve">,</w:t>
      </w:r>
      <w:r>
        <w:t xml:space="preserve"> </w:t>
      </w:r>
      <m:oMath>
        <m:r>
          <m:t>N</m:t>
        </m:r>
        <m:r>
          <m:rPr>
            <m:sty m:val="p"/>
          </m:rPr>
          <m:t>=</m:t>
        </m:r>
        <m:r>
          <m:t>294</m:t>
        </m:r>
      </m:oMath>
      <w:r>
        <w:t xml:space="preserve"> </w:t>
      </w:r>
      <w:r>
        <w:t xml:space="preserve">and</w:t>
      </w:r>
      <w:r>
        <w:t xml:space="preserve"> </w:t>
      </w:r>
      <m:oMath>
        <m:r>
          <m:t>σ</m:t>
        </m:r>
        <m:r>
          <m:rPr>
            <m:sty m:val="p"/>
          </m:rPr>
          <m:t>=</m:t>
        </m:r>
        <m:r>
          <m:t>0.1</m:t>
        </m:r>
      </m:oMath>
      <w:r>
        <w:t xml:space="preserve"> </w:t>
      </w:r>
      <w:r>
        <w:t xml:space="preserve">mg L</w:t>
      </w:r>
      <w:r>
        <w:rPr>
          <w:vertAlign w:val="superscript"/>
        </w:rPr>
        <w:t xml:space="preserve">-1</w:t>
      </w:r>
      <w:r>
        <w:t xml:space="preserve"> </w:t>
      </w:r>
      <w:r>
        <w:t xml:space="preserve">gives 0.1068 mg L</w:t>
      </w:r>
      <w:r>
        <w:rPr>
          <w:vertAlign w:val="superscript"/>
        </w:rPr>
        <w:t xml:space="preserve">-1</w:t>
      </w:r>
      <w:r>
        <w:t xml:space="preserve">. This is a</w:t>
      </w:r>
      <w:r>
        <w:t xml:space="preserve"> </w:t>
      </w:r>
      <w:r>
        <w:t xml:space="preserve">statement about the sampling distribution of the objective at the truth, not a credible interval</w:t>
      </w:r>
      <w:r>
        <w:t xml:space="preserve"> </w:t>
      </w:r>
      <w:r>
        <w:t xml:space="preserve">for the parameters. The 0.120 mg L</w:t>
      </w:r>
      <w:r>
        <w:rPr>
          <w:vertAlign w:val="superscript"/>
        </w:rPr>
        <w:t xml:space="preserve">-1</w:t>
      </w:r>
      <w:r>
        <w:t xml:space="preserve"> </w:t>
      </w:r>
      <w:r>
        <w:t xml:space="preserve">threshold reproduces the original analysis and 0.110</w:t>
      </w:r>
      <w:r>
        <w:t xml:space="preserve"> </w:t>
      </w:r>
      <w:r>
        <w:t xml:space="preserve">provides an intermediate case. Threshold sensitivity is a property of this comparator alone;</w:t>
      </w:r>
      <w:r>
        <w:t xml:space="preserve"> </w:t>
      </w:r>
      <w:r>
        <w:t xml:space="preserve">neither formal rule uses an acceptance threshold.</w:t>
      </w:r>
    </w:p>
    <w:bookmarkEnd w:id="27"/>
    <w:bookmarkEnd w:id="28"/>
    <w:bookmarkStart w:id="34" w:name="identifiability-analysis"/>
    <w:p>
      <w:pPr>
        <w:pStyle w:val="Heading2"/>
      </w:pPr>
      <w:r>
        <w:t xml:space="preserve">2.4 Identifiability analysis</w:t>
      </w:r>
    </w:p>
    <w:bookmarkStart w:id="29" w:name="prior-contraction"/>
    <w:p>
      <w:pPr>
        <w:pStyle w:val="Heading3"/>
      </w:pPr>
      <w:r>
        <w:t xml:space="preserve">2.4.1 Prior contraction</w:t>
      </w:r>
    </w:p>
    <w:p>
      <w:pPr>
        <w:pStyle w:val="FirstParagraph"/>
      </w:pPr>
      <w:r>
        <w:t xml:space="preserve">Posterior contraction was summarised by the retained-standard-deviation ratio</w:t>
      </w:r>
      <w:r>
        <w:t xml:space="preserve"> </w:t>
      </w:r>
      <m:oMath>
        <m:sSub>
          <m:e>
            <m:r>
              <m:t>R</m:t>
            </m:r>
          </m:e>
          <m:sub>
            <m:r>
              <m:rPr>
                <m:sty m:val="p"/>
              </m:rPr>
              <m:t>S</m:t>
            </m:r>
            <m:r>
              <m:rPr>
                <m:sty m:val="p"/>
              </m:rPr>
              <m:t>D</m:t>
            </m:r>
            <m:r>
              <m:rPr>
                <m:sty m:val="p"/>
              </m:rPr>
              <m:t>,</m:t>
            </m:r>
            <m:r>
              <m:t>j</m:t>
            </m:r>
          </m:sub>
        </m:sSub>
        <m:r>
          <m:rPr>
            <m:sty m:val="p"/>
          </m:rPr>
          <m:t>=</m:t>
        </m:r>
        <m:sSub>
          <m:e>
            <m:r>
              <m:t>σ</m:t>
            </m:r>
          </m:e>
          <m:sub>
            <m:r>
              <m:rPr>
                <m:sty m:val="p"/>
              </m:rPr>
              <m:t>p</m:t>
            </m:r>
            <m:r>
              <m:rPr>
                <m:sty m:val="p"/>
              </m:rPr>
              <m:t>o</m:t>
            </m:r>
            <m:r>
              <m:rPr>
                <m:sty m:val="p"/>
              </m:rPr>
              <m:t>s</m:t>
            </m:r>
            <m:r>
              <m:rPr>
                <m:sty m:val="p"/>
              </m:rPr>
              <m:t>t</m:t>
            </m:r>
            <m:r>
              <m:rPr>
                <m:sty m:val="p"/>
              </m:rPr>
              <m:t>,</m:t>
            </m:r>
            <m:r>
              <m:t>j</m:t>
            </m:r>
          </m:sub>
        </m:sSub>
        <m:r>
          <m:rPr>
            <m:sty m:val="p"/>
          </m:rPr>
          <m:t>/</m:t>
        </m:r>
        <m:sSub>
          <m:e>
            <m:r>
              <m:t>σ</m:t>
            </m:r>
          </m:e>
          <m:sub>
            <m:r>
              <m:rPr>
                <m:sty m:val="p"/>
              </m:rPr>
              <m:t>p</m:t>
            </m:r>
            <m:r>
              <m:rPr>
                <m:sty m:val="p"/>
              </m:rPr>
              <m:t>r</m:t>
            </m:r>
            <m:r>
              <m:rPr>
                <m:sty m:val="p"/>
              </m:rPr>
              <m:t>i</m:t>
            </m:r>
            <m:r>
              <m:rPr>
                <m:sty m:val="p"/>
              </m:rPr>
              <m:t>o</m:t>
            </m:r>
            <m:r>
              <m:rPr>
                <m:sty m:val="p"/>
              </m:rPr>
              <m:t>r</m:t>
            </m:r>
            <m:r>
              <m:rPr>
                <m:sty m:val="p"/>
              </m:rPr>
              <m:t>,</m:t>
            </m:r>
            <m:r>
              <m:t>j</m:t>
            </m:r>
          </m:sub>
        </m:sSub>
      </m:oMath>
      <w:r>
        <w:t xml:space="preserve">, reported throughout as</w:t>
      </w:r>
      <w:r>
        <w:t xml:space="preserve"> </w:t>
      </w:r>
      <w:r>
        <w:rPr>
          <w:i/>
          <w:iCs/>
        </w:rPr>
        <w:t xml:space="preserve">SD retained</w:t>
      </w:r>
      <w:r>
        <w:t xml:space="preserve">. A</w:t>
      </w:r>
      <w:r>
        <w:t xml:space="preserve"> </w:t>
      </w:r>
      <w:r>
        <w:t xml:space="preserve">value near one indicates little reduction in prior dispersion; smaller values indicate stronger</w:t>
      </w:r>
      <w:r>
        <w:t xml:space="preserve"> </w:t>
      </w:r>
      <w:r>
        <w:t xml:space="preserve">contraction. Posterior means are reported alongside it because contraction and truth recovery</w:t>
      </w:r>
      <w:r>
        <w:t xml:space="preserve"> </w:t>
      </w:r>
      <w:r>
        <w:t xml:space="preserve">are distinct: a mean close to the synthetic truth is weak evidence when the prior is already</w:t>
      </w:r>
      <w:r>
        <w:t xml:space="preserve"> </w:t>
      </w:r>
      <w:r>
        <w:t xml:space="preserve">favourably placed, and a narrow posterior can still be displaced under model or observation</w:t>
      </w:r>
      <w:r>
        <w:t xml:space="preserve"> </w:t>
      </w:r>
      <w:r>
        <w:t xml:space="preserve">error. SD retention is therefore treated as a contraction diagnostic, not as a sufficient</w:t>
      </w:r>
      <w:r>
        <w:t xml:space="preserve"> </w:t>
      </w:r>
      <w:r>
        <w:t xml:space="preserve">identifiability test on its own, which is why the four further analyses below are needed.</w:t>
      </w:r>
    </w:p>
    <w:bookmarkEnd w:id="29"/>
    <w:bookmarkStart w:id="30" w:name="displaced-prior-tests"/>
    <w:p>
      <w:pPr>
        <w:pStyle w:val="Heading3"/>
      </w:pPr>
      <w:r>
        <w:t xml:space="preserve">2.4.2 Displaced-prior tests</w:t>
      </w:r>
    </w:p>
    <w:p>
      <w:pPr>
        <w:pStyle w:val="FirstParagraph"/>
      </w:pPr>
      <w:r>
        <w:t xml:space="preserve">To separate information supplied by the observations from favourable prior placement, the</w:t>
      </w:r>
      <w:r>
        <w:t xml:space="preserve"> </w:t>
      </w:r>
      <w:r>
        <w:t xml:space="preserve">calibration was repeated over 30 independent noise realisations using displaced prior boxes of</w:t>
      </w:r>
      <w:r>
        <w:t xml:space="preserve"> </w:t>
      </w:r>
      <w:r>
        <w:t xml:space="preserve">unchanged width. In the DOWN design each box retained its original width but was re-centred at the known synthetic truth minus one original-prior standard deviation, so the displacement is defined relative to the truth rather than to the original midpoint. In the OLDUP design only the old-zone box changed direction, being centred at the truth plus one</w:t>
      </w:r>
      <w:r>
        <w:t xml:space="preserve"> </w:t>
      </w:r>
      <w:r>
        <w:t xml:space="preserve">original-prior standard deviation, while the average and new boxes kept their DOWN positions.</w:t>
      </w:r>
      <w:r>
        <w:t xml:space="preserve"> </w:t>
      </w:r>
      <w:r>
        <w:t xml:space="preserve">OLDUP is therefore a directional check for the old coefficient rather than a second like-for-like</w:t>
      </w:r>
      <w:r>
        <w:t xml:space="preserve"> </w:t>
      </w:r>
      <w:r>
        <w:t xml:space="preserve">three-parameter test. An upper cap of −0.005 m day</w:t>
      </w:r>
      <w:r>
        <w:rPr>
          <w:vertAlign w:val="superscript"/>
        </w:rPr>
        <w:t xml:space="preserve">-1</w:t>
      </w:r>
      <w:r>
        <w:t xml:space="preserve">, imposed to keep the old prior in the non-positive decay domain, then shifted that box down to a realised midpoint of −0.655 m day</w:t>
      </w:r>
      <w:r>
        <w:rPr>
          <w:vertAlign w:val="superscript"/>
        </w:rPr>
        <w:t xml:space="preserve">-1</w:t>
      </w:r>
      <w:r>
        <w:t xml:space="preserve">, about 0.92 original-prior standard deviations from the truth rather than the intended one.</w:t>
      </w:r>
    </w:p>
    <w:p>
      <w:pPr>
        <w:pStyle w:val="BodyText"/>
      </w:pPr>
      <w:r>
        <w:t xml:space="preserve">Recovery was measured as the fraction of the imposed displacement closed,</w:t>
      </w:r>
    </w:p>
    <w:p>
      <w:pPr>
        <w:pStyle w:val="BodyText"/>
      </w:pPr>
      <m:oMathPara>
        <m:oMathParaPr>
          <m:jc m:val="center"/>
        </m:oMathParaPr>
        <m:oMath>
          <m:sSub>
            <m:e>
              <m:r>
                <m:t>G</m:t>
              </m:r>
            </m:e>
            <m:sub>
              <m:r>
                <m:t>j</m:t>
              </m:r>
            </m:sub>
          </m:sSub>
          <m:r>
            <m:rPr>
              <m:sty m:val="p"/>
            </m:rPr>
            <m:t>=</m:t>
          </m:r>
          <m:f>
            <m:fPr>
              <m:type m:val="bar"/>
            </m:fPr>
            <m:num>
              <m:sSub>
                <m:e>
                  <m:r>
                    <m:t>μ</m:t>
                  </m:r>
                </m:e>
                <m:sub>
                  <m:r>
                    <m:rPr>
                      <m:sty m:val="p"/>
                    </m:rPr>
                    <m:t>p</m:t>
                  </m:r>
                  <m:r>
                    <m:rPr>
                      <m:sty m:val="p"/>
                    </m:rPr>
                    <m:t>o</m:t>
                  </m:r>
                  <m:r>
                    <m:rPr>
                      <m:sty m:val="p"/>
                    </m:rPr>
                    <m:t>s</m:t>
                  </m:r>
                  <m:r>
                    <m:rPr>
                      <m:sty m:val="p"/>
                    </m:rPr>
                    <m:t>t</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num>
            <m:den>
              <m:sSub>
                <m:e>
                  <m:r>
                    <m:t>k</m:t>
                  </m:r>
                </m:e>
                <m:sub>
                  <m:r>
                    <m:rPr>
                      <m:sty m:val="p"/>
                    </m:rPr>
                    <m:t>t</m:t>
                  </m:r>
                  <m:r>
                    <m:rPr>
                      <m:sty m:val="p"/>
                    </m:rPr>
                    <m:t>r</m:t>
                  </m:r>
                  <m:r>
                    <m:rPr>
                      <m:sty m:val="p"/>
                    </m:rPr>
                    <m:t>u</m:t>
                  </m:r>
                  <m:r>
                    <m:rPr>
                      <m:sty m:val="p"/>
                    </m:rPr>
                    <m:t>e</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den>
          </m:f>
          <m:r>
            <m:rPr>
              <m:sty m:val="p"/>
            </m:rPr>
            <m:t>,</m:t>
          </m:r>
        </m:oMath>
      </m:oMathPara>
    </w:p>
    <w:p>
      <w:pPr>
        <w:pStyle w:val="FirstParagraph"/>
      </w:pPr>
      <w:r>
        <w:t xml:space="preserve">where</w:t>
      </w:r>
      <w:r>
        <w:t xml:space="preserve"> </w:t>
      </w:r>
      <m:oMath>
        <m:sSub>
          <m:e>
            <m:r>
              <m:t>m</m:t>
            </m:r>
          </m:e>
          <m:sub>
            <m:r>
              <m:rPr>
                <m:sty m:val="p"/>
              </m:rPr>
              <m:t>d</m:t>
            </m:r>
            <m:r>
              <m:rPr>
                <m:sty m:val="p"/>
              </m:rPr>
              <m:t>i</m:t>
            </m:r>
            <m:r>
              <m:rPr>
                <m:sty m:val="p"/>
              </m:rPr>
              <m:t>s</m:t>
            </m:r>
            <m:r>
              <m:rPr>
                <m:sty m:val="p"/>
              </m:rPr>
              <m:t>p</m:t>
            </m:r>
            <m:r>
              <m:rPr>
                <m:sty m:val="p"/>
              </m:rPr>
              <m:t>,</m:t>
            </m:r>
            <m:r>
              <m:t>j</m:t>
            </m:r>
          </m:sub>
        </m:sSub>
      </m:oMath>
      <w:r>
        <w:t xml:space="preserve"> </w:t>
      </w:r>
      <w:r>
        <w:t xml:space="preserve">is the displaced midpoint.</w:t>
      </w:r>
      <w:r>
        <w:t xml:space="preserve"> </w:t>
      </w:r>
      <m:oMath>
        <m:sSub>
          <m:e>
            <m:r>
              <m:t>G</m:t>
            </m:r>
          </m:e>
          <m:sub>
            <m:r>
              <m:t>j</m:t>
            </m:r>
          </m:sub>
        </m:sSub>
        <m:r>
          <m:rPr>
            <m:sty m:val="p"/>
          </m:rPr>
          <m:t>=</m:t>
        </m:r>
        <m:r>
          <m:t>0</m:t>
        </m:r>
      </m:oMath>
      <w:r>
        <w:t xml:space="preserve"> </w:t>
      </w:r>
      <w:r>
        <w:t xml:space="preserve">means the estimate stays at</w:t>
      </w:r>
      <w:r>
        <w:t xml:space="preserve"> </w:t>
      </w:r>
      <w:r>
        <w:t xml:space="preserve">that midpoint,</w:t>
      </w:r>
      <w:r>
        <w:t xml:space="preserve"> </w:t>
      </w:r>
      <m:oMath>
        <m:sSub>
          <m:e>
            <m:r>
              <m:t>G</m:t>
            </m:r>
          </m:e>
          <m:sub>
            <m:r>
              <m:t>j</m:t>
            </m:r>
          </m:sub>
        </m:sSub>
        <m:r>
          <m:rPr>
            <m:sty m:val="p"/>
          </m:rPr>
          <m:t>=</m:t>
        </m:r>
        <m:r>
          <m:t>1</m:t>
        </m:r>
      </m:oMath>
      <w:r>
        <w:t xml:space="preserve"> </w:t>
      </w:r>
      <w:r>
        <w:t xml:space="preserve">means full recovery to the truth, and values above one mean movement</w:t>
      </w:r>
      <w:r>
        <w:t xml:space="preserve"> </w:t>
      </w:r>
      <w:r>
        <w:t xml:space="preserve">beyond it.</w:t>
      </w:r>
    </w:p>
    <w:bookmarkEnd w:id="30"/>
    <w:bookmarkStart w:id="31" w:name="fisher-information-and-cramérrao-bounds"/>
    <w:p>
      <w:pPr>
        <w:pStyle w:val="Heading3"/>
      </w:pPr>
      <w:r>
        <w:t xml:space="preserve">2.4.3 Fisher information and Cramér–Rao bounds</w:t>
      </w:r>
    </w:p>
    <w:p>
      <w:pPr>
        <w:pStyle w:val="FirstParagraph"/>
      </w:pPr>
      <w:r>
        <w:t xml:space="preserve">Local identifiability was assessed from the sensitivity Jacobian of the 294 monitored values</w:t>
      </w:r>
      <w:r>
        <w:t xml:space="preserve"> </w:t>
      </w:r>
      <w:r>
        <w:t xml:space="preserve">(Brun, Reichert &amp; Künsch, 2001)</w:t>
      </w:r>
      <w:r>
        <w:t xml:space="preserve">.</w:t>
      </w:r>
      <w:r>
        <w:t xml:space="preserve"> </w:t>
      </w:r>
      <w:r>
        <w:t xml:space="preserve">For independent homoscedastic Gaussian errors,</w:t>
      </w:r>
    </w:p>
    <w:p>
      <w:pPr>
        <w:pStyle w:val="BodyText"/>
      </w:pPr>
      <m:oMathPara>
        <m:oMathParaPr>
          <m:jc m:val="center"/>
        </m:oMathParaPr>
        <m:oMath>
          <m:r>
            <m:rPr>
              <m:sty m:val="bi"/>
            </m:rPr>
            <m:t>F</m:t>
          </m:r>
          <m:r>
            <m:rPr>
              <m:sty m:val="p"/>
            </m:rPr>
            <m:t>=</m:t>
          </m:r>
          <m:f>
            <m:fPr>
              <m:type m:val="bar"/>
            </m:fPr>
            <m:num>
              <m:r>
                <m:t>1</m:t>
              </m:r>
            </m:num>
            <m:den>
              <m:sSup>
                <m:e>
                  <m:r>
                    <m:t>σ</m:t>
                  </m:r>
                </m:e>
                <m:sup>
                  <m:r>
                    <m:t>2</m:t>
                  </m:r>
                </m:sup>
              </m:sSup>
            </m:den>
          </m:f>
          <m:sSup>
            <m:e>
              <m:r>
                <m:rPr>
                  <m:sty m:val="bi"/>
                </m:rPr>
                <m:t>J</m:t>
              </m:r>
            </m:e>
            <m:sup>
              <m:r>
                <m:rPr>
                  <m:scr m:val="sans-serif"/>
                  <m:sty m:val="p"/>
                </m:rPr>
                <m:t>T</m:t>
              </m:r>
            </m:sup>
          </m:sSup>
          <m:r>
            <m:rPr>
              <m:sty m:val="bi"/>
            </m:rPr>
            <m:t>J</m:t>
          </m:r>
          <m:r>
            <m:rPr>
              <m:sty m:val="p"/>
            </m:rPr>
            <m:t>,</m:t>
          </m:r>
          <m:sSub>
            <m:e>
              <m:r>
                <m:t>J</m:t>
              </m:r>
            </m:e>
            <m:sub>
              <m:r>
                <m:t>i</m:t>
              </m:r>
              <m:r>
                <m:t>j</m:t>
              </m:r>
            </m:sub>
          </m:sSub>
          <m:r>
            <m:rPr>
              <m:sty m:val="p"/>
            </m:rPr>
            <m:t>=</m:t>
          </m:r>
          <m:f>
            <m:fPr>
              <m:type m:val="bar"/>
            </m:fPr>
            <m:num>
              <m:r>
                <m:rPr>
                  <m:sty m:val="p"/>
                </m:rPr>
                <m:t>∂</m:t>
              </m:r>
              <m:sSub>
                <m:e>
                  <m:r>
                    <m:t>C</m:t>
                  </m:r>
                </m:e>
                <m:sub>
                  <m:r>
                    <m:t>i</m:t>
                  </m:r>
                </m:sub>
              </m:sSub>
            </m:num>
            <m:den>
              <m:r>
                <m:rPr>
                  <m:sty m:val="p"/>
                </m:rPr>
                <m:t>∂</m:t>
              </m:r>
              <m:sSub>
                <m:e>
                  <m:r>
                    <m:t>θ</m:t>
                  </m:r>
                </m:e>
                <m:sub>
                  <m:r>
                    <m:t>j</m:t>
                  </m:r>
                </m:sub>
              </m:sSub>
            </m:den>
          </m:f>
          <m:r>
            <m:rPr>
              <m:sty m:val="p"/>
            </m:rPr>
            <m:t>.</m:t>
          </m:r>
        </m:oMath>
      </m:oMathPara>
    </w:p>
    <w:p>
      <w:pPr>
        <w:pStyle w:val="FirstParagraph"/>
      </w:pPr>
      <w:r>
        <w:t xml:space="preserve">evaluated at the synthetic truth by finite differences. The calculation assumes errors at</w:t>
      </w:r>
      <w:r>
        <w:t xml:space="preserve"> </w:t>
      </w:r>
      <m:oMath>
        <m:r>
          <m:t>σ</m:t>
        </m:r>
        <m:r>
          <m:rPr>
            <m:sty m:val="p"/>
          </m:rPr>
          <m:t>=</m:t>
        </m:r>
        <m:r>
          <m:t>0.1</m:t>
        </m:r>
      </m:oMath>
      <w:r>
        <w:t xml:space="preserve"> </w:t>
      </w:r>
      <w:r>
        <w:t xml:space="preserve">mg L</w:t>
      </w:r>
      <w:r>
        <w:rPr>
          <w:vertAlign w:val="superscript"/>
        </w:rPr>
        <w:t xml:space="preserve">-1</w:t>
      </w:r>
      <w:r>
        <w:t xml:space="preserve"> </w:t>
      </w:r>
      <w:r>
        <w:t xml:space="preserve">and does</w:t>
      </w:r>
      <w:r>
        <w:t xml:space="preserve"> </w:t>
      </w:r>
      <w:r>
        <w:rPr>
          <w:b/>
          <w:bCs/>
        </w:rPr>
        <w:t xml:space="preserve">not</w:t>
      </w:r>
      <w:r>
        <w:t xml:space="preserve"> </w:t>
      </w:r>
      <w:r>
        <w:t xml:space="preserve">include the censoring correction, so it is a local information</w:t>
      </w:r>
      <w:r>
        <w:t xml:space="preserve"> </w:t>
      </w:r>
      <w:r>
        <w:t xml:space="preserve">benchmark rather than a duplicate of the primary likelihood.</w:t>
      </w:r>
    </w:p>
    <w:p>
      <w:pPr>
        <w:pStyle w:val="BodyText"/>
      </w:pPr>
      <w:r>
        <w:t xml:space="preserve">Three nested parameterisations were examined: (A) the three wall-decay coefficients alone; (B)</w:t>
      </w:r>
      <w:r>
        <w:t xml:space="preserve"> </w:t>
      </w:r>
      <w:r>
        <w:t xml:space="preserve">those plus bulk decay; and (C) those plus bulk decay and six monitor-specific offsets, each</w:t>
      </w:r>
      <w:r>
        <w:t xml:space="preserve"> </w:t>
      </w:r>
      <w:r>
        <w:t xml:space="preserve">constant across that monitor’s 49 observations. In B and C the nuisance parameters were</w:t>
      </w:r>
      <w:r>
        <w:t xml:space="preserve"> </w:t>
      </w:r>
      <w:r>
        <w:t xml:space="preserve">marginalised and the marginal Cramér–Rao standard deviations normalised by the corresponding</w:t>
      </w:r>
      <w:r>
        <w:t xml:space="preserve"> </w:t>
      </w:r>
      <w:r>
        <w:t xml:space="preserve">prior standard deviation, a ratio below one being the criterion for local practical</w:t>
      </w:r>
      <w:r>
        <w:t xml:space="preserve"> </w:t>
      </w:r>
      <w:r>
        <w:t xml:space="preserve">identifiability adopted here. This is a benchmark relative to the chosen prior scale, not a</w:t>
      </w:r>
      <w:r>
        <w:t xml:space="preserve"> </w:t>
      </w:r>
      <w:r>
        <w:t xml:space="preserve">universal threshold. Marginalisation and the step-size check are in Appendix D.</w:t>
      </w:r>
    </w:p>
    <w:bookmarkEnd w:id="31"/>
    <w:bookmarkStart w:id="32" w:name="continuous-profile-likelihood"/>
    <w:p>
      <w:pPr>
        <w:pStyle w:val="Heading3"/>
      </w:pPr>
      <w:r>
        <w:t xml:space="preserve">2.4.4 Continuous profile likelihood</w:t>
      </w:r>
    </w:p>
    <w:p>
      <w:pPr>
        <w:pStyle w:val="FirstParagraph"/>
      </w:pPr>
      <w:r>
        <w:t xml:space="preserve">Likelihood geometry was assessed by continuous single-parameter profiles</w:t>
      </w:r>
      <w:r>
        <w:t xml:space="preserve"> </w:t>
      </w:r>
      <w:r>
        <w:t xml:space="preserve">(Raue</w:t>
      </w:r>
      <w:r>
        <w:t xml:space="preserve"> </w:t>
      </w:r>
      <w:r>
        <w:rPr>
          <w:i/>
          <w:iCs/>
        </w:rPr>
        <w:t xml:space="preserve">et al.</w:t>
      </w:r>
      <w:r>
        <w:t xml:space="preserve">, 2009)</w:t>
      </w:r>
      <w:r>
        <w:t xml:space="preserve">: each wall coefficient</w:t>
      </w:r>
      <w:r>
        <w:t xml:space="preserve"> </w:t>
      </w:r>
      <w:r>
        <w:t xml:space="preserve">was fixed in turn while the other two were re-optimised by Nelder–Mead within their prior</w:t>
      </w:r>
      <w:r>
        <w:t xml:space="preserve"> </w:t>
      </w:r>
      <w:r>
        <w:t xml:space="preserve">bounds, and the endpoints of the 95% interval were located by Brent bisection at</w:t>
      </w:r>
    </w:p>
    <w:p>
      <w:pPr>
        <w:pStyle w:val="BodyText"/>
      </w:pPr>
      <m:oMathPara>
        <m:oMathParaPr>
          <m:jc m:val="center"/>
        </m:oMathParaPr>
        <m:oMath>
          <m:r>
            <m:rPr>
              <m:sty m:val="p"/>
            </m:rPr>
            <m:t>Δ</m:t>
          </m:r>
          <m:r>
            <m:rPr>
              <m:sty m:val="p"/>
            </m:rPr>
            <m:t>N</m:t>
          </m:r>
          <m:r>
            <m:rPr>
              <m:sty m:val="p"/>
            </m:rPr>
            <m:t>L</m:t>
          </m:r>
          <m:r>
            <m:rPr>
              <m:sty m:val="p"/>
            </m:rPr>
            <m:t>L</m:t>
          </m:r>
          <m:r>
            <m:rPr>
              <m:sty m:val="p"/>
            </m:rPr>
            <m:t>≤</m:t>
          </m:r>
          <m:f>
            <m:fPr>
              <m:type m:val="lin"/>
            </m:fPr>
            <m:num>
              <m:r>
                <m:t>1</m:t>
              </m:r>
            </m:num>
            <m:den>
              <m:r>
                <m:t>2</m:t>
              </m:r>
            </m:den>
          </m:f>
          <m:sSubSup>
            <m:e>
              <m:r>
                <m:t>χ</m:t>
              </m:r>
            </m:e>
            <m:sub>
              <m:r>
                <m:t>1</m:t>
              </m:r>
              <m:r>
                <m:rPr>
                  <m:sty m:val="p"/>
                </m:rPr>
                <m:t>,</m:t>
              </m:r>
              <m:r>
                <m:t>0.95</m:t>
              </m:r>
            </m:sub>
            <m:sup>
              <m:r>
                <m:t>2</m:t>
              </m:r>
            </m:sup>
          </m:sSubSup>
          <m:r>
            <m:rPr>
              <m:sty m:val="p"/>
            </m:rPr>
            <m:t>≈</m:t>
          </m:r>
          <m:r>
            <m:t>1.92</m:t>
          </m:r>
          <m:r>
            <m:rPr>
              <m:sty m:val="p"/>
            </m:rPr>
            <m:t>.</m:t>
          </m:r>
        </m:oMath>
      </m:oMathPara>
    </w:p>
    <w:p>
      <w:pPr>
        <w:pStyle w:val="FirstParagraph"/>
      </w:pPr>
      <w:r>
        <w:t xml:space="preserve">Profiles were computed under the primary censored likelihood, with an iid Gaussian profile</w:t>
      </w:r>
      <w:r>
        <w:t xml:space="preserve"> </w:t>
      </w:r>
      <w:r>
        <w:t xml:space="preserve">retained as a censoring benchmark. A 21-point-per-parameter grid was kept for visualisation</w:t>
      </w:r>
      <w:r>
        <w:t xml:space="preserve"> </w:t>
      </w:r>
      <w:r>
        <w:t xml:space="preserve">only, because a discrete grid can place interval endpoints only at its nodes.</w:t>
      </w:r>
    </w:p>
    <w:bookmarkEnd w:id="32"/>
    <w:bookmarkStart w:id="33" w:name="repeated-noise-calibration"/>
    <w:p>
      <w:pPr>
        <w:pStyle w:val="Heading3"/>
      </w:pPr>
      <w:r>
        <w:t xml:space="preserve">2.4.5 Repeated-noise calibration</w:t>
      </w:r>
    </w:p>
    <w:p>
      <w:pPr>
        <w:pStyle w:val="FirstParagraph"/>
      </w:pPr>
      <w:r>
        <w:t xml:space="preserve">Repeated-sampling behaviour was assessed by recalibrating for 100 independent observation-noise</w:t>
      </w:r>
      <w:r>
        <w:t xml:space="preserve"> </w:t>
      </w:r>
      <w:r>
        <w:t xml:space="preserve">realisations. For each coefficient the analysis recorded the bias of the posterior mean, the</w:t>
      </w:r>
      <w:r>
        <w:t xml:space="preserve"> </w:t>
      </w:r>
      <w:r>
        <w:t xml:space="preserve">empirical standard deviation of that mean across realisations, its ratio to the Case-A</w:t>
      </w:r>
      <w:r>
        <w:t xml:space="preserve"> </w:t>
      </w:r>
      <w:r>
        <w:t xml:space="preserve">Cramér–Rao bound, and the mean posterior standard deviation reported</w:t>
      </w:r>
      <w:r>
        <w:t xml:space="preserve"> </w:t>
      </w:r>
      <w:r>
        <w:rPr>
          <w:i/>
          <w:iCs/>
        </w:rPr>
        <w:t xml:space="preserve">within</w:t>
      </w:r>
      <w:r>
        <w:t xml:space="preserve"> </w:t>
      </w:r>
      <w:r>
        <w:t xml:space="preserve">individual realisations. The last of these asks whether the uncertainty a single calibration claims matches the estimator’s actual sampling spread. Empirical coverage was evaluated for nominal 90%</w:t>
      </w:r>
      <w:r>
        <w:t xml:space="preserve"> </w:t>
      </w:r>
      <w:r>
        <w:t xml:space="preserve">and 95% weighted posterior-quantile intervals, with normal-approximation intervals as a</w:t>
      </w:r>
      <w:r>
        <w:t xml:space="preserve"> </w:t>
      </w:r>
      <w:r>
        <w:t xml:space="preserve">secondary check.</w:t>
      </w:r>
    </w:p>
    <w:p>
      <w:pPr>
        <w:pStyle w:val="BodyText"/>
      </w:pPr>
      <w:r>
        <w:t xml:space="preserve">The observation-error draws are independent, but all 100 calibrations are evaluated against the</w:t>
      </w:r>
      <w:r>
        <w:t xml:space="preserve"> </w:t>
      </w:r>
      <w:r>
        <w:t xml:space="preserve">same 8192-member Sobol prediction library, so their finite-library Monte Carlo errors are</w:t>
      </w:r>
      <w:r>
        <w:t xml:space="preserve"> </w:t>
      </w:r>
      <w:r>
        <w:t xml:space="preserve">correlated; the effective-sample-size distribution is reported as a numerical-resolution</w:t>
      </w:r>
      <w:r>
        <w:t xml:space="preserve"> </w:t>
      </w:r>
      <w:r>
        <w:t xml:space="preserve">diagnostic.</w:t>
      </w:r>
    </w:p>
    <w:bookmarkEnd w:id="33"/>
    <w:bookmarkEnd w:id="34"/>
    <w:bookmarkStart w:id="40" w:name="Xa4060916f3009b6808c6bd693808505833e030c"/>
    <w:p>
      <w:pPr>
        <w:pStyle w:val="Heading2"/>
      </w:pPr>
      <w:r>
        <w:t xml:space="preserve">2.5 Robustness to measurement and nuisance errors</w:t>
      </w:r>
    </w:p>
    <w:p>
      <w:pPr>
        <w:pStyle w:val="FirstParagraph"/>
      </w:pPr>
      <w:r>
        <w:t xml:space="preserve">Two kinds of effect are distinguished throughout, and reported on different scales.</w:t>
      </w:r>
      <w:r>
        <w:t xml:space="preserve"> </w:t>
      </w:r>
      <w:r>
        <w:rPr>
          <w:i/>
          <w:iCs/>
        </w:rPr>
        <w:t xml:space="preserve">Widening</w:t>
      </w:r>
      <w:r>
        <w:t xml:space="preserve"> </w:t>
      </w:r>
      <w:r>
        <w:t xml:space="preserve">is the loss of precision when an uncertainty source is represented in the inference;</w:t>
      </w:r>
      <w:r>
        <w:t xml:space="preserve"> </w:t>
      </w:r>
      <w:r>
        <w:rPr>
          <w:i/>
          <w:iCs/>
        </w:rPr>
        <w:t xml:space="preserve">displacement</w:t>
      </w:r>
      <w:r>
        <w:t xml:space="preserve"> </w:t>
      </w:r>
      <w:r>
        <w:t xml:space="preserve">is the movement of an estimate when a perturbation is imposed but not</w:t>
      </w:r>
      <w:r>
        <w:t xml:space="preserve"> </w:t>
      </w:r>
      <w:r>
        <w:t xml:space="preserve">represented. For coefficient</w:t>
      </w:r>
      <w:r>
        <w:t xml:space="preserve"> </w:t>
      </w:r>
      <m:oMath>
        <m:r>
          <m:t>j</m:t>
        </m:r>
      </m:oMath>
      <w:r>
        <w:t xml:space="preserve"> </w:t>
      </w:r>
      <w:r>
        <w:t xml:space="preserve">the standardised displacement is</w:t>
      </w:r>
    </w:p>
    <w:p>
      <w:pPr>
        <w:pStyle w:val="BodyText"/>
      </w:pPr>
      <m:oMathPara>
        <m:oMathParaPr>
          <m:jc m:val="center"/>
        </m:oMathParaPr>
        <m:oMath>
          <m:sSub>
            <m:e>
              <m:r>
                <m:t>Z</m:t>
              </m:r>
            </m:e>
            <m:sub>
              <m:r>
                <m:rPr>
                  <m:sty m:val="p"/>
                </m:rPr>
                <m:t>Δ</m:t>
              </m:r>
              <m:r>
                <m:rPr>
                  <m:sty m:val="p"/>
                </m:rPr>
                <m:t>,</m:t>
              </m:r>
              <m:r>
                <m:t>j</m:t>
              </m:r>
            </m:sub>
          </m:sSub>
          <m:r>
            <m:rPr>
              <m:sty m:val="p"/>
            </m:rPr>
            <m:t>=</m:t>
          </m:r>
          <m:f>
            <m:fPr>
              <m:type m:val="bar"/>
            </m:fPr>
            <m:num>
              <m:sSub>
                <m:e>
                  <m:r>
                    <m:rPr>
                      <m:sty m:val="p"/>
                    </m:rPr>
                    <m:t>median</m:t>
                  </m:r>
                </m:e>
                <m:sub>
                  <m:r>
                    <m:t>r</m:t>
                  </m:r>
                </m:sub>
              </m:sSub>
              <m:d>
                <m:dPr>
                  <m:begChr m:val="("/>
                  <m:sepChr m:val=""/>
                  <m:endChr m:val=")"/>
                  <m:grow/>
                </m:dPr>
                <m:e>
                  <m:sSubSup>
                    <m:e>
                      <m:r>
                        <m:t>μ</m:t>
                      </m:r>
                    </m:e>
                    <m:sub>
                      <m:r>
                        <m:t>j</m:t>
                      </m:r>
                      <m:r>
                        <m:rPr>
                          <m:sty m:val="p"/>
                        </m:rPr>
                        <m:t>,</m:t>
                      </m:r>
                      <m:r>
                        <m:t>r</m:t>
                      </m:r>
                    </m:sub>
                    <m:sup>
                      <m:r>
                        <m:rPr>
                          <m:sty m:val="p"/>
                        </m:rPr>
                        <m:t>p</m:t>
                      </m:r>
                      <m:r>
                        <m:rPr>
                          <m:sty m:val="p"/>
                        </m:rPr>
                        <m:t>e</m:t>
                      </m:r>
                      <m:r>
                        <m:rPr>
                          <m:sty m:val="p"/>
                        </m:rPr>
                        <m:t>r</m:t>
                      </m:r>
                      <m:r>
                        <m:rPr>
                          <m:sty m:val="p"/>
                        </m:rPr>
                        <m:t>t</m:t>
                      </m:r>
                    </m:sup>
                  </m:sSubSup>
                </m:e>
              </m:d>
              <m:r>
                <m:rPr>
                  <m:sty m:val="p"/>
                </m:rPr>
                <m:t>−</m:t>
              </m:r>
              <m:sSub>
                <m:e>
                  <m:r>
                    <m:rPr>
                      <m:sty m:val="p"/>
                    </m:rPr>
                    <m:t>median</m:t>
                  </m:r>
                </m:e>
                <m:sub>
                  <m:r>
                    <m:t>r</m:t>
                  </m:r>
                </m:sub>
              </m:sSub>
              <m:d>
                <m:dPr>
                  <m:begChr m:val="("/>
                  <m:sepChr m:val=""/>
                  <m:endChr m:val=")"/>
                  <m:grow/>
                </m:dPr>
                <m:e>
                  <m:sSubSup>
                    <m:e>
                      <m:r>
                        <m:t>μ</m:t>
                      </m:r>
                    </m:e>
                    <m:sub>
                      <m:r>
                        <m:t>j</m:t>
                      </m:r>
                      <m:r>
                        <m:rPr>
                          <m:sty m:val="p"/>
                        </m:rPr>
                        <m:t>,</m:t>
                      </m:r>
                      <m:r>
                        <m:t>r</m:t>
                      </m:r>
                    </m:sub>
                    <m:sup>
                      <m:r>
                        <m:rPr>
                          <m:sty m:val="p"/>
                        </m:rPr>
                        <m:t>r</m:t>
                      </m:r>
                      <m:r>
                        <m:rPr>
                          <m:sty m:val="p"/>
                        </m:rPr>
                        <m:t>e</m:t>
                      </m:r>
                      <m:r>
                        <m:rPr>
                          <m:sty m:val="p"/>
                        </m:rPr>
                        <m:t>f</m:t>
                      </m:r>
                    </m:sup>
                  </m:sSubSup>
                </m:e>
              </m:d>
            </m:num>
            <m:den>
              <m:sSub>
                <m:e>
                  <m:r>
                    <m:rPr>
                      <m:sty m:val="p"/>
                    </m:rPr>
                    <m:t>median</m:t>
                  </m:r>
                </m:e>
                <m:sub>
                  <m:r>
                    <m:t>r</m:t>
                  </m:r>
                </m:sub>
              </m:sSub>
              <m:d>
                <m:dPr>
                  <m:begChr m:val="("/>
                  <m:sepChr m:val=""/>
                  <m:endChr m:val=")"/>
                  <m:grow/>
                </m:dPr>
                <m:e>
                  <m:sSubSup>
                    <m:e>
                      <m:r>
                        <m:t>σ</m:t>
                      </m:r>
                    </m:e>
                    <m:sub>
                      <m:r>
                        <m:t>j</m:t>
                      </m:r>
                      <m:r>
                        <m:rPr>
                          <m:sty m:val="p"/>
                        </m:rPr>
                        <m:t>,</m:t>
                      </m:r>
                      <m:r>
                        <m:t>r</m:t>
                      </m:r>
                    </m:sub>
                    <m:sup>
                      <m:r>
                        <m:rPr>
                          <m:sty m:val="p"/>
                        </m:rPr>
                        <m:t>r</m:t>
                      </m:r>
                      <m:r>
                        <m:rPr>
                          <m:sty m:val="p"/>
                        </m:rPr>
                        <m:t>e</m:t>
                      </m:r>
                      <m:r>
                        <m:rPr>
                          <m:sty m:val="p"/>
                        </m:rPr>
                        <m:t>f</m:t>
                      </m:r>
                    </m:sup>
                  </m:sSubSup>
                </m:e>
              </m:d>
            </m:den>
          </m:f>
          <m:r>
            <m:rPr>
              <m:sty m:val="p"/>
            </m:rPr>
            <m:t>,</m:t>
          </m:r>
        </m:oMath>
      </m:oMathPara>
    </w:p>
    <w:p>
      <w:pPr>
        <w:pStyle w:val="FirstParagraph"/>
      </w:pPr>
      <w:r>
        <w:t xml:space="preserve">where the reference is the set of 30 unbiased realisations at</w:t>
      </w:r>
      <w:r>
        <w:t xml:space="preserve"> </w:t>
      </w:r>
      <m:oMath>
        <m:r>
          <m:t>σ</m:t>
        </m:r>
        <m:r>
          <m:rPr>
            <m:sty m:val="p"/>
          </m:rPr>
          <m:t>=</m:t>
        </m:r>
        <m:r>
          <m:t>0.1</m:t>
        </m:r>
      </m:oMath>
      <w:r>
        <w:t xml:space="preserve"> </w:t>
      </w:r>
      <w:r>
        <w:t xml:space="preserve">mg L</w:t>
      </w:r>
      <w:r>
        <w:rPr>
          <w:vertAlign w:val="superscript"/>
        </w:rPr>
        <w:t xml:space="preserve">-1</w:t>
      </w:r>
      <w:r>
        <w:t xml:space="preserve">. The</w:t>
      </w:r>
      <w:r>
        <w:t xml:space="preserve"> </w:t>
      </w:r>
      <w:r>
        <w:t xml:space="preserve">denominator is thus the median</w:t>
      </w:r>
      <w:r>
        <w:t xml:space="preserve"> </w:t>
      </w:r>
      <w:r>
        <w:rPr>
          <w:i/>
          <w:iCs/>
        </w:rPr>
        <w:t xml:space="preserve">within-realisation</w:t>
      </w:r>
      <w:r>
        <w:t xml:space="preserve"> </w:t>
      </w:r>
      <w:r>
        <w:t xml:space="preserve">posterior standard deviation under the</w:t>
      </w:r>
      <w:r>
        <w:t xml:space="preserve"> </w:t>
      </w:r>
      <w:r>
        <w:t xml:space="preserve">repeated unbiased baseline, not the single-realisation value of Section 3.2.</w:t>
      </w:r>
    </w:p>
    <w:bookmarkStart w:id="35" w:name="random-measurement-error"/>
    <w:p>
      <w:pPr>
        <w:pStyle w:val="Heading3"/>
      </w:pPr>
      <w:r>
        <w:t xml:space="preserve">2.5.1 Random measurement error</w:t>
      </w:r>
    </w:p>
    <w:p>
      <w:pPr>
        <w:pStyle w:val="FirstParagraph"/>
      </w:pPr>
      <w:r>
        <w:t xml:space="preserve">Sensitivity was evaluated at</w:t>
      </w:r>
      <w:r>
        <w:t xml:space="preserve"> </w:t>
      </w:r>
      <m:oMath>
        <m:r>
          <m:t>σ</m:t>
        </m:r>
        <m:r>
          <m:rPr>
            <m:sty m:val="p"/>
          </m:rPr>
          <m:t>=</m:t>
        </m:r>
        <m:r>
          <m:t>0.02</m:t>
        </m:r>
      </m:oMath>
      <w:r>
        <w:t xml:space="preserve">, 0.05, 0.10 and 0.15 mg L</w:t>
      </w:r>
      <w:r>
        <w:rPr>
          <w:vertAlign w:val="superscript"/>
        </w:rPr>
        <w:t xml:space="preserve">-1</w:t>
      </w:r>
      <w:r>
        <w:t xml:space="preserve"> </w:t>
      </w:r>
      <w:r>
        <w:t xml:space="preserve">with 30 independently</w:t>
      </w:r>
      <w:r>
        <w:t xml:space="preserve"> </w:t>
      </w:r>
      <w:r>
        <w:t xml:space="preserve">generated noise realisations at each level. The same</w:t>
      </w:r>
      <w:r>
        <w:t xml:space="preserve"> </w:t>
      </w:r>
      <m:oMath>
        <m:r>
          <m:t>σ</m:t>
        </m:r>
      </m:oMath>
      <w:r>
        <w:t xml:space="preserve"> </w:t>
      </w:r>
      <w:r>
        <w:t xml:space="preserve">was used both to generate the</w:t>
      </w:r>
      <w:r>
        <w:t xml:space="preserve"> </w:t>
      </w:r>
      <w:r>
        <w:t xml:space="preserve">observations and in the corresponding likelihood, and the informal comparator used the</w:t>
      </w:r>
      <w:r>
        <w:t xml:space="preserve"> </w:t>
      </w:r>
      <m:oMath>
        <m:r>
          <m:t>σ</m:t>
        </m:r>
      </m:oMath>
      <w:r>
        <w:t xml:space="preserve">-dependent threshold of Section 2.3.4.</w:t>
      </w:r>
    </w:p>
    <w:p>
      <w:pPr>
        <w:pStyle w:val="BodyText"/>
      </w:pPr>
      <w:r>
        <w:t xml:space="preserve">Effective sample size distinguishes inferential change from inadequate numerical resolution. A row was flagged as sampling-limited when its median ESS fell below 100, or when any realisation</w:t>
      </w:r>
      <w:r>
        <w:t xml:space="preserve"> </w:t>
      </w:r>
      <w:r>
        <w:t xml:space="preserve">produced an empty behavioural set. Contraction from such rows is not read as a quantitative</w:t>
      </w:r>
      <w:r>
        <w:t xml:space="preserve"> </w:t>
      </w:r>
      <w:r>
        <w:t xml:space="preserve">estimate of the benefit of that sensor precision, because a sharper likelihood concentrates on a</w:t>
      </w:r>
      <w:r>
        <w:t xml:space="preserve"> </w:t>
      </w:r>
      <w:r>
        <w:t xml:space="preserve">library drawn for the baseline noise level.</w:t>
      </w:r>
    </w:p>
    <w:bookmarkEnd w:id="35"/>
    <w:bookmarkStart w:id="36" w:name="temporal-autocorrelation"/>
    <w:p>
      <w:pPr>
        <w:pStyle w:val="Heading3"/>
      </w:pPr>
      <w:r>
        <w:t xml:space="preserve">2.5.2 Temporal autocorrelation</w:t>
      </w:r>
    </w:p>
    <w:p>
      <w:pPr>
        <w:pStyle w:val="FirstParagraph"/>
      </w:pPr>
      <w:r>
        <w:t xml:space="preserve">Temporal dependence was treated as an assumed covariance sensitivity rather than an estimated</w:t>
      </w:r>
      <w:r>
        <w:t xml:space="preserve"> </w:t>
      </w:r>
      <w:r>
        <w:t xml:space="preserve">property, since the baseline observations are generated independently. Each monitor’s 49 hourly</w:t>
      </w:r>
      <w:r>
        <w:t xml:space="preserve"> </w:t>
      </w:r>
      <w:r>
        <w:t xml:space="preserve">residuals were assigned a first-order autoregressive covariance</w:t>
      </w:r>
      <w:r>
        <w:t xml:space="preserve"> </w:t>
      </w:r>
      <m:oMath>
        <m:sSub>
          <m:e>
            <m:r>
              <m:rPr>
                <m:sty m:val="p"/>
              </m:rPr>
              <m:t>Σ</m:t>
            </m:r>
          </m:e>
          <m:sub>
            <m:r>
              <m:t>m</m:t>
            </m:r>
          </m:sub>
        </m:sSub>
        <m:r>
          <m:rPr>
            <m:sty m:val="p"/>
          </m:rPr>
          <m:t>(</m:t>
        </m:r>
        <m:r>
          <m:t>t</m:t>
        </m:r>
        <m:r>
          <m:rPr>
            <m:sty m:val="p"/>
          </m:rPr>
          <m:t>,</m:t>
        </m:r>
        <m:r>
          <m:t>s</m:t>
        </m:r>
        <m:r>
          <m:rPr>
            <m:sty m:val="p"/>
          </m:rPr>
          <m:t>)</m:t>
        </m:r>
        <m:r>
          <m:rPr>
            <m:sty m:val="p"/>
          </m:rPr>
          <m:t>=</m:t>
        </m:r>
        <m:sSup>
          <m:e>
            <m:r>
              <m:t>σ</m:t>
            </m:r>
          </m:e>
          <m:sup>
            <m:r>
              <m:t>2</m:t>
            </m:r>
          </m:sup>
        </m:sSup>
        <m:sSup>
          <m:e>
            <m:r>
              <m:t>ρ</m:t>
            </m:r>
          </m:e>
          <m:sup>
            <m:r>
              <m:rPr>
                <m:sty m:val="p"/>
              </m:rPr>
              <m:t>|</m:t>
            </m:r>
            <m:r>
              <m:t>t</m:t>
            </m:r>
            <m:r>
              <m:rPr>
                <m:sty m:val="p"/>
              </m:rPr>
              <m:t>−</m:t>
            </m:r>
            <m:r>
              <m:t>s</m:t>
            </m:r>
            <m:r>
              <m:rPr>
                <m:sty m:val="p"/>
              </m:rPr>
              <m:t>|</m:t>
            </m:r>
          </m:sup>
        </m:sSup>
      </m:oMath>
      <w:r>
        <w:t xml:space="preserve">, with the six monitor blocks mutually independent, and the Fisher</w:t>
      </w:r>
      <w:r>
        <w:t xml:space="preserve"> </w:t>
      </w:r>
      <w:r>
        <w:t xml:space="preserve">information recomputed as</w:t>
      </w:r>
      <w:r>
        <w:t xml:space="preserve"> </w:t>
      </w:r>
      <m:oMath>
        <m:sSub>
          <m:e>
            <m:r>
              <m:rPr>
                <m:sty m:val="bi"/>
              </m:rPr>
              <m:t>F</m:t>
            </m:r>
          </m:e>
          <m:sub>
            <m:r>
              <m:rPr>
                <m:sty m:val="p"/>
              </m:rPr>
              <m:t>A</m:t>
            </m:r>
            <m:r>
              <m:rPr>
                <m:sty m:val="p"/>
              </m:rPr>
              <m:t>R</m:t>
            </m:r>
            <m:r>
              <m:rPr>
                <m:sty m:val="p"/>
              </m:rPr>
              <m:t>1</m:t>
            </m:r>
          </m:sub>
        </m:sSub>
        <m:r>
          <m:rPr>
            <m:sty m:val="p"/>
          </m:rPr>
          <m:t>=</m:t>
        </m:r>
        <m:sSup>
          <m:e>
            <m:r>
              <m:rPr>
                <m:sty m:val="bi"/>
              </m:rPr>
              <m:t>J</m:t>
            </m:r>
          </m:e>
          <m:sup>
            <m:r>
              <m:rPr>
                <m:scr m:val="sans-serif"/>
                <m:sty m:val="p"/>
              </m:rPr>
              <m:t>T</m:t>
            </m:r>
          </m:sup>
        </m:sSup>
        <m:sSup>
          <m:e>
            <m:r>
              <m:rPr>
                <m:sty m:val="b"/>
              </m:rPr>
              <m:t>Σ</m:t>
            </m:r>
          </m:e>
          <m:sup>
            <m:r>
              <m:rPr>
                <m:sty m:val="p"/>
              </m:rPr>
              <m:t>−</m:t>
            </m:r>
            <m:r>
              <m:t>1</m:t>
            </m:r>
          </m:sup>
        </m:sSup>
        <m:r>
          <m:rPr>
            <m:sty m:val="bi"/>
          </m:rPr>
          <m:t>J</m:t>
        </m:r>
      </m:oMath>
      <w:r>
        <w:t xml:space="preserve"> </w:t>
      </w:r>
      <w:r>
        <w:t xml:space="preserve">rather than by a scalar</w:t>
      </w:r>
      <w:r>
        <w:t xml:space="preserve"> </w:t>
      </w:r>
      <w:r>
        <w:t xml:space="preserve">effective-sample-size correction. The principal case used</w:t>
      </w:r>
      <w:r>
        <w:t xml:space="preserve"> </w:t>
      </w:r>
      <m:oMath>
        <m:r>
          <m:t>ρ</m:t>
        </m:r>
        <m:r>
          <m:rPr>
            <m:sty m:val="p"/>
          </m:rPr>
          <m:t>=</m:t>
        </m:r>
        <m:r>
          <m:t>0.4</m:t>
        </m:r>
      </m:oMath>
      <w:r>
        <w:t xml:space="preserve">, with a sweep over</w:t>
      </w:r>
      <w:r>
        <w:t xml:space="preserve"> </w:t>
      </w:r>
      <m:oMath>
        <m:r>
          <m:t>ρ</m:t>
        </m:r>
        <m:r>
          <m:rPr>
            <m:sty m:val="p"/>
          </m:rPr>
          <m:t>=</m:t>
        </m:r>
        <m:r>
          <m:t>0</m:t>
        </m:r>
      </m:oMath>
      <w:r>
        <w:t xml:space="preserve">, 0.2, 0.4, 0.6 and 0.8 reported in Appendix D.</w:t>
      </w:r>
    </w:p>
    <w:bookmarkEnd w:id="36"/>
    <w:bookmarkStart w:id="37" w:name="sensor-bias-and-drift"/>
    <w:p>
      <w:pPr>
        <w:pStyle w:val="Heading3"/>
      </w:pPr>
      <w:r>
        <w:t xml:space="preserve">2.5.3 Sensor bias and drift</w:t>
      </w:r>
    </w:p>
    <w:p>
      <w:pPr>
        <w:pStyle w:val="FirstParagraph"/>
      </w:pPr>
      <w:r>
        <w:t xml:space="preserve">Systematic error was added to the synthetic measurement before the non-negativity floor,</w:t>
      </w:r>
      <w:r>
        <w:t xml:space="preserve"> </w:t>
      </w:r>
      <m:oMath>
        <m:sSub>
          <m:e>
            <m:r>
              <m:t>C</m:t>
            </m:r>
          </m:e>
          <m:sub>
            <m:r>
              <m:rPr>
                <m:sty m:val="p"/>
              </m:rPr>
              <m:t>o</m:t>
            </m:r>
            <m:r>
              <m:rPr>
                <m:sty m:val="p"/>
              </m:rPr>
              <m:t>b</m:t>
            </m:r>
            <m:r>
              <m:rPr>
                <m:sty m:val="p"/>
              </m:rPr>
              <m:t>s</m:t>
            </m:r>
          </m:sub>
        </m:sSub>
        <m:r>
          <m:rPr>
            <m:sty m:val="p"/>
          </m:rPr>
          <m:t>=</m:t>
        </m:r>
        <m:r>
          <m:rPr>
            <m:sty m:val="p"/>
          </m:rPr>
          <m:t>max</m:t>
        </m:r>
        <m:d>
          <m:dPr>
            <m:begChr m:val="["/>
            <m:sepChr m:val=""/>
            <m:endChr m:val="]"/>
            <m:grow/>
          </m:dPr>
          <m:e>
            <m:r>
              <m:t>0</m:t>
            </m:r>
            <m:r>
              <m:rPr>
                <m:sty m:val="p"/>
              </m:rPr>
              <m:t>,</m:t>
            </m:r>
            <m:sSub>
              <m:e>
                <m:r>
                  <m:t>C</m:t>
                </m:r>
              </m:e>
              <m:sub>
                <m:r>
                  <m:rPr>
                    <m:sty m:val="p"/>
                  </m:rPr>
                  <m:t>t</m:t>
                </m:r>
                <m:r>
                  <m:rPr>
                    <m:sty m:val="p"/>
                  </m:rPr>
                  <m:t>r</m:t>
                </m:r>
                <m:r>
                  <m:rPr>
                    <m:sty m:val="p"/>
                  </m:rPr>
                  <m:t>u</m:t>
                </m:r>
                <m:r>
                  <m:rPr>
                    <m:sty m:val="p"/>
                  </m:rPr>
                  <m:t>e</m:t>
                </m:r>
              </m:sub>
            </m:sSub>
            <m:r>
              <m:rPr>
                <m:sty m:val="p"/>
              </m:rPr>
              <m:t>+</m:t>
            </m:r>
            <m:r>
              <m:t>ϵ</m:t>
            </m:r>
            <m:r>
              <m:rPr>
                <m:sty m:val="p"/>
              </m:rPr>
              <m:t>+</m:t>
            </m:r>
            <m:r>
              <m:t>b</m:t>
            </m:r>
          </m:e>
        </m:d>
      </m:oMath>
      <w:r>
        <w:t xml:space="preserve">, so that a negative</w:t>
      </w:r>
      <w:r>
        <w:t xml:space="preserve"> </w:t>
      </w:r>
      <w:r>
        <w:t xml:space="preserve">offset pushes more readings onto the floor than a positive one of the same size. Offsets were</w:t>
      </w:r>
      <w:r>
        <w:t xml:space="preserve"> </w:t>
      </w:r>
      <w:r>
        <w:t xml:space="preserve">applied at each of the six monitors, giving 24 bias arms of 30 noise realisations each; only the</w:t>
      </w:r>
      <w:r>
        <w:t xml:space="preserve"> </w:t>
      </w:r>
      <w:r>
        <w:t xml:space="preserve">observations are perturbed, so candidate predictions are unchanged.</w:t>
      </w:r>
    </w:p>
    <w:p>
      <w:pPr>
        <w:pStyle w:val="BodyText"/>
      </w:pPr>
      <w:r>
        <w:t xml:space="preserve">Drift was examined at monitors 15 and 231 as a linear ramp</w:t>
      </w:r>
      <w:r>
        <w:t xml:space="preserve"> </w:t>
      </w:r>
      <m:oMath>
        <m:r>
          <m:t>b</m:t>
        </m:r>
        <m:r>
          <m:rPr>
            <m:sty m:val="p"/>
          </m:rPr>
          <m:t>(</m:t>
        </m:r>
        <m:r>
          <m:t>t</m:t>
        </m:r>
        <m:r>
          <m:rPr>
            <m:sty m:val="p"/>
          </m:rPr>
          <m:t>)</m:t>
        </m:r>
        <m:r>
          <m:rPr>
            <m:sty m:val="p"/>
          </m:rPr>
          <m:t>=</m:t>
        </m:r>
        <m:r>
          <m:t>D</m:t>
        </m:r>
        <m:r>
          <m:rPr>
            <m:sty m:val="p"/>
          </m:rPr>
          <m:t>(</m:t>
        </m:r>
        <m:r>
          <m:t>t</m:t>
        </m:r>
        <m:r>
          <m:rPr>
            <m:sty m:val="p"/>
          </m:rPr>
          <m:t>−</m:t>
        </m:r>
        <m:sSub>
          <m:e>
            <m:r>
              <m:t>t</m:t>
            </m:r>
          </m:e>
          <m:sub>
            <m:r>
              <m:t>0</m:t>
            </m:r>
          </m:sub>
        </m:sSub>
        <m:r>
          <m:rPr>
            <m:sty m:val="p"/>
          </m:rPr>
          <m:t>)</m:t>
        </m:r>
        <m:r>
          <m:rPr>
            <m:sty m:val="p"/>
          </m:rPr>
          <m:t>/</m:t>
        </m:r>
        <m:r>
          <m:t>48</m:t>
        </m:r>
      </m:oMath>
      <w:r>
        <w:t xml:space="preserve"> </w:t>
      </w:r>
      <w:r>
        <w:t xml:space="preserve">over the</w:t>
      </w:r>
      <w:r>
        <w:t xml:space="preserve"> </w:t>
      </w:r>
      <w:r>
        <w:t xml:space="preserve">window, correct at the start and off by</w:t>
      </w:r>
      <w:r>
        <w:t xml:space="preserve"> </w:t>
      </w:r>
      <m:oMath>
        <m:r>
          <m:t>D</m:t>
        </m:r>
      </m:oMath>
      <w:r>
        <w:t xml:space="preserve"> </w:t>
      </w:r>
      <w:r>
        <w:t xml:space="preserve">at the end, paired under identical noise with</w:t>
      </w:r>
      <w:r>
        <w:t xml:space="preserve"> </w:t>
      </w:r>
      <w:r>
        <w:t xml:space="preserve">constant-offset controls at its mean and endpoint values. This separates the drift’s temporal</w:t>
      </w:r>
      <w:r>
        <w:t xml:space="preserve"> </w:t>
      </w:r>
      <w:r>
        <w:t xml:space="preserve">shape from its mean magnitude. Offsets, arm definitions and per-arm results are in Appendix F.</w:t>
      </w:r>
    </w:p>
    <w:bookmarkEnd w:id="37"/>
    <w:bookmarkStart w:id="38" w:name="zero-floor-censoring"/>
    <w:p>
      <w:pPr>
        <w:pStyle w:val="Heading3"/>
      </w:pPr>
      <w:r>
        <w:t xml:space="preserve">2.5.4 Zero-floor censoring</w:t>
      </w:r>
    </w:p>
    <w:p>
      <w:pPr>
        <w:pStyle w:val="FirstParagraph"/>
      </w:pPr>
      <w:r>
        <w:t xml:space="preserve">The primary censored likelihood and the formal iid exact-zero comparator were applied to the</w:t>
      </w:r>
      <w:r>
        <w:t xml:space="preserve"> </w:t>
      </w:r>
      <w:r>
        <w:t xml:space="preserve">same synthetic observation sets over 30 noise realisations, so that only the statistical</w:t>
      </w:r>
      <w:r>
        <w:t xml:space="preserve"> </w:t>
      </w:r>
      <w:r>
        <w:t xml:space="preserve">treatment of readings recorded at zero changed while the observations and predictions stayed</w:t>
      </w:r>
      <w:r>
        <w:t xml:space="preserve"> </w:t>
      </w:r>
      <w:r>
        <w:t xml:space="preserve">identical. The number of floored readings and the resulting risk ranking were recorded alongside</w:t>
      </w:r>
      <w:r>
        <w:t xml:space="preserve"> </w:t>
      </w:r>
      <w:r>
        <w:t xml:space="preserve">the coefficient difference.</w:t>
      </w:r>
    </w:p>
    <w:bookmarkEnd w:id="38"/>
    <w:bookmarkStart w:id="39" w:name="bulk-decay-misspecification"/>
    <w:p>
      <w:pPr>
        <w:pStyle w:val="Heading3"/>
      </w:pPr>
      <w:r>
        <w:t xml:space="preserve">2.5.5 Bulk-decay misspecification</w:t>
      </w:r>
    </w:p>
    <w:p>
      <w:pPr>
        <w:pStyle w:val="FirstParagraph"/>
      </w:pPr>
      <w:r>
        <w:t xml:space="preserve">Observations were generated at the true</w:t>
      </w:r>
      <w:r>
        <w:t xml:space="preserve"> </w:t>
      </w:r>
      <m:oMath>
        <m:sSub>
          <m:e>
            <m:r>
              <m:t>k</m:t>
            </m:r>
          </m:e>
          <m:sub>
            <m:r>
              <m:t>b</m:t>
            </m:r>
          </m:sub>
        </m:sSub>
        <m:r>
          <m:rPr>
            <m:sty m:val="p"/>
          </m:rPr>
          <m:t>=</m:t>
        </m:r>
        <m:r>
          <m:rPr>
            <m:sty m:val="p"/>
          </m:rPr>
          <m:t>−</m:t>
        </m:r>
        <m:r>
          <m:t>0.5</m:t>
        </m:r>
      </m:oMath>
      <w:r>
        <w:t xml:space="preserve"> </w:t>
      </w:r>
      <w:r>
        <w:t xml:space="preserve">day</w:t>
      </w:r>
      <w:r>
        <w:rPr>
          <w:vertAlign w:val="superscript"/>
        </w:rPr>
        <w:t xml:space="preserve">-1</w:t>
      </w:r>
      <w:r>
        <w:t xml:space="preserve"> </w:t>
      </w:r>
      <w:r>
        <w:t xml:space="preserve">and the wall coefficients</w:t>
      </w:r>
      <w:r>
        <w:t xml:space="preserve"> </w:t>
      </w:r>
      <w:r>
        <w:t xml:space="preserve">recalibrated with</w:t>
      </w:r>
      <w:r>
        <w:t xml:space="preserve"> </w:t>
      </w:r>
      <m:oMath>
        <m:sSub>
          <m:e>
            <m:r>
              <m:t>k</m:t>
            </m:r>
          </m:e>
          <m:sub>
            <m:r>
              <m:t>b</m:t>
            </m:r>
          </m:sub>
        </m:sSub>
      </m:oMath>
      <w:r>
        <w:t xml:space="preserve"> </w:t>
      </w:r>
      <w:r>
        <w:t xml:space="preserve">fixed at −0.4 and −0.6 day</w:t>
      </w:r>
      <w:r>
        <w:rPr>
          <w:vertAlign w:val="superscript"/>
        </w:rPr>
        <w:t xml:space="preserve">-1</w:t>
      </w:r>
      <w:r>
        <w:t xml:space="preserve">, that is ±20% misspecification, over the</w:t>
      </w:r>
      <w:r>
        <w:t xml:space="preserve"> </w:t>
      </w:r>
      <w:r>
        <w:t xml:space="preserve">same 30 noise realisations. Besides parameter displacement, the resulting risk fields were</w:t>
      </w:r>
      <w:r>
        <w:t xml:space="preserve"> </w:t>
      </w:r>
      <w:r>
        <w:t xml:space="preserve">compared under both the duration-based</w:t>
      </w:r>
      <w:r>
        <w:t xml:space="preserve"> </w:t>
      </w:r>
      <m:oMath>
        <m:acc>
          <m:accPr>
            <m:chr m:val="‾"/>
          </m:accPr>
          <m:e>
            <m:r>
              <m:t>P</m:t>
            </m:r>
          </m:e>
        </m:acc>
        <m:r>
          <m:rPr>
            <m:sty m:val="p"/>
          </m:rPr>
          <m:t>=</m:t>
        </m:r>
        <m:r>
          <m:t>E</m:t>
        </m:r>
        <m:r>
          <m:rPr>
            <m:sty m:val="p"/>
          </m:rPr>
          <m:t>[</m:t>
        </m:r>
        <m:r>
          <m:t>D</m:t>
        </m:r>
        <m:r>
          <m:rPr>
            <m:sty m:val="p"/>
          </m:rPr>
          <m:t>]</m:t>
        </m:r>
        <m:r>
          <m:rPr>
            <m:sty m:val="p"/>
          </m:rPr>
          <m:t>/</m:t>
        </m:r>
        <m:r>
          <m:t>48</m:t>
        </m:r>
      </m:oMath>
      <w:r>
        <w:t xml:space="preserve"> </w:t>
      </w:r>
      <w:r>
        <w:t xml:space="preserve">and the cumulative-deficit</w:t>
      </w:r>
      <w:r>
        <w:t xml:space="preserve"> </w:t>
      </w:r>
      <m:oMath>
        <m:r>
          <m:t>E</m:t>
        </m:r>
        <m:r>
          <m:rPr>
            <m:sty m:val="p"/>
          </m:rPr>
          <m:t>[</m:t>
        </m:r>
        <m:r>
          <m:t>A</m:t>
        </m:r>
        <m:r>
          <m:rPr>
            <m:sty m:val="p"/>
          </m:rPr>
          <m:t>]</m:t>
        </m:r>
      </m:oMath>
      <w:r>
        <w:t xml:space="preserve"> </w:t>
      </w:r>
      <w:r>
        <w:t xml:space="preserve">rankings defined in Section 2.8.1.</w:t>
      </w:r>
    </w:p>
    <w:bookmarkEnd w:id="39"/>
    <w:bookmarkEnd w:id="40"/>
    <w:bookmarkStart w:id="44" w:name="structural-heterogeneity-experiments"/>
    <w:p>
      <w:pPr>
        <w:pStyle w:val="Heading2"/>
      </w:pPr>
      <w:r>
        <w:t xml:space="preserve">2.6 Structural heterogeneity experiments</w:t>
      </w:r>
    </w:p>
    <w:p>
      <w:pPr>
        <w:pStyle w:val="FirstParagraph"/>
      </w:pPr>
      <w:r>
        <w:t xml:space="preserve">Headline structural effects use the primary censored likelihood; the length-structured</w:t>
      </w:r>
      <w:r>
        <w:t xml:space="preserve"> </w:t>
      </w:r>
      <w:r>
        <w:t xml:space="preserve">experiment was additionally run with the informal GLUE comparator, to test whether the inference</w:t>
      </w:r>
      <w:r>
        <w:t xml:space="preserve"> </w:t>
      </w:r>
      <w:r>
        <w:t xml:space="preserve">formulation alters the apparent response to structural misspecification.</w:t>
      </w:r>
    </w:p>
    <w:bookmarkStart w:id="41" w:name="symmetric-within-zone-heterogeneity"/>
    <w:p>
      <w:pPr>
        <w:pStyle w:val="Heading3"/>
      </w:pPr>
      <w:r>
        <w:t xml:space="preserve">2.6.1 Symmetric within-zone heterogeneity</w:t>
      </w:r>
    </w:p>
    <w:p>
      <w:pPr>
        <w:pStyle w:val="FirstParagraph"/>
      </w:pPr>
      <w:r>
        <w:t xml:space="preserve">Unstructured heterogeneity was generated as</w:t>
      </w:r>
      <w:r>
        <w:t xml:space="preserve"> </w:t>
      </w:r>
      <m:oMath>
        <m:sSub>
          <m:e>
            <m:r>
              <m:t>k</m:t>
            </m:r>
          </m:e>
          <m:sub>
            <m:r>
              <m:t>w</m:t>
            </m:r>
            <m:r>
              <m:rPr>
                <m:sty m:val="p"/>
              </m:rPr>
              <m:t>,</m:t>
            </m:r>
            <m:r>
              <m:t>p</m:t>
            </m:r>
          </m:sub>
        </m:sSub>
        <m:r>
          <m:rPr>
            <m:sty m:val="p"/>
          </m:rPr>
          <m:t>=</m:t>
        </m:r>
        <m:sSub>
          <m:e>
            <m:acc>
              <m:accPr>
                <m:chr m:val="‾"/>
              </m:accPr>
              <m:e>
                <m:r>
                  <m:t>k</m:t>
                </m:r>
              </m:e>
            </m:acc>
          </m:e>
          <m:sub>
            <m:r>
              <m:t>w</m:t>
            </m:r>
            <m:r>
              <m:rPr>
                <m:sty m:val="p"/>
              </m:rPr>
              <m:t>,</m:t>
            </m:r>
            <m:r>
              <m:t>z</m:t>
            </m:r>
          </m:sub>
        </m:sSub>
        <m:r>
          <m:rPr>
            <m:sty m:val="p"/>
          </m:rPr>
          <m:t>(</m:t>
        </m:r>
        <m:r>
          <m:t>1</m:t>
        </m:r>
        <m:r>
          <m:rPr>
            <m:sty m:val="p"/>
          </m:rPr>
          <m:t>+</m:t>
        </m:r>
        <m:sSub>
          <m:e>
            <m:r>
              <m:t>δ</m:t>
            </m:r>
          </m:e>
          <m:sub>
            <m:r>
              <m:t>p</m:t>
            </m:r>
          </m:sub>
        </m:sSub>
        <m:r>
          <m:rPr>
            <m:sty m:val="p"/>
          </m:rPr>
          <m:t>)</m:t>
        </m:r>
      </m:oMath>
      <w:r>
        <w:t xml:space="preserve"> </w:t>
      </w:r>
      <w:r>
        <w:t xml:space="preserve">with</w:t>
      </w:r>
      <w:r>
        <w:t xml:space="preserve"> </w:t>
      </w:r>
      <m:oMath>
        <m:sSub>
          <m:e>
            <m:r>
              <m:t>δ</m:t>
            </m:r>
          </m:e>
          <m:sub>
            <m:r>
              <m:t>p</m:t>
            </m:r>
          </m:sub>
        </m:sSub>
        <m:r>
          <m:rPr>
            <m:sty m:val="p"/>
          </m:rPr>
          <m:t>∼</m:t>
        </m:r>
        <m:r>
          <m:t>U</m:t>
        </m:r>
        <m:r>
          <m:rPr>
            <m:sty m:val="p"/>
          </m:rPr>
          <m:t>(</m:t>
        </m:r>
        <m:r>
          <m:rPr>
            <m:sty m:val="p"/>
          </m:rPr>
          <m:t>−</m:t>
        </m:r>
        <m:r>
          <m:t>J</m:t>
        </m:r>
        <m:r>
          <m:rPr>
            <m:sty m:val="p"/>
          </m:rPr>
          <m:t>,</m:t>
        </m:r>
        <m:r>
          <m:t>J</m:t>
        </m:r>
        <m:r>
          <m:rPr>
            <m:sty m:val="p"/>
          </m:rPr>
          <m:t>)</m:t>
        </m:r>
      </m:oMath>
      <w:r>
        <w:t xml:space="preserve"> </w:t>
      </w:r>
      <w:r>
        <w:t xml:space="preserve">and</w:t>
      </w:r>
      <w:r>
        <w:t xml:space="preserve"> </w:t>
      </w:r>
      <m:oMath>
        <m:r>
          <m:t>J</m:t>
        </m:r>
        <m:r>
          <m:rPr>
            <m:sty m:val="p"/>
          </m:rPr>
          <m:t>=</m:t>
        </m:r>
        <m:r>
          <m:t>0</m:t>
        </m:r>
      </m:oMath>
      <w:r>
        <w:t xml:space="preserve">, 0.20, 0.35 or 0.50. The perturbation distribution is symmetric about</w:t>
      </w:r>
      <w:r>
        <w:t xml:space="preserve"> </w:t>
      </w:r>
      <w:r>
        <w:t xml:space="preserve">the nominal zone coefficient, but a finite random field need not have exactly zero sample mean,</w:t>
      </w:r>
      <w:r>
        <w:t xml:space="preserve"> </w:t>
      </w:r>
      <w:r>
        <w:t xml:space="preserve">so coefficient error is evaluated against each realised field’s own arithmetic zone mean rather</w:t>
      </w:r>
      <w:r>
        <w:t xml:space="preserve"> </w:t>
      </w:r>
      <w:r>
        <w:t xml:space="preserve">than the nominal value.</w:t>
      </w:r>
    </w:p>
    <w:p>
      <w:pPr>
        <w:pStyle w:val="BodyText"/>
      </w:pPr>
      <w:r>
        <w:t xml:space="preserve">The zero-jitter arm is a homogeneous paired control. The same underlying random variates and the</w:t>
      </w:r>
      <w:r>
        <w:t xml:space="preserve"> </w:t>
      </w:r>
      <w:r>
        <w:t xml:space="preserve">same noise realisation were reused across the magnitude sweep, so differences between arms</w:t>
      </w:r>
      <w:r>
        <w:t xml:space="preserve"> </w:t>
      </w:r>
      <w:r>
        <w:t xml:space="preserve">reflect heterogeneity magnitude rather than a different spatial arrangement or noise draw.</w:t>
      </w:r>
      <w:r>
        <w:t xml:space="preserve"> </w:t>
      </w:r>
      <w:r>
        <w:t xml:space="preserve">Because one spatial realisation cannot establish a systematic effect, the</w:t>
      </w:r>
      <w:r>
        <w:t xml:space="preserve"> </w:t>
      </w:r>
      <m:oMath>
        <m:r>
          <m:t>J</m:t>
        </m:r>
        <m:r>
          <m:rPr>
            <m:sty m:val="p"/>
          </m:rPr>
          <m:t>=</m:t>
        </m:r>
        <m:r>
          <m:t>0.20</m:t>
        </m:r>
      </m:oMath>
      <w:r>
        <w:t xml:space="preserve"> </w:t>
      </w:r>
      <w:r>
        <w:t xml:space="preserve">case was</w:t>
      </w:r>
      <w:r>
        <w:t xml:space="preserve"> </w:t>
      </w:r>
      <w:r>
        <w:t xml:space="preserve">repeated over 25 independently generated pipe-level fields with the noise realisation held</w:t>
      </w:r>
      <w:r>
        <w:t xml:space="preserve"> </w:t>
      </w:r>
      <w:r>
        <w:t xml:space="preserve">fixed, so that the resulting between-field scatter isolates sensitivity to the arrangement</w:t>
      </w:r>
      <w:r>
        <w:t xml:space="preserve"> </w:t>
      </w:r>
      <w:r>
        <w:t xml:space="preserve">itself.</w:t>
      </w:r>
    </w:p>
    <w:bookmarkEnd w:id="41"/>
    <w:bookmarkStart w:id="42" w:name="Xc770ed18be51e4d709ad6e0d514ce9a99225075"/>
    <w:p>
      <w:pPr>
        <w:pStyle w:val="Heading3"/>
      </w:pPr>
      <w:r>
        <w:t xml:space="preserve">2.6.2 Length-structured within-zone heterogeneity</w:t>
      </w:r>
    </w:p>
    <w:p>
      <w:pPr>
        <w:pStyle w:val="FirstParagraph"/>
      </w:pPr>
      <w:r>
        <w:t xml:space="preserve">The second experiment introduced deterministic structure while keeping the same three zones.</w:t>
      </w:r>
      <w:r>
        <w:t xml:space="preserve"> </w:t>
      </w:r>
      <w:r>
        <w:t xml:space="preserve">Within each zone, pipes were ranked by length and given a centred rank score</w:t>
      </w:r>
      <w:r>
        <w:t xml:space="preserve"> </w:t>
      </w:r>
      <m:oMath>
        <m:sSub>
          <m:e>
            <m:r>
              <m:t>s</m:t>
            </m:r>
          </m:e>
          <m:sub>
            <m:r>
              <m:t>p</m:t>
            </m:r>
          </m:sub>
        </m:sSub>
        <m:r>
          <m:rPr>
            <m:sty m:val="p"/>
          </m:rPr>
          <m:t>∈</m:t>
        </m:r>
        <m:r>
          <m:rPr>
            <m:sty m:val="p"/>
          </m:rPr>
          <m:t>[</m:t>
        </m:r>
        <m:r>
          <m:rPr>
            <m:sty m:val="p"/>
          </m:rPr>
          <m:t>−</m:t>
        </m:r>
        <m:r>
          <m:t>1</m:t>
        </m:r>
        <m:r>
          <m:rPr>
            <m:sty m:val="p"/>
          </m:rPr>
          <m:t>,</m:t>
        </m:r>
        <m:r>
          <m:t>1</m:t>
        </m:r>
        <m:r>
          <m:rPr>
            <m:sty m:val="p"/>
          </m:rPr>
          <m:t>]</m:t>
        </m:r>
      </m:oMath>
      <w:r>
        <w:t xml:space="preserve"> </w:t>
      </w:r>
      <w:r>
        <w:t xml:space="preserve">rising from the shortest to the longest pipe and having zero mean, and the pipe coefficient was</w:t>
      </w:r>
      <w:r>
        <w:t xml:space="preserve"> </w:t>
      </w:r>
      <w:r>
        <w:t xml:space="preserve">set to</w:t>
      </w:r>
    </w:p>
    <w:p>
      <w:pPr>
        <w:pStyle w:val="BodyText"/>
      </w:pPr>
      <m:oMathPara>
        <m:oMathParaPr>
          <m:jc m:val="center"/>
        </m:oMathParaPr>
        <m:oMath>
          <m:sSub>
            <m:e>
              <m:r>
                <m:t>k</m:t>
              </m:r>
            </m:e>
            <m:sub>
              <m:r>
                <m:t>w</m:t>
              </m:r>
              <m:r>
                <m:rPr>
                  <m:sty m:val="p"/>
                </m:rPr>
                <m:t>,</m:t>
              </m:r>
              <m:r>
                <m:t>p</m:t>
              </m:r>
            </m:sub>
          </m:sSub>
          <m:r>
            <m:rPr>
              <m:sty m:val="p"/>
            </m:rPr>
            <m:t>=</m:t>
          </m:r>
          <m:sSub>
            <m:e>
              <m:acc>
                <m:accPr>
                  <m:chr m:val="‾"/>
                </m:accPr>
                <m:e>
                  <m:r>
                    <m:t>k</m:t>
                  </m:r>
                </m:e>
              </m:acc>
            </m:e>
            <m:sub>
              <m:r>
                <m:t>w</m:t>
              </m:r>
              <m:r>
                <m:rPr>
                  <m:sty m:val="p"/>
                </m:rPr>
                <m:t>,</m:t>
              </m:r>
              <m:r>
                <m:t>z</m:t>
              </m:r>
            </m:sub>
          </m:sSub>
          <m:d>
            <m:dPr>
              <m:begChr m:val="("/>
              <m:sepChr m:val=""/>
              <m:endChr m:val=")"/>
              <m:grow/>
            </m:dPr>
            <m:e>
              <m:r>
                <m:t>1</m:t>
              </m:r>
              <m:r>
                <m:rPr>
                  <m:sty m:val="p"/>
                </m:rPr>
                <m:t>+</m:t>
              </m:r>
              <m:r>
                <m:t>λ</m:t>
              </m:r>
              <m:sSub>
                <m:e>
                  <m:r>
                    <m:t>s</m:t>
                  </m:r>
                </m:e>
                <m:sub>
                  <m:r>
                    <m:t>p</m:t>
                  </m:r>
                </m:sub>
              </m:sSub>
            </m:e>
          </m:d>
          <m:r>
            <m:rPr>
              <m:sty m:val="p"/>
            </m:rPr>
            <m:t>.</m:t>
          </m:r>
        </m:oMath>
      </m:oMathPara>
    </w:p>
    <w:p>
      <w:pPr>
        <w:pStyle w:val="FirstParagraph"/>
      </w:pPr>
      <w:r>
        <w:t xml:space="preserve">Since</w:t>
      </w:r>
      <w:r>
        <w:t xml:space="preserve"> </w:t>
      </w:r>
      <m:oMath>
        <m:sSub>
          <m:e>
            <m:acc>
              <m:accPr>
                <m:chr m:val="‾"/>
              </m:accPr>
              <m:e>
                <m:r>
                  <m:t>k</m:t>
                </m:r>
              </m:e>
            </m:acc>
          </m:e>
          <m:sub>
            <m:r>
              <m:t>w</m:t>
            </m:r>
            <m:r>
              <m:rPr>
                <m:sty m:val="p"/>
              </m:rPr>
              <m:t>,</m:t>
            </m:r>
            <m:r>
              <m:t>z</m:t>
            </m:r>
          </m:sub>
        </m:sSub>
        <m:r>
          <m:rPr>
            <m:sty m:val="p"/>
          </m:rPr>
          <m:t>&lt;</m:t>
        </m:r>
        <m:r>
          <m:t>0</m:t>
        </m:r>
      </m:oMath>
      <w:r>
        <w:t xml:space="preserve">, a larger</w:t>
      </w:r>
      <w:r>
        <w:t xml:space="preserve"> </w:t>
      </w:r>
      <m:oMath>
        <m:sSub>
          <m:e>
            <m:r>
              <m:t>s</m:t>
            </m:r>
          </m:e>
          <m:sub>
            <m:r>
              <m:t>p</m:t>
            </m:r>
          </m:sub>
        </m:sSub>
      </m:oMath>
      <w:r>
        <w:t xml:space="preserve"> </w:t>
      </w:r>
      <w:r>
        <w:t xml:space="preserve">makes the coefficient more negative, so longer pipes</w:t>
      </w:r>
      <w:r>
        <w:t xml:space="preserve"> </w:t>
      </w:r>
      <w:r>
        <w:t xml:space="preserve">decay more strongly. The zero mean of</w:t>
      </w:r>
      <w:r>
        <w:t xml:space="preserve"> </w:t>
      </w:r>
      <m:oMath>
        <m:sSub>
          <m:e>
            <m:r>
              <m:t>s</m:t>
            </m:r>
          </m:e>
          <m:sub>
            <m:r>
              <m:t>p</m:t>
            </m:r>
          </m:sub>
        </m:sSub>
      </m:oMath>
      <w:r>
        <w:t xml:space="preserve"> </w:t>
      </w:r>
      <w:r>
        <w:t xml:space="preserve">holds each zone’s arithmetic coefficient exactly at</w:t>
      </w:r>
      <w:r>
        <w:t xml:space="preserve"> </w:t>
      </w:r>
      <m:oMath>
        <m:sSub>
          <m:e>
            <m:acc>
              <m:accPr>
                <m:chr m:val="‾"/>
              </m:accPr>
              <m:e>
                <m:r>
                  <m:t>k</m:t>
                </m:r>
              </m:e>
            </m:acc>
          </m:e>
          <m:sub>
            <m:r>
              <m:t>w</m:t>
            </m:r>
            <m:r>
              <m:rPr>
                <m:sty m:val="p"/>
              </m:rPr>
              <m:t>,</m:t>
            </m:r>
            <m:r>
              <m:t>z</m:t>
            </m:r>
          </m:sub>
        </m:sSub>
      </m:oMath>
      <w:r>
        <w:t xml:space="preserve"> </w:t>
      </w:r>
      <w:r>
        <w:t xml:space="preserve">while its length-weighted mean shifts towards stronger decay, which is what</w:t>
      </w:r>
      <w:r>
        <w:t xml:space="preserve"> </w:t>
      </w:r>
      <w:r>
        <w:t xml:space="preserve">makes the two candidate targets distinguishable.</w:t>
      </w:r>
    </w:p>
    <w:p>
      <w:pPr>
        <w:pStyle w:val="BodyText"/>
      </w:pPr>
      <w:r>
        <w:t xml:space="preserve">The length-structure amplitude was varied over</w:t>
      </w:r>
      <w:r>
        <w:t xml:space="preserve"> </w:t>
      </w:r>
      <m:oMath>
        <m:r>
          <m:t>λ</m:t>
        </m:r>
        <m:r>
          <m:rPr>
            <m:sty m:val="p"/>
          </m:rPr>
          <m:t>=</m:t>
        </m:r>
        <m:r>
          <m:t>0</m:t>
        </m:r>
      </m:oMath>
      <w:r>
        <w:t xml:space="preserve">, 0.25, 0.50 and 0.75.</w:t>
      </w:r>
      <w:r>
        <w:t xml:space="preserve"> </w:t>
      </w:r>
      <m:oMath>
        <m:r>
          <m:t>λ</m:t>
        </m:r>
      </m:oMath>
      <w:r>
        <w:rPr>
          <w:b/>
          <w:bCs/>
        </w:rPr>
        <w:t xml:space="preserve"> </w:t>
      </w:r>
      <w:r>
        <w:rPr>
          <w:b/>
          <w:bCs/>
        </w:rPr>
        <w:t xml:space="preserve">is a modulation amplitude, not a Pearson or Spearman correlation coefficient</w:t>
      </w:r>
      <w:r>
        <w:t xml:space="preserve">: the length</w:t>
      </w:r>
      <w:r>
        <w:t xml:space="preserve"> </w:t>
      </w:r>
      <w:r>
        <w:t xml:space="preserve">ranking and the coefficient ranking are perfectly monotone for any</w:t>
      </w:r>
      <w:r>
        <w:t xml:space="preserve"> </w:t>
      </w:r>
      <m:oMath>
        <m:r>
          <m:t>λ</m:t>
        </m:r>
        <m:r>
          <m:rPr>
            <m:sty m:val="p"/>
          </m:rPr>
          <m:t>&gt;</m:t>
        </m:r>
        <m:r>
          <m:t>0</m:t>
        </m:r>
      </m:oMath>
      <w:r>
        <w:t xml:space="preserve">, and</w:t>
      </w:r>
      <w:r>
        <w:t xml:space="preserve"> </w:t>
      </w:r>
      <m:oMath>
        <m:r>
          <m:t>λ</m:t>
        </m:r>
      </m:oMath>
      <w:r>
        <w:t xml:space="preserve"> </w:t>
      </w:r>
      <w:r>
        <w:t xml:space="preserve">sets only how far the coefficients spread about the zone mean. At</w:t>
      </w:r>
      <w:r>
        <w:t xml:space="preserve"> </w:t>
      </w:r>
      <m:oMath>
        <m:r>
          <m:t>λ</m:t>
        </m:r>
        <m:r>
          <m:rPr>
            <m:sty m:val="p"/>
          </m:rPr>
          <m:t>=</m:t>
        </m:r>
        <m:r>
          <m:t>0</m:t>
        </m:r>
      </m:oMath>
      <w:r>
        <w:t xml:space="preserve"> </w:t>
      </w:r>
      <w:r>
        <w:t xml:space="preserve">the truth is</w:t>
      </w:r>
      <w:r>
        <w:t xml:space="preserve"> </w:t>
      </w:r>
      <w:r>
        <w:t xml:space="preserve">homogeneous and the two target means coincide. Each non-zero amplitude used 30 independent noise</w:t>
      </w:r>
      <w:r>
        <w:t xml:space="preserve"> </w:t>
      </w:r>
      <w:r>
        <w:t xml:space="preserve">realisations. Only the truth is heterogeneous; calibration retains the three-zone homogeneous</w:t>
      </w:r>
      <w:r>
        <w:t xml:space="preserve"> </w:t>
      </w:r>
      <w:r>
        <w:t xml:space="preserve">model with one fitted coefficient per zone.</w:t>
      </w:r>
    </w:p>
    <w:bookmarkEnd w:id="42"/>
    <w:bookmarkStart w:id="43" w:name="structural-effect-metrics"/>
    <w:p>
      <w:pPr>
        <w:pStyle w:val="Heading3"/>
      </w:pPr>
      <w:r>
        <w:t xml:space="preserve">2.6.3 Structural-effect metrics</w:t>
      </w:r>
    </w:p>
    <w:p>
      <w:pPr>
        <w:pStyle w:val="FirstParagraph"/>
      </w:pPr>
      <w:r>
        <w:t xml:space="preserve">Structural effects were summarised by the four quantities Table 2 defines, because they answer</w:t>
      </w:r>
      <w:r>
        <w:t xml:space="preserve"> </w:t>
      </w:r>
      <w:r>
        <w:t xml:space="preserve">different questions. Raw bias measures the fitted coefficient against the realised arithmetic zone</w:t>
      </w:r>
      <w:r>
        <w:t xml:space="preserve"> </w:t>
      </w:r>
      <w:r>
        <w:t xml:space="preserve">mean. The paired structural increment removes the offset the same rule produces on a homogeneous</w:t>
      </w:r>
      <w:r>
        <w:t xml:space="preserve"> </w:t>
      </w:r>
      <w:r>
        <w:t xml:space="preserve">truth under the same noise, and the standardised displacement puts that paired shift on the scale</w:t>
      </w:r>
      <w:r>
        <w:t xml:space="preserve"> </w:t>
      </w:r>
      <w:r>
        <w:t xml:space="preserve">of Section 2.5 using the repeated-baseline denominator. The displacement fraction locates the fit</w:t>
      </w:r>
      <w:r>
        <w:t xml:space="preserve"> </w:t>
      </w:r>
      <w:r>
        <w:t xml:space="preserve">between the arithmetic and length-weighted references, reported</w:t>
      </w:r>
      <w:r>
        <w:t xml:space="preserve"> </w:t>
      </w:r>
      <w:r>
        <w:rPr>
          <w:b/>
          <w:bCs/>
        </w:rPr>
        <w:t xml:space="preserve">raw rather than</w:t>
      </w:r>
      <w:r>
        <w:rPr>
          <w:b/>
          <w:bCs/>
        </w:rPr>
        <w:t xml:space="preserve"> </w:t>
      </w:r>
      <w:r>
        <w:rPr>
          <w:b/>
          <w:bCs/>
        </w:rPr>
        <w:t xml:space="preserve">control-adjusted</w:t>
      </w:r>
      <w:r>
        <w:t xml:space="preserve">. Full definitions and per-design results are in Appendix E.</w:t>
      </w:r>
    </w:p>
    <w:bookmarkEnd w:id="43"/>
    <w:bookmarkEnd w:id="44"/>
    <w:bookmarkStart w:id="45" w:name="internal-prediction-validation"/>
    <w:p>
      <w:pPr>
        <w:pStyle w:val="Heading2"/>
      </w:pPr>
      <w:r>
        <w:t xml:space="preserve">2.7 Internal prediction validation</w:t>
      </w:r>
    </w:p>
    <w:p>
      <w:pPr>
        <w:pStyle w:val="FirstParagraph"/>
      </w:pPr>
      <w:r>
        <w:t xml:space="preserve">Four complementary validation designs were used to separate predictive performance from</w:t>
      </w:r>
      <w:r>
        <w:t xml:space="preserve"> </w:t>
      </w:r>
      <w:r>
        <w:t xml:space="preserve">parameter identification. Leave-one-monitor-out withheld each of the six monitors in turn while</w:t>
      </w:r>
      <w:r>
        <w:t xml:space="preserve"> </w:t>
      </w:r>
      <w:r>
        <w:t xml:space="preserve">retaining the second monitor of that zone; leave-one-zone-out withheld both monitors of a zone,</w:t>
      </w:r>
      <w:r>
        <w:t xml:space="preserve"> </w:t>
      </w:r>
      <w:r>
        <w:t xml:space="preserve">removing all direct observation of it. Both were repeated over 30 independent noise</w:t>
      </w:r>
      <w:r>
        <w:t xml:space="preserve"> </w:t>
      </w:r>
      <w:r>
        <w:t xml:space="preserve">realisations.</w:t>
      </w:r>
    </w:p>
    <w:p>
      <w:pPr>
        <w:pStyle w:val="BodyText"/>
      </w:pPr>
      <w:r>
        <w:t xml:space="preserve">The two designs predict a</w:t>
      </w:r>
      <w:r>
        <w:t xml:space="preserve"> </w:t>
      </w:r>
      <w:r>
        <w:rPr>
          <w:i/>
          <w:iCs/>
        </w:rPr>
        <w:t xml:space="preserve">noisy</w:t>
      </w:r>
      <w:r>
        <w:t xml:space="preserve"> </w:t>
      </w:r>
      <w:r>
        <w:t xml:space="preserve">held-out observation, so their 90% predictive intervals</w:t>
      </w:r>
      <w:r>
        <w:t xml:space="preserve"> </w:t>
      </w:r>
      <w:r>
        <w:t xml:space="preserve">combine ensemble and observation variance,</w:t>
      </w:r>
      <w:r>
        <w:t xml:space="preserve"> </w:t>
      </w:r>
      <m:oMath>
        <m:acc>
          <m:accPr>
            <m:chr m:val="̂"/>
          </m:accPr>
          <m:e>
            <m:r>
              <m:t>C</m:t>
            </m:r>
          </m:e>
        </m:acc>
        <m:r>
          <m:rPr>
            <m:sty m:val="p"/>
          </m:rPr>
          <m:t>±</m:t>
        </m:r>
        <m:r>
          <m:t>1.645</m:t>
        </m:r>
        <m:rad>
          <m:radPr>
            <m:degHide m:val="on"/>
          </m:radPr>
          <m:deg/>
          <m:e>
            <m:sSub>
              <m:e>
                <m:r>
                  <m:rPr>
                    <m:sty m:val="p"/>
                  </m:rPr>
                  <m:t>Var</m:t>
                </m:r>
              </m:e>
              <m:sub>
                <m:r>
                  <m:t>w</m:t>
                </m:r>
              </m:sub>
            </m:sSub>
            <m:r>
              <m:rPr>
                <m:sty m:val="p"/>
              </m:rPr>
              <m:t>[</m:t>
            </m:r>
            <m:r>
              <m:t>C</m:t>
            </m:r>
            <m:r>
              <m:rPr>
                <m:sty m:val="p"/>
              </m:rPr>
              <m:t>]</m:t>
            </m:r>
            <m:r>
              <m:rPr>
                <m:sty m:val="p"/>
              </m:rPr>
              <m:t>+</m:t>
            </m:r>
            <m:sSup>
              <m:e>
                <m:r>
                  <m:t>σ</m:t>
                </m:r>
              </m:e>
              <m:sup>
                <m:r>
                  <m:t>2</m:t>
                </m:r>
              </m:sup>
            </m:sSup>
          </m:e>
        </m:rad>
      </m:oMath>
      <w:r>
        <w:t xml:space="preserve">. They report held-out RMSE and</w:t>
      </w:r>
      <w:r>
        <w:t xml:space="preserve"> </w:t>
      </w:r>
      <w:r>
        <w:t xml:space="preserve">empirical coverage; leave-one-zone-out additionally reports the withheld zone’s coefficient</w:t>
      </w:r>
      <w:r>
        <w:t xml:space="preserve"> </w:t>
      </w:r>
      <w:r>
        <w:t xml:space="preserve">error and SD retained.</w:t>
      </w:r>
    </w:p>
    <w:p>
      <w:pPr>
        <w:pStyle w:val="BodyText"/>
      </w:pPr>
      <w:r>
        <w:t xml:space="preserve">A separate spatial validation calibrated on all six monitors and predicted at 20 junctions that</w:t>
      </w:r>
      <w:r>
        <w:t xml:space="preserve"> </w:t>
      </w:r>
      <w:r>
        <w:t xml:space="preserve">never entered any calibration, scored against the</w:t>
      </w:r>
      <w:r>
        <w:t xml:space="preserve"> </w:t>
      </w:r>
      <w:r>
        <w:rPr>
          <w:i/>
          <w:iCs/>
        </w:rPr>
        <w:t xml:space="preserve">noise-free</w:t>
      </w:r>
      <w:r>
        <w:t xml:space="preserve"> </w:t>
      </w:r>
      <w:r>
        <w:t xml:space="preserve">truth and summarised by coverage and by the normalised mean absolute error,</w:t>
      </w:r>
      <w:r>
        <w:t xml:space="preserve"> </w:t>
      </w:r>
      <m:oMath>
        <m:r>
          <m:rPr>
            <m:sty m:val="p"/>
          </m:rPr>
          <m:t>N</m:t>
        </m:r>
        <m:r>
          <m:rPr>
            <m:sty m:val="p"/>
          </m:rPr>
          <m:t>M</m:t>
        </m:r>
        <m:r>
          <m:rPr>
            <m:sty m:val="p"/>
          </m:rPr>
          <m:t>A</m:t>
        </m:r>
        <m:r>
          <m:rPr>
            <m:sty m:val="p"/>
          </m:rPr>
          <m:t>E</m:t>
        </m:r>
        <m:r>
          <m:rPr>
            <m:sty m:val="p"/>
          </m:rPr>
          <m:t>=</m:t>
        </m:r>
        <m:nary>
          <m:naryPr>
            <m:chr m:val="∑"/>
            <m:limLoc m:val="undOvr"/>
            <m:subHide m:val="off"/>
            <m:supHide m:val="on"/>
          </m:naryPr>
          <m:sub>
            <m:r>
              <m:t>t</m:t>
            </m:r>
          </m:sub>
          <m:sup>
            <m:r>
              <m:t/>
            </m:r>
          </m:sup>
          <m:e>
            <m:r>
              <m:rPr>
                <m:sty m:val="p"/>
              </m:rPr>
              <m:t>|</m:t>
            </m:r>
          </m:e>
        </m:nary>
        <m:sSub>
          <m:e>
            <m:acc>
              <m:accPr>
                <m:chr m:val="̂"/>
              </m:accPr>
              <m:e>
                <m:r>
                  <m:t>C</m:t>
                </m:r>
              </m:e>
            </m:acc>
          </m:e>
          <m:sub>
            <m:r>
              <m:t>t</m:t>
            </m:r>
          </m:sub>
        </m:sSub>
        <m:r>
          <m:rPr>
            <m:sty m:val="p"/>
          </m:rPr>
          <m:t>−</m:t>
        </m:r>
        <m:sSub>
          <m:e>
            <m:r>
              <m:t>C</m:t>
            </m:r>
          </m:e>
          <m:sub>
            <m:r>
              <m:t>t</m:t>
            </m:r>
          </m:sub>
        </m:sSub>
        <m:r>
          <m:rPr>
            <m:sty m:val="p"/>
          </m:rPr>
          <m:t>|</m:t>
        </m:r>
        <m:r>
          <m:rPr>
            <m:sty m:val="p"/>
          </m:rPr>
          <m:t>/</m:t>
        </m:r>
        <m:nary>
          <m:naryPr>
            <m:chr m:val="∑"/>
            <m:limLoc m:val="undOvr"/>
            <m:subHide m:val="off"/>
            <m:supHide m:val="on"/>
          </m:naryPr>
          <m:sub>
            <m:r>
              <m:t>t</m:t>
            </m:r>
          </m:sub>
          <m:sup>
            <m:r>
              <m:t/>
            </m:r>
          </m:sup>
          <m:e>
            <m:r>
              <m:rPr>
                <m:sty m:val="p"/>
              </m:rPr>
              <m:t>|</m:t>
            </m:r>
          </m:e>
        </m:nary>
        <m:sSub>
          <m:e>
            <m:r>
              <m:t>C</m:t>
            </m:r>
          </m:e>
          <m:sub>
            <m:r>
              <m:t>t</m:t>
            </m:r>
          </m:sub>
        </m:sSub>
        <m:r>
          <m:rPr>
            <m:sty m:val="p"/>
          </m:rPr>
          <m:t>|</m:t>
        </m:r>
      </m:oMath>
      <w:r>
        <w:t xml:space="preserve">, evaluated per junction over the assessment window. This normalises by the mean of the truth rather than averaging pointwise ratios, which would be unstable where the true concentration approaches zero. Its bands therefore carry ensemble parameter uncertainty only, without the</w:t>
      </w:r>
      <w:r>
        <w:t xml:space="preserve"> </w:t>
      </w:r>
      <m:oMath>
        <m:sSup>
          <m:e>
            <m:r>
              <m:t>σ</m:t>
            </m:r>
          </m:e>
          <m:sup>
            <m:r>
              <m:t>2</m:t>
            </m:r>
          </m:sup>
        </m:sSup>
      </m:oMath>
      <w:r>
        <w:t xml:space="preserve"> </w:t>
      </w:r>
      <w:r>
        <w:t xml:space="preserve">term. Finally, leave-one-zone-out was repeated under ±20%</w:t>
      </w:r>
      <w:r>
        <w:t xml:space="preserve"> </w:t>
      </w:r>
      <w:r>
        <w:t xml:space="preserve">within-zone heterogeneity across eight independently generated fields, each with its own noise</w:t>
      </w:r>
      <w:r>
        <w:t xml:space="preserve"> </w:t>
      </w:r>
      <w:r>
        <w:t xml:space="preserve">draw, with coefficient error measured against that field’s own arithmetic zone mean.</w:t>
      </w:r>
    </w:p>
    <w:bookmarkEnd w:id="45"/>
    <w:bookmarkStart w:id="50" w:name="operational-risk-assessment"/>
    <w:p>
      <w:pPr>
        <w:pStyle w:val="Heading2"/>
      </w:pPr>
      <w:r>
        <w:t xml:space="preserve">2.8 Operational risk assessment</w:t>
      </w:r>
    </w:p>
    <w:bookmarkStart w:id="46" w:name="low-chlorine-metrics"/>
    <w:p>
      <w:pPr>
        <w:pStyle w:val="Heading3"/>
      </w:pPr>
      <w:r>
        <w:t xml:space="preserve">2.8.1 Low-chlorine metrics</w:t>
      </w:r>
    </w:p>
    <w:p>
      <w:pPr>
        <w:pStyle w:val="FirstParagraph"/>
      </w:pPr>
      <w:r>
        <w:t xml:space="preserve">The likelihood-weighted ensemble was propagated to all 92 junctions and evaluated against</w:t>
      </w:r>
      <w:r>
        <w:t xml:space="preserve"> </w:t>
      </w:r>
      <m:oMath>
        <m:sSub>
          <m:e>
            <m:r>
              <m:t>C</m:t>
            </m:r>
          </m:e>
          <m:sub>
            <m:r>
              <m:rPr>
                <m:sty m:val="p"/>
              </m:rPr>
              <m:t>c</m:t>
            </m:r>
            <m:r>
              <m:rPr>
                <m:sty m:val="p"/>
              </m:rPr>
              <m:t>r</m:t>
            </m:r>
            <m:r>
              <m:rPr>
                <m:sty m:val="p"/>
              </m:rPr>
              <m:t>i</m:t>
            </m:r>
            <m:r>
              <m:rPr>
                <m:sty m:val="p"/>
              </m:rPr>
              <m:t>t</m:t>
            </m:r>
          </m:sub>
        </m:sSub>
        <m:r>
          <m:rPr>
            <m:sty m:val="p"/>
          </m:rPr>
          <m:t>=</m:t>
        </m:r>
        <m:r>
          <m:t>0.2</m:t>
        </m:r>
      </m:oMath>
      <w:r>
        <w:t xml:space="preserve"> </w:t>
      </w:r>
      <w:r>
        <w:t xml:space="preserve">mg L</w:t>
      </w:r>
      <w:r>
        <w:rPr>
          <w:vertAlign w:val="superscript"/>
        </w:rPr>
        <w:t xml:space="preserve">-1</w:t>
      </w:r>
      <w:r>
        <w:t xml:space="preserve">, a representative operational threshold adopted for this</w:t>
      </w:r>
      <w:r>
        <w:t xml:space="preserve"> </w:t>
      </w:r>
      <w:r>
        <w:t xml:space="preserve">study rather than a regulatory limit. Five member-level quantities and their weighted summaries</w:t>
      </w:r>
      <w:r>
        <w:t xml:space="preserve"> </w:t>
      </w:r>
      <w:r>
        <w:t xml:space="preserve">are defined in Table 2. They are kept distinct because a window-breach probability, a</w:t>
      </w:r>
      <w:r>
        <w:t xml:space="preserve"> </w:t>
      </w:r>
      <w:r>
        <w:t xml:space="preserve">time-averaged breach probability, an expected duration, a cumulative deficit and a window</w:t>
      </w:r>
      <w:r>
        <w:t xml:space="preserve"> </w:t>
      </w:r>
      <w:r>
        <w:t xml:space="preserve">minimum describe different aspects of low-chlorine behaviour: the first records only whether a</w:t>
      </w:r>
      <w:r>
        <w:t xml:space="preserve"> </w:t>
      </w:r>
      <w:r>
        <w:t xml:space="preserve">threshold was crossed, whereas the deficit combines how long and how far. Duration and deficit</w:t>
      </w:r>
      <w:r>
        <w:t xml:space="preserve"> </w:t>
      </w:r>
      <w:r>
        <w:t xml:space="preserve">were integrated by trapezoid over the 48 one-hour intervals, and the per-member minimum was</w:t>
      </w:r>
      <w:r>
        <w:t xml:space="preserve"> </w:t>
      </w:r>
      <w:r>
        <w:t xml:space="preserve">summarised by weighted means and quantiles rather than reported as a single deterministic value.</w:t>
      </w:r>
      <w:r>
        <w:t xml:space="preserve"> </w:t>
      </w:r>
      <w:r>
        <w:t xml:space="preserve">The weights propagated here are those of the baseline calibration, which was conditioned on one</w:t>
      </w:r>
      <w:r>
        <w:t xml:space="preserve"> </w:t>
      </w:r>
      <w:r>
        <w:t xml:space="preserve">reference observation realisation. Every risk figure quoted below is therefore conditional on</w:t>
      </w:r>
      <w:r>
        <w:t xml:space="preserve"> </w:t>
      </w:r>
      <w:r>
        <w:t xml:space="preserve">that realisation and is not a median over the 30 noise realisations used for the inference</w:t>
      </w:r>
      <w:r>
        <w:t xml:space="preserve"> </w:t>
      </w:r>
      <w:r>
        <w:t xml:space="preserve">diagnostics; observation-noise variability enters the risk results only through the perturbation</w:t>
      </w:r>
      <w:r>
        <w:t xml:space="preserve"> </w:t>
      </w:r>
      <w:r>
        <w:t xml:space="preserve">comparisons of Section 3.6.2.</w:t>
      </w:r>
    </w:p>
    <w:bookmarkEnd w:id="46"/>
    <w:bookmarkStart w:id="47" w:name="water-age-and-demand-weighting"/>
    <w:p>
      <w:pPr>
        <w:pStyle w:val="Heading3"/>
      </w:pPr>
      <w:r>
        <w:t xml:space="preserve">2.8.2 Water age and demand weighting</w:t>
      </w:r>
    </w:p>
    <w:p>
      <w:pPr>
        <w:pStyle w:val="FirstParagraph"/>
      </w:pPr>
      <w:r>
        <w:t xml:space="preserve">Water age was computed over the same window as a reaction-independent diagnostic, and its spatial</w:t>
      </w:r>
      <w:r>
        <w:t xml:space="preserve"> </w:t>
      </w:r>
      <w:r>
        <w:t xml:space="preserve">association with expected duration and cumulative deficit described by Spearman rank correlation.</w:t>
      </w:r>
      <w:r>
        <w:t xml:space="preserve"> </w:t>
      </w:r>
      <w:r>
        <w:t xml:space="preserve">The 92 junctions are not independent samples, so no junction-level p-value is reported; for the duration association a descriptive</w:t>
      </w:r>
      <w:r>
        <w:t xml:space="preserve"> </w:t>
      </w:r>
      <w:r>
        <w:t xml:space="preserve">width was obtained by resampling whole spatial blocks, with the design in Appendix G. Network</w:t>
      </w:r>
      <w:r>
        <w:t xml:space="preserve"> </w:t>
      </w:r>
      <w:r>
        <w:t xml:space="preserve">summaries were reported over all 92 junctions, over the 59 with non-zero demand, and</w:t>
      </w:r>
      <w:r>
        <w:t xml:space="preserve"> </w:t>
      </w:r>
      <w:r>
        <w:t xml:space="preserve">demand-weighted, because the three answer different questions.</w:t>
      </w:r>
    </w:p>
    <w:bookmarkEnd w:id="47"/>
    <w:bookmarkStart w:id="48" w:name="ranking-robustness"/>
    <w:p>
      <w:pPr>
        <w:pStyle w:val="Heading3"/>
      </w:pPr>
      <w:r>
        <w:t xml:space="preserve">2.8.3 Ranking robustness</w:t>
      </w:r>
    </w:p>
    <w:p>
      <w:pPr>
        <w:pStyle w:val="FirstParagraph"/>
      </w:pPr>
      <w:r>
        <w:t xml:space="preserve">Robustness was assessed at two scales that are not interchangeable. The primary network-scale</w:t>
      </w:r>
      <w:r>
        <w:t xml:space="preserve"> </w:t>
      </w:r>
      <w:r>
        <w:t xml:space="preserve">statistic is the Spearman rank correlation between perturbed and reference risk fields across</w:t>
      </w:r>
      <w:r>
        <w:t xml:space="preserve"> </w:t>
      </w:r>
      <w:r>
        <w:t xml:space="preserve">all 92 junctions; the primary shortlist statistic is the top-six Jaccard index (Table 2), six</w:t>
      </w:r>
      <w:r>
        <w:t xml:space="preserve"> </w:t>
      </w:r>
      <w:r>
        <w:t xml:space="preserve">being the common headline size. Kendall correlation and alternative shortlist sizes were</w:t>
      </w:r>
      <w:r>
        <w:t xml:space="preserve"> </w:t>
      </w:r>
      <w:r>
        <w:t xml:space="preserve">retained as supplementary diagnostics where computed. For perturbations repeated over noise</w:t>
      </w:r>
      <w:r>
        <w:t xml:space="preserve"> </w:t>
      </w:r>
      <w:r>
        <w:t xml:space="preserve">realisations, nodewise risk values were first reduced to their median across realisations and</w:t>
      </w:r>
      <w:r>
        <w:t xml:space="preserve"> </w:t>
      </w:r>
      <w:r>
        <w:t xml:space="preserve">the ranking statistics computed from that median field. Both statistics were evaluated</w:t>
      </w:r>
      <w:r>
        <w:t xml:space="preserve"> </w:t>
      </w:r>
      <w:r>
        <w:t xml:space="preserve">separately under the duration-based and deficit-based metrics, since the two need not identify</w:t>
      </w:r>
      <w:r>
        <w:t xml:space="preserve"> </w:t>
      </w:r>
      <w:r>
        <w:t xml:space="preserve">the same leading junctions.</w:t>
      </w:r>
    </w:p>
    <w:bookmarkEnd w:id="48"/>
    <w:bookmarkStart w:id="49" w:name="temperature-ageing-and-dosing-scenarios"/>
    <w:p>
      <w:pPr>
        <w:pStyle w:val="Heading3"/>
      </w:pPr>
      <w:r>
        <w:t xml:space="preserve">2.8.4 Temperature, ageing and dosing scenarios</w:t>
      </w:r>
    </w:p>
    <w:p>
      <w:pPr>
        <w:pStyle w:val="FirstParagraph"/>
      </w:pPr>
      <w:r>
        <w:t xml:space="preserve">The ensemble was propagated through four scenarios using Arrhenius temperature scaling for</w:t>
      </w:r>
      <w:r>
        <w:t xml:space="preserve"> </w:t>
      </w:r>
      <w:r>
        <w:t xml:space="preserve">chlorine decay</w:t>
      </w:r>
      <w:r>
        <w:t xml:space="preserve"> </w:t>
      </w:r>
      <w:r>
        <w:t xml:space="preserve">(Vasconcelos</w:t>
      </w:r>
      <w:r>
        <w:t xml:space="preserve"> </w:t>
      </w:r>
      <w:r>
        <w:rPr>
          <w:i/>
          <w:iCs/>
        </w:rPr>
        <w:t xml:space="preserve">et al.</w:t>
      </w:r>
      <w:r>
        <w:t xml:space="preserve">, 1997; Hua</w:t>
      </w:r>
      <w:r>
        <w:t xml:space="preserve"> </w:t>
      </w:r>
      <w:r>
        <w:rPr>
          <w:i/>
          <w:iCs/>
        </w:rPr>
        <w:t xml:space="preserve">et al.</w:t>
      </w:r>
      <w:r>
        <w:t xml:space="preserve">, 1999; Powell</w:t>
      </w:r>
      <w:r>
        <w:t xml:space="preserve"> </w:t>
      </w:r>
      <w:r>
        <w:rPr>
          <w:i/>
          <w:iCs/>
        </w:rPr>
        <w:t xml:space="preserve">et al.</w:t>
      </w:r>
      <w:r>
        <w:t xml:space="preserve">, 2000)</w:t>
      </w:r>
      <w:r>
        <w:t xml:space="preserve">,</w:t>
      </w:r>
    </w:p>
    <w:p>
      <w:pPr>
        <w:pStyle w:val="BodyText"/>
      </w:pPr>
      <m:oMathPara>
        <m:oMathParaPr>
          <m:jc m:val="center"/>
        </m:oMathParaPr>
        <m:oMath>
          <m:r>
            <m:t>k</m:t>
          </m:r>
          <m:r>
            <m:rPr>
              <m:sty m:val="p"/>
            </m:rPr>
            <m:t>(</m:t>
          </m:r>
          <m:r>
            <m:t>T</m:t>
          </m:r>
          <m:r>
            <m:rPr>
              <m:sty m:val="p"/>
            </m:rPr>
            <m:t>)</m:t>
          </m:r>
          <m:r>
            <m:rPr>
              <m:sty m:val="p"/>
            </m:rPr>
            <m:t>=</m:t>
          </m:r>
          <m:r>
            <m:t>k</m:t>
          </m:r>
          <m:r>
            <m:rPr>
              <m:sty m:val="p"/>
            </m:rPr>
            <m:t>(</m:t>
          </m:r>
          <m:sSub>
            <m:e>
              <m:r>
                <m:t>T</m:t>
              </m:r>
            </m:e>
            <m:sub>
              <m:r>
                <m:rPr>
                  <m:sty m:val="p"/>
                </m:rPr>
                <m:t>r</m:t>
              </m:r>
              <m:r>
                <m:rPr>
                  <m:sty m:val="p"/>
                </m:rPr>
                <m:t>e</m:t>
              </m:r>
              <m:r>
                <m:rPr>
                  <m:sty m:val="p"/>
                </m:rPr>
                <m:t>f</m:t>
              </m:r>
            </m:sub>
          </m:sSub>
          <m:r>
            <m:rPr>
              <m:sty m:val="p"/>
            </m:rPr>
            <m:t>)</m:t>
          </m:r>
          <m:r>
            <m:rPr>
              <m:sty m:val="p"/>
            </m:rPr>
            <m:t>exp</m:t>
          </m:r>
          <m:d>
            <m:dPr>
              <m:begChr m:val="["/>
              <m:sepChr m:val=""/>
              <m:endChr m:val="]"/>
              <m:grow/>
            </m:dPr>
            <m:e>
              <m:r>
                <m:rPr>
                  <m:sty m:val="p"/>
                </m:rPr>
                <m:t>−</m:t>
              </m:r>
              <m:f>
                <m:fPr>
                  <m:type m:val="bar"/>
                </m:fPr>
                <m:num>
                  <m:sSub>
                    <m:e>
                      <m:r>
                        <m:t>E</m:t>
                      </m:r>
                    </m:e>
                    <m:sub>
                      <m:r>
                        <m:t>a</m:t>
                      </m:r>
                    </m:sub>
                  </m:sSub>
                </m:num>
                <m:den>
                  <m:r>
                    <m:t>R</m:t>
                  </m:r>
                </m:den>
              </m:f>
              <m:d>
                <m:dPr>
                  <m:begChr m:val="("/>
                  <m:sepChr m:val=""/>
                  <m:endChr m:val=")"/>
                  <m:grow/>
                </m:dPr>
                <m:e>
                  <m:f>
                    <m:fPr>
                      <m:type m:val="bar"/>
                    </m:fPr>
                    <m:num>
                      <m:r>
                        <m:t>1</m:t>
                      </m:r>
                    </m:num>
                    <m:den>
                      <m:sSub>
                        <m:e>
                          <m:r>
                            <m:t>T</m:t>
                          </m:r>
                        </m:e>
                        <m:sub>
                          <m:r>
                            <m:t>K</m:t>
                          </m:r>
                        </m:sub>
                      </m:sSub>
                    </m:den>
                  </m:f>
                  <m:r>
                    <m:rPr>
                      <m:sty m:val="p"/>
                    </m:rPr>
                    <m:t>−</m:t>
                  </m:r>
                  <m:f>
                    <m:fPr>
                      <m:type m:val="bar"/>
                    </m:fPr>
                    <m:num>
                      <m:r>
                        <m:t>1</m:t>
                      </m:r>
                    </m:num>
                    <m:den>
                      <m:sSub>
                        <m:e>
                          <m:r>
                            <m:t>T</m:t>
                          </m:r>
                        </m:e>
                        <m:sub>
                          <m:r>
                            <m:rPr>
                              <m:sty m:val="p"/>
                            </m:rPr>
                            <m:t>r</m:t>
                          </m:r>
                          <m:r>
                            <m:rPr>
                              <m:sty m:val="p"/>
                            </m:rPr>
                            <m:t>e</m:t>
                          </m:r>
                          <m:r>
                            <m:rPr>
                              <m:sty m:val="p"/>
                            </m:rPr>
                            <m:t>f</m:t>
                          </m:r>
                          <m:r>
                            <m:rPr>
                              <m:sty m:val="p"/>
                            </m:rPr>
                            <m:t>,</m:t>
                          </m:r>
                          <m:r>
                            <m:t>K</m:t>
                          </m:r>
                        </m:sub>
                      </m:sSub>
                    </m:den>
                  </m:f>
                </m:e>
              </m:d>
            </m:e>
          </m:d>
          <m:r>
            <m:rPr>
              <m:sty m:val="p"/>
            </m:rPr>
            <m:t>,</m:t>
          </m:r>
        </m:oMath>
      </m:oMathPara>
    </w:p>
    <w:p>
      <w:pPr>
        <w:pStyle w:val="FirstParagraph"/>
      </w:pPr>
      <w:r>
        <w:t xml:space="preserve">with</w:t>
      </w:r>
      <w:r>
        <w:t xml:space="preserve"> </w:t>
      </w:r>
      <m:oMath>
        <m:sSub>
          <m:e>
            <m:r>
              <m:t>T</m:t>
            </m:r>
          </m:e>
          <m:sub>
            <m:r>
              <m:rPr>
                <m:sty m:val="p"/>
              </m:rPr>
              <m:t>r</m:t>
            </m:r>
            <m:r>
              <m:rPr>
                <m:sty m:val="p"/>
              </m:rPr>
              <m:t>e</m:t>
            </m:r>
            <m:r>
              <m:rPr>
                <m:sty m:val="p"/>
              </m:rPr>
              <m:t>f</m:t>
            </m:r>
          </m:sub>
        </m:sSub>
        <m:r>
          <m:rPr>
            <m:sty m:val="p"/>
          </m:rPr>
          <m:t>=</m:t>
        </m:r>
        <m:r>
          <m:t>12</m:t>
        </m:r>
      </m:oMath>
      <w:r>
        <w:t xml:space="preserve"> </w:t>
      </w:r>
      <w:r>
        <w:t xml:space="preserve">°C. The activation-energy distributions and the temperature</w:t>
      </w:r>
      <w:r>
        <w:t xml:space="preserve"> </w:t>
      </w:r>
      <w:r>
        <w:t xml:space="preserve">perturbation are illustrative settings prescribed here rather than measured values. Draws were</w:t>
      </w:r>
      <w:r>
        <w:t xml:space="preserve"> </w:t>
      </w:r>
      <w:r>
        <w:t xml:space="preserve">truncated to keep simulated temperatures inside the pre-defined 8–24 °C range, and the</w:t>
      </w:r>
      <w:r>
        <w:t xml:space="preserve"> </w:t>
      </w:r>
      <w:r>
        <w:t xml:space="preserve">distributions are in Appendix G. The scenarios were: (A) 12 °C</w:t>
      </w:r>
      <w:r>
        <w:t xml:space="preserve"> </w:t>
      </w:r>
      <w:r>
        <w:t xml:space="preserve">baseline; (B) 16 °C; (C) 20 °C heatwave; and (D) 20 °C with illustrative ageing multipliers of</w:t>
      </w:r>
      <w:r>
        <w:t xml:space="preserve"> </w:t>
      </w:r>
      <w:r>
        <w:t xml:space="preserve">1.00, 1.35 and 1.85 for the new, average and old zones.</w:t>
      </w:r>
    </w:p>
    <w:p>
      <w:pPr>
        <w:pStyle w:val="BodyText"/>
      </w:pPr>
      <w:r>
        <w:t xml:space="preserve">Draws were reused across scenarios, so pairwise differences are not contaminated by Monte Carlo</w:t>
      </w:r>
      <w:r>
        <w:t xml:space="preserve"> </w:t>
      </w:r>
      <w:r>
        <w:t xml:space="preserve">variation. Only candidates whose weight was at least</w:t>
      </w:r>
      <w:r>
        <w:t xml:space="preserve"> </w:t>
      </w:r>
      <m:oMath>
        <m:sSup>
          <m:e>
            <m:r>
              <m:t>10</m:t>
            </m:r>
          </m:e>
          <m:sup>
            <m:r>
              <m:rPr>
                <m:sty m:val="p"/>
              </m:rPr>
              <m:t>−</m:t>
            </m:r>
            <m:r>
              <m:t>6</m:t>
            </m:r>
          </m:sup>
        </m:sSup>
      </m:oMath>
      <w:r>
        <w:t xml:space="preserve"> </w:t>
      </w:r>
      <w:r>
        <w:t xml:space="preserve">of the</w:t>
      </w:r>
      <w:r>
        <w:t xml:space="preserve"> </w:t>
      </w:r>
      <w:r>
        <w:rPr>
          <w:b/>
          <w:bCs/>
        </w:rPr>
        <w:t xml:space="preserve">maximum</w:t>
      </w:r>
      <w:r>
        <w:t xml:space="preserve"> </w:t>
      </w:r>
      <w:r>
        <w:t xml:space="preserve">weight were</w:t>
      </w:r>
      <w:r>
        <w:t xml:space="preserve"> </w:t>
      </w:r>
      <w:r>
        <w:t xml:space="preserve">propagated, a numerical truncation rather than an acceptance threshold. Corrective dosing was</w:t>
      </w:r>
      <w:r>
        <w:t xml:space="preserve"> </w:t>
      </w:r>
      <w:r>
        <w:t xml:space="preserve">evaluated under Scenario C, the heatwave</w:t>
      </w:r>
      <w:r>
        <w:t xml:space="preserve"> </w:t>
      </w:r>
      <w:r>
        <w:rPr>
          <w:i/>
          <w:iCs/>
        </w:rPr>
        <w:t xml:space="preserve">without</w:t>
      </w:r>
      <w:r>
        <w:t xml:space="preserve"> </w:t>
      </w:r>
      <w:r>
        <w:t xml:space="preserve">ageing, raising reservoir source chlorine from</w:t>
      </w:r>
      <w:r>
        <w:t xml:space="preserve"> </w:t>
      </w:r>
      <w:r>
        <w:t xml:space="preserve">1.00 to 1.15 and 1.30 mg L</w:t>
      </w:r>
      <w:r>
        <w:rPr>
          <w:vertAlign w:val="superscript"/>
        </w:rPr>
        <w:t xml:space="preserve">-1</w:t>
      </w:r>
      <w:r>
        <w:t xml:space="preserve"> </w:t>
      </w:r>
      <w:r>
        <w:t xml:space="preserve">with tank initial chlorine scaled by the same factor.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Definition</w:t>
            </w:r>
          </w:p>
        </w:tc>
        <w:tc>
          <w:tcPr/>
          <w:p>
            <w:pPr>
              <w:pStyle w:val="Compact"/>
            </w:pPr>
            <w:r>
              <w:t xml:space="preserve">Section</w:t>
            </w:r>
          </w:p>
        </w:tc>
      </w:tr>
      <w:tr>
        <w:tc>
          <w:tcPr/>
          <w:p>
            <w:pPr>
              <w:pStyle w:val="Compact"/>
            </w:pPr>
            <m:oMath>
              <m:sSub>
                <m:e>
                  <m:r>
                    <m:t>R</m:t>
                  </m:r>
                </m:e>
                <m:sub>
                  <m:r>
                    <m:rPr>
                      <m:sty m:val="p"/>
                    </m:rPr>
                    <m:t>S</m:t>
                  </m:r>
                  <m:r>
                    <m:rPr>
                      <m:sty m:val="p"/>
                    </m:rPr>
                    <m:t>D</m:t>
                  </m:r>
                  <m:r>
                    <m:rPr>
                      <m:sty m:val="p"/>
                    </m:rPr>
                    <m:t>,</m:t>
                  </m:r>
                  <m:r>
                    <m:t>j</m:t>
                  </m:r>
                </m:sub>
              </m:sSub>
            </m:oMath>
            <w:r>
              <w:t xml:space="preserve"/>
            </w:r>
          </w:p>
        </w:tc>
        <w:tc>
          <w:tcPr/>
          <w:p>
            <w:pPr>
              <w:pStyle w:val="Compact"/>
            </w:pPr>
            <m:oMath>
              <m:sSub>
                <m:e>
                  <m:r>
                    <m:t>σ</m:t>
                  </m:r>
                </m:e>
                <m:sub>
                  <m:r>
                    <m:rPr>
                      <m:sty m:val="p"/>
                    </m:rPr>
                    <m:t>p</m:t>
                  </m:r>
                  <m:r>
                    <m:rPr>
                      <m:sty m:val="p"/>
                    </m:rPr>
                    <m:t>o</m:t>
                  </m:r>
                  <m:r>
                    <m:rPr>
                      <m:sty m:val="p"/>
                    </m:rPr>
                    <m:t>s</m:t>
                  </m:r>
                  <m:r>
                    <m:rPr>
                      <m:sty m:val="p"/>
                    </m:rPr>
                    <m:t>t</m:t>
                  </m:r>
                  <m:r>
                    <m:rPr>
                      <m:sty m:val="p"/>
                    </m:rPr>
                    <m:t>,</m:t>
                  </m:r>
                  <m:r>
                    <m:t>j</m:t>
                  </m:r>
                </m:sub>
              </m:sSub>
              <m:r>
                <m:rPr>
                  <m:sty m:val="p"/>
                </m:rPr>
                <m:t>/</m:t>
              </m:r>
              <m:sSub>
                <m:e>
                  <m:r>
                    <m:t>σ</m:t>
                  </m:r>
                </m:e>
                <m:sub>
                  <m:r>
                    <m:rPr>
                      <m:sty m:val="p"/>
                    </m:rPr>
                    <m:t>p</m:t>
                  </m:r>
                  <m:r>
                    <m:rPr>
                      <m:sty m:val="p"/>
                    </m:rPr>
                    <m:t>r</m:t>
                  </m:r>
                  <m:r>
                    <m:rPr>
                      <m:sty m:val="p"/>
                    </m:rPr>
                    <m:t>i</m:t>
                  </m:r>
                  <m:r>
                    <m:rPr>
                      <m:sty m:val="p"/>
                    </m:rPr>
                    <m:t>o</m:t>
                  </m:r>
                  <m:r>
                    <m:rPr>
                      <m:sty m:val="p"/>
                    </m:rPr>
                    <m:t>r</m:t>
                  </m:r>
                  <m:r>
                    <m:rPr>
                      <m:sty m:val="p"/>
                    </m:rPr>
                    <m:t>,</m:t>
                  </m:r>
                  <m:r>
                    <m:t>j</m:t>
                  </m:r>
                </m:sub>
              </m:sSub>
            </m:oMath>
            <w:r>
              <w:t xml:space="preserve">, reported as SD retained</w:t>
            </w:r>
          </w:p>
        </w:tc>
        <w:tc>
          <w:tcPr/>
          <w:p>
            <w:pPr>
              <w:pStyle w:val="Compact"/>
            </w:pPr>
            <w:r>
              <w:t xml:space="preserve">2.4.1</w:t>
            </w:r>
          </w:p>
        </w:tc>
      </w:tr>
      <w:tr>
        <w:tc>
          <w:tcPr/>
          <w:p>
            <w:pPr>
              <w:pStyle w:val="Compact"/>
            </w:pPr>
            <m:oMath>
              <m:sSub>
                <m:e>
                  <m:r>
                    <m:t>G</m:t>
                  </m:r>
                </m:e>
                <m:sub>
                  <m:r>
                    <m:t>j</m:t>
                  </m:r>
                </m:sub>
              </m:sSub>
            </m:oMath>
            <w:r>
              <w:t xml:space="preserve"/>
            </w:r>
          </w:p>
        </w:tc>
        <w:tc>
          <w:tcPr/>
          <w:p>
            <w:pPr>
              <w:pStyle w:val="Compact"/>
            </w:pPr>
            <m:oMath>
              <m:r>
                <m:rPr>
                  <m:sty m:val="p"/>
                </m:rPr>
                <m:t>(</m:t>
              </m:r>
              <m:sSub>
                <m:e>
                  <m:r>
                    <m:t>μ</m:t>
                  </m:r>
                </m:e>
                <m:sub>
                  <m:r>
                    <m:rPr>
                      <m:sty m:val="p"/>
                    </m:rPr>
                    <m:t>p</m:t>
                  </m:r>
                  <m:r>
                    <m:rPr>
                      <m:sty m:val="p"/>
                    </m:rPr>
                    <m:t>o</m:t>
                  </m:r>
                  <m:r>
                    <m:rPr>
                      <m:sty m:val="p"/>
                    </m:rPr>
                    <m:t>s</m:t>
                  </m:r>
                  <m:r>
                    <m:rPr>
                      <m:sty m:val="p"/>
                    </m:rPr>
                    <m:t>t</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r>
                <m:rPr>
                  <m:sty m:val="p"/>
                </m:rPr>
                <m:t>)</m:t>
              </m:r>
              <m:r>
                <m:rPr>
                  <m:sty m:val="p"/>
                </m:rPr>
                <m:t>/</m:t>
              </m:r>
              <m:r>
                <m:rPr>
                  <m:sty m:val="p"/>
                </m:rPr>
                <m:t>(</m:t>
              </m:r>
              <m:sSub>
                <m:e>
                  <m:r>
                    <m:t>k</m:t>
                  </m:r>
                </m:e>
                <m:sub>
                  <m:r>
                    <m:rPr>
                      <m:sty m:val="p"/>
                    </m:rPr>
                    <m:t>t</m:t>
                  </m:r>
                  <m:r>
                    <m:rPr>
                      <m:sty m:val="p"/>
                    </m:rPr>
                    <m:t>r</m:t>
                  </m:r>
                  <m:r>
                    <m:rPr>
                      <m:sty m:val="p"/>
                    </m:rPr>
                    <m:t>u</m:t>
                  </m:r>
                  <m:r>
                    <m:rPr>
                      <m:sty m:val="p"/>
                    </m:rPr>
                    <m:t>e</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r>
                <m:rPr>
                  <m:sty m:val="p"/>
                </m:rPr>
                <m:t>)</m:t>
              </m:r>
            </m:oMath>
            <w:r>
              <w:t xml:space="preserve">, fraction of an imposed prior displacement recovered</w:t>
            </w:r>
          </w:p>
        </w:tc>
        <w:tc>
          <w:tcPr/>
          <w:p>
            <w:pPr>
              <w:pStyle w:val="Compact"/>
            </w:pPr>
            <w:r>
              <w:t xml:space="preserve">2.4.2</w:t>
            </w:r>
          </w:p>
        </w:tc>
      </w:tr>
      <w:tr>
        <w:tc>
          <w:tcPr/>
          <w:p>
            <w:pPr>
              <w:pStyle w:val="Compact"/>
            </w:pPr>
            <m:oMath>
              <m:r>
                <m:rPr>
                  <m:sty m:val="p"/>
                </m:rPr>
                <m:t>E</m:t>
              </m:r>
              <m:r>
                <m:rPr>
                  <m:sty m:val="p"/>
                </m:rPr>
                <m:t>S</m:t>
              </m:r>
              <m:r>
                <m:rPr>
                  <m:sty m:val="p"/>
                </m:rPr>
                <m:t>S</m:t>
              </m:r>
            </m:oMath>
            <w:r>
              <w:t xml:space="preserve"/>
            </w:r>
          </w:p>
        </w:tc>
        <w:tc>
          <w:tcPr/>
          <w:p>
            <w:pPr>
              <w:pStyle w:val="Compact"/>
            </w:pPr>
            <m:oMath>
              <m:r>
                <m:t>1</m:t>
              </m:r>
              <m:r>
                <m:rPr>
                  <m:sty m:val="p"/>
                </m:rPr>
                <m:t>/</m:t>
              </m:r>
              <m:nary>
                <m:naryPr>
                  <m:chr m:val="∑"/>
                  <m:limLoc m:val="undOvr"/>
                  <m:subHide m:val="off"/>
                  <m:supHide m:val="on"/>
                </m:naryPr>
                <m:sub>
                  <m:r>
                    <m:t>i</m:t>
                  </m:r>
                </m:sub>
                <m:sup>
                  <m:r>
                    <m:t/>
                  </m:r>
                </m:sup>
                <m:e>
                  <m:sSubSup>
                    <m:e>
                      <m:r>
                        <m:t>w</m:t>
                      </m:r>
                    </m:e>
                    <m:sub>
                      <m:r>
                        <m:t>i</m:t>
                      </m:r>
                    </m:sub>
                    <m:sup>
                      <m:r>
                        <m:t>2</m:t>
                      </m:r>
                    </m:sup>
                  </m:sSubSup>
                </m:e>
              </m:nary>
            </m:oMath>
            <w:r>
              <w:t xml:space="preserve">, effective sample size of the normalised weights</w:t>
            </w:r>
          </w:p>
        </w:tc>
        <w:tc>
          <w:tcPr/>
          <w:p>
            <w:pPr>
              <w:pStyle w:val="Compact"/>
            </w:pPr>
            <w:r>
              <w:t xml:space="preserve">2.3.1</w:t>
            </w:r>
          </w:p>
        </w:tc>
      </w:tr>
      <w:tr>
        <w:tc>
          <w:tcPr/>
          <w:p>
            <w:pPr>
              <w:pStyle w:val="Compact"/>
            </w:pPr>
            <m:oMath>
              <m:sSub>
                <m:e>
                  <m:r>
                    <m:t>Z</m:t>
                  </m:r>
                </m:e>
                <m:sub>
                  <m:r>
                    <m:rPr>
                      <m:sty m:val="p"/>
                    </m:rPr>
                    <m:t>Δ</m:t>
                  </m:r>
                  <m:r>
                    <m:rPr>
                      <m:sty m:val="p"/>
                    </m:rPr>
                    <m:t>,</m:t>
                  </m:r>
                  <m:r>
                    <m:t>j</m:t>
                  </m:r>
                </m:sub>
              </m:sSub>
            </m:oMath>
            <w:r>
              <w:t xml:space="preserve"/>
            </w:r>
          </w:p>
        </w:tc>
        <w:tc>
          <w:tcPr/>
          <w:p>
            <w:pPr>
              <w:pStyle w:val="Compact"/>
            </w:pPr>
            <w:r>
              <w:t xml:space="preserve">standardised displacement: median perturbed minus median reference posterior mean, divided by the median within-realisation reference posterior SD</w:t>
            </w:r>
          </w:p>
        </w:tc>
        <w:tc>
          <w:tcPr/>
          <w:p>
            <w:pPr>
              <w:pStyle w:val="Compact"/>
            </w:pPr>
            <w:r>
              <w:t xml:space="preserve">2.5</w:t>
            </w:r>
          </w:p>
        </w:tc>
      </w:tr>
      <w:tr>
        <w:tc>
          <w:tcPr/>
          <w:p>
            <w:pPr>
              <w:pStyle w:val="Compact"/>
            </w:pPr>
            <m:oMath>
              <m:r>
                <m:rPr>
                  <m:sty m:val="p"/>
                </m:rPr>
                <m:t>Δ</m:t>
              </m:r>
              <m:sSub>
                <m:e>
                  <m:r>
                    <m:t>k</m:t>
                  </m:r>
                </m:e>
                <m:sub>
                  <m:r>
                    <m:rPr>
                      <m:sty m:val="p"/>
                    </m:rPr>
                    <m:t>r</m:t>
                  </m:r>
                  <m:r>
                    <m:rPr>
                      <m:sty m:val="p"/>
                    </m:rPr>
                    <m:t>a</m:t>
                  </m:r>
                  <m:r>
                    <m:rPr>
                      <m:sty m:val="p"/>
                    </m:rPr>
                    <m:t>w</m:t>
                  </m:r>
                </m:sub>
              </m:sSub>
            </m:oMath>
            <w:r>
              <w:t xml:space="preserve"/>
            </w:r>
          </w:p>
        </w:tc>
        <w:tc>
          <w:tcPr/>
          <w:p>
            <w:pPr>
              <w:pStyle w:val="Compact"/>
            </w:pPr>
            <m:oMath>
              <m:acc>
                <m:accPr>
                  <m:chr m:val="̂"/>
                </m:accPr>
                <m:e>
                  <m:r>
                    <m:t>k</m:t>
                  </m:r>
                </m:e>
              </m:acc>
              <m:r>
                <m:rPr>
                  <m:sty m:val="p"/>
                </m:rPr>
                <m:t>−</m:t>
              </m:r>
              <m:sSub>
                <m:e>
                  <m:r>
                    <m:t>k</m:t>
                  </m:r>
                </m:e>
                <m:sub>
                  <m:r>
                    <m:rPr>
                      <m:sty m:val="p"/>
                    </m:rPr>
                    <m:t>a</m:t>
                  </m:r>
                  <m:r>
                    <m:rPr>
                      <m:sty m:val="p"/>
                    </m:rPr>
                    <m:t>r</m:t>
                  </m:r>
                  <m:r>
                    <m:rPr>
                      <m:sty m:val="p"/>
                    </m:rPr>
                    <m:t>i</m:t>
                  </m:r>
                  <m:r>
                    <m:rPr>
                      <m:sty m:val="p"/>
                    </m:rPr>
                    <m:t>t</m:t>
                  </m:r>
                  <m:r>
                    <m:rPr>
                      <m:sty m:val="p"/>
                    </m:rPr>
                    <m:t>h</m:t>
                  </m:r>
                </m:sub>
              </m:sSub>
            </m:oMath>
            <w:r>
              <w:t xml:space="preserve">, raw bias against the arithmetic zone mean</w:t>
            </w:r>
          </w:p>
        </w:tc>
        <w:tc>
          <w:tcPr/>
          <w:p>
            <w:pPr>
              <w:pStyle w:val="Compact"/>
            </w:pPr>
            <w:r>
              <w:t xml:space="preserve">2.6.3</w:t>
            </w:r>
          </w:p>
        </w:tc>
      </w:tr>
      <w:tr>
        <w:tc>
          <w:tcPr/>
          <w:p>
            <w:pPr>
              <w:pStyle w:val="Compact"/>
            </w:pPr>
            <m:oMath>
              <m:r>
                <m:rPr>
                  <m:sty m:val="p"/>
                </m:rPr>
                <m:t>Δ</m:t>
              </m:r>
              <m:sSub>
                <m:e>
                  <m:r>
                    <m:t>k</m:t>
                  </m:r>
                </m:e>
                <m:sub>
                  <m:r>
                    <m:rPr>
                      <m:sty m:val="p"/>
                    </m:rPr>
                    <m:t>s</m:t>
                  </m:r>
                  <m:r>
                    <m:rPr>
                      <m:sty m:val="p"/>
                    </m:rPr>
                    <m:t>t</m:t>
                  </m:r>
                  <m:r>
                    <m:rPr>
                      <m:sty m:val="p"/>
                    </m:rPr>
                    <m:t>r</m:t>
                  </m:r>
                  <m:r>
                    <m:rPr>
                      <m:sty m:val="p"/>
                    </m:rPr>
                    <m:t>u</m:t>
                  </m:r>
                  <m:r>
                    <m:rPr>
                      <m:sty m:val="p"/>
                    </m:rPr>
                    <m:t>c</m:t>
                  </m:r>
                  <m:r>
                    <m:rPr>
                      <m:sty m:val="p"/>
                    </m:rPr>
                    <m:t>t</m:t>
                  </m:r>
                </m:sub>
              </m:sSub>
            </m:oMath>
            <w:r>
              <w:t xml:space="preserve"/>
            </w:r>
          </w:p>
        </w:tc>
        <w:tc>
          <w:tcPr/>
          <w:p>
            <w:pPr>
              <w:pStyle w:val="Compact"/>
            </w:pPr>
            <m:oMath>
              <m:r>
                <m:rPr>
                  <m:sty m:val="p"/>
                </m:rPr>
                <m:t>Δ</m:t>
              </m:r>
              <m:sSub>
                <m:e>
                  <m:r>
                    <m:t>k</m:t>
                  </m:r>
                </m:e>
                <m:sub>
                  <m:r>
                    <m:rPr>
                      <m:sty m:val="p"/>
                    </m:rPr>
                    <m:t>r</m:t>
                  </m:r>
                  <m:r>
                    <m:rPr>
                      <m:sty m:val="p"/>
                    </m:rPr>
                    <m:t>a</m:t>
                  </m:r>
                  <m:r>
                    <m:rPr>
                      <m:sty m:val="p"/>
                    </m:rPr>
                    <m:t>w</m:t>
                  </m:r>
                </m:sub>
              </m:sSub>
              <m:r>
                <m:rPr>
                  <m:sty m:val="p"/>
                </m:rPr>
                <m:t>−</m:t>
              </m:r>
              <m:r>
                <m:rPr>
                  <m:sty m:val="p"/>
                </m:rPr>
                <m:t>Δ</m:t>
              </m:r>
              <m:sSub>
                <m:e>
                  <m:r>
                    <m:t>k</m:t>
                  </m:r>
                </m:e>
                <m:sub>
                  <m:r>
                    <m:rPr>
                      <m:sty m:val="p"/>
                    </m:rPr>
                    <m:t>h</m:t>
                  </m:r>
                  <m:r>
                    <m:rPr>
                      <m:sty m:val="p"/>
                    </m:rPr>
                    <m:t>o</m:t>
                  </m:r>
                  <m:r>
                    <m:rPr>
                      <m:sty m:val="p"/>
                    </m:rPr>
                    <m:t>m</m:t>
                  </m:r>
                </m:sub>
              </m:sSub>
            </m:oMath>
            <w:r>
              <w:t xml:space="preserve">, bias net of the paired homogeneous control</w:t>
            </w:r>
          </w:p>
        </w:tc>
        <w:tc>
          <w:tcPr/>
          <w:p>
            <w:pPr>
              <w:pStyle w:val="Compact"/>
            </w:pPr>
            <w:r>
              <w:t xml:space="preserve">2.6.3</w:t>
            </w:r>
          </w:p>
        </w:tc>
      </w:tr>
      <w:tr>
        <w:tc>
          <w:tcPr/>
          <w:p>
            <w:pPr>
              <w:pStyle w:val="Compact"/>
            </w:pPr>
            <m:oMath>
              <m:sSub>
                <m:e>
                  <m:r>
                    <m:t>f</m:t>
                  </m:r>
                </m:e>
                <m:sub>
                  <m:r>
                    <m:t>j</m:t>
                  </m:r>
                </m:sub>
              </m:sSub>
            </m:oMath>
            <w:r>
              <w:t xml:space="preserve"/>
            </w:r>
          </w:p>
        </w:tc>
        <w:tc>
          <w:tcPr/>
          <w:p>
            <w:pPr>
              <w:pStyle w:val="Compact"/>
            </w:pPr>
            <m:oMath>
              <m:r>
                <m:rPr>
                  <m:sty m:val="p"/>
                </m:rPr>
                <m:t>(</m:t>
              </m:r>
              <m:sSub>
                <m:e>
                  <m:acc>
                    <m:accPr>
                      <m:chr m:val="̂"/>
                    </m:accPr>
                    <m:e>
                      <m:r>
                        <m:t>k</m:t>
                      </m:r>
                    </m:e>
                  </m:acc>
                </m:e>
                <m:sub>
                  <m:r>
                    <m:t>j</m:t>
                  </m:r>
                </m:sub>
              </m:sSub>
              <m:r>
                <m:rPr>
                  <m:sty m:val="p"/>
                </m:rPr>
                <m:t>−</m:t>
              </m:r>
              <m:sSub>
                <m:e>
                  <m:r>
                    <m:t>k</m:t>
                  </m:r>
                </m:e>
                <m:sub>
                  <m:r>
                    <m:rPr>
                      <m:sty m:val="p"/>
                    </m:rPr>
                    <m:t>a</m:t>
                  </m:r>
                  <m:r>
                    <m:rPr>
                      <m:sty m:val="p"/>
                    </m:rPr>
                    <m:t>r</m:t>
                  </m:r>
                  <m:r>
                    <m:rPr>
                      <m:sty m:val="p"/>
                    </m:rPr>
                    <m:t>i</m:t>
                  </m:r>
                  <m:r>
                    <m:rPr>
                      <m:sty m:val="p"/>
                    </m:rPr>
                    <m:t>t</m:t>
                  </m:r>
                  <m:r>
                    <m:rPr>
                      <m:sty m:val="p"/>
                    </m:rPr>
                    <m:t>h</m:t>
                  </m:r>
                  <m:r>
                    <m:rPr>
                      <m:sty m:val="p"/>
                    </m:rPr>
                    <m:t>,</m:t>
                  </m:r>
                  <m:r>
                    <m:t>j</m:t>
                  </m:r>
                </m:sub>
              </m:sSub>
              <m:r>
                <m:rPr>
                  <m:sty m:val="p"/>
                </m:rPr>
                <m:t>)</m:t>
              </m:r>
              <m:r>
                <m:rPr>
                  <m:sty m:val="p"/>
                </m:rPr>
                <m:t>/</m:t>
              </m:r>
              <m:r>
                <m:rPr>
                  <m:sty m:val="p"/>
                </m:rPr>
                <m:t>(</m:t>
              </m:r>
              <m:sSub>
                <m:e>
                  <m:r>
                    <m:t>k</m:t>
                  </m:r>
                </m:e>
                <m:sub>
                  <m:r>
                    <m:rPr>
                      <m:sty m:val="p"/>
                    </m:rPr>
                    <m:t>l</m:t>
                  </m:r>
                  <m:r>
                    <m:rPr>
                      <m:sty m:val="p"/>
                    </m:rPr>
                    <m:t>e</m:t>
                  </m:r>
                  <m:r>
                    <m:rPr>
                      <m:sty m:val="p"/>
                    </m:rPr>
                    <m:t>n</m:t>
                  </m:r>
                  <m:r>
                    <m:rPr>
                      <m:sty m:val="p"/>
                    </m:rPr>
                    <m:t>g</m:t>
                  </m:r>
                  <m:r>
                    <m:rPr>
                      <m:sty m:val="p"/>
                    </m:rPr>
                    <m:t>t</m:t>
                  </m:r>
                  <m:r>
                    <m:rPr>
                      <m:sty m:val="p"/>
                    </m:rPr>
                    <m:t>h</m:t>
                  </m:r>
                  <m:r>
                    <m:rPr>
                      <m:sty m:val="p"/>
                    </m:rPr>
                    <m:t>,</m:t>
                  </m:r>
                  <m:r>
                    <m:t>j</m:t>
                  </m:r>
                </m:sub>
              </m:sSub>
              <m:r>
                <m:rPr>
                  <m:sty m:val="p"/>
                </m:rPr>
                <m:t>−</m:t>
              </m:r>
              <m:sSub>
                <m:e>
                  <m:r>
                    <m:t>k</m:t>
                  </m:r>
                </m:e>
                <m:sub>
                  <m:r>
                    <m:rPr>
                      <m:sty m:val="p"/>
                    </m:rPr>
                    <m:t>a</m:t>
                  </m:r>
                  <m:r>
                    <m:rPr>
                      <m:sty m:val="p"/>
                    </m:rPr>
                    <m:t>r</m:t>
                  </m:r>
                  <m:r>
                    <m:rPr>
                      <m:sty m:val="p"/>
                    </m:rPr>
                    <m:t>i</m:t>
                  </m:r>
                  <m:r>
                    <m:rPr>
                      <m:sty m:val="p"/>
                    </m:rPr>
                    <m:t>t</m:t>
                  </m:r>
                  <m:r>
                    <m:rPr>
                      <m:sty m:val="p"/>
                    </m:rPr>
                    <m:t>h</m:t>
                  </m:r>
                  <m:r>
                    <m:rPr>
                      <m:sty m:val="p"/>
                    </m:rPr>
                    <m:t>,</m:t>
                  </m:r>
                  <m:r>
                    <m:t>j</m:t>
                  </m:r>
                </m:sub>
              </m:sSub>
              <m:r>
                <m:rPr>
                  <m:sty m:val="p"/>
                </m:rPr>
                <m:t>)</m:t>
              </m:r>
            </m:oMath>
            <w:r>
              <w:t xml:space="preserve">, raw position between the two candidate targets</w:t>
            </w:r>
          </w:p>
        </w:tc>
        <w:tc>
          <w:tcPr/>
          <w:p>
            <w:pPr>
              <w:pStyle w:val="Compact"/>
            </w:pPr>
            <w:r>
              <w:t xml:space="preserve">2.6.3</w:t>
            </w:r>
          </w:p>
        </w:tc>
      </w:tr>
      <w:tr>
        <w:tc>
          <w:tcPr/>
          <w:p>
            <w:pPr>
              <w:pStyle w:val="Compact"/>
            </w:pPr>
            <m:oMath>
              <m:r>
                <m:t>λ</m:t>
              </m:r>
            </m:oMath>
            <w:r>
              <w:t xml:space="preserve"/>
            </w:r>
          </w:p>
        </w:tc>
        <w:tc>
          <w:tcPr/>
          <w:p>
            <w:pPr>
              <w:pStyle w:val="Compact"/>
            </w:pPr>
            <w:r>
              <w:t xml:space="preserve">length-structure modulation amplitude in</w:t>
            </w:r>
            <w:r>
              <w:t xml:space="preserve"> </w:t>
            </w:r>
            <m:oMath>
              <m:sSub>
                <m:e>
                  <m:r>
                    <m:t>k</m:t>
                  </m:r>
                </m:e>
                <m:sub>
                  <m:r>
                    <m:t>w</m:t>
                  </m:r>
                  <m:r>
                    <m:rPr>
                      <m:sty m:val="p"/>
                    </m:rPr>
                    <m:t>,</m:t>
                  </m:r>
                  <m:r>
                    <m:t>p</m:t>
                  </m:r>
                </m:sub>
              </m:sSub>
              <m:r>
                <m:rPr>
                  <m:sty m:val="p"/>
                </m:rPr>
                <m:t>=</m:t>
              </m:r>
              <m:sSub>
                <m:e>
                  <m:acc>
                    <m:accPr>
                      <m:chr m:val="‾"/>
                    </m:accPr>
                    <m:e>
                      <m:r>
                        <m:t>k</m:t>
                      </m:r>
                    </m:e>
                  </m:acc>
                </m:e>
                <m:sub>
                  <m:r>
                    <m:t>w</m:t>
                  </m:r>
                  <m:r>
                    <m:rPr>
                      <m:sty m:val="p"/>
                    </m:rPr>
                    <m:t>,</m:t>
                  </m:r>
                  <m:r>
                    <m:t>z</m:t>
                  </m:r>
                </m:sub>
              </m:sSub>
              <m:r>
                <m:rPr>
                  <m:sty m:val="p"/>
                </m:rPr>
                <m:t>(</m:t>
              </m:r>
              <m:r>
                <m:t>1</m:t>
              </m:r>
              <m:r>
                <m:rPr>
                  <m:sty m:val="p"/>
                </m:rPr>
                <m:t>+</m:t>
              </m:r>
              <m:r>
                <m:t>λ</m:t>
              </m:r>
              <m:sSub>
                <m:e>
                  <m:r>
                    <m:t>s</m:t>
                  </m:r>
                </m:e>
                <m:sub>
                  <m:r>
                    <m:t>p</m:t>
                  </m:r>
                </m:sub>
              </m:sSub>
              <m:r>
                <m:rPr>
                  <m:sty m:val="p"/>
                </m:rPr>
                <m:t>)</m:t>
              </m:r>
            </m:oMath>
            <w:r>
              <w:t xml:space="preserve">; not a correlation coefficient</w:t>
            </w:r>
          </w:p>
        </w:tc>
        <w:tc>
          <w:tcPr/>
          <w:p>
            <w:pPr>
              <w:pStyle w:val="Compact"/>
            </w:pPr>
            <w:r>
              <w:t xml:space="preserve">2.6.2</w:t>
            </w:r>
          </w:p>
        </w:tc>
      </w:tr>
      <w:tr>
        <w:tc>
          <w:tcPr/>
          <w:p>
            <w:pPr>
              <w:pStyle w:val="Compact"/>
            </w:pPr>
            <m:oMath>
              <m:sSub>
                <m:e>
                  <m:r>
                    <m:t>D</m:t>
                  </m:r>
                </m:e>
                <m:sub>
                  <m:r>
                    <m:t>i</m:t>
                  </m:r>
                  <m:r>
                    <m:rPr>
                      <m:sty m:val="p"/>
                    </m:rPr>
                    <m:t>,</m:t>
                  </m:r>
                  <m:r>
                    <m:t>n</m:t>
                  </m:r>
                </m:sub>
              </m:sSub>
            </m:oMath>
            <w:r>
              <w:t xml:space="preserve"/>
            </w:r>
          </w:p>
        </w:tc>
        <w:tc>
          <w:tcPr/>
          <w:p>
            <w:pPr>
              <w:pStyle w:val="Compact"/>
            </w:pPr>
            <m:oMath>
              <m:r>
                <m:rPr>
                  <m:sty m:val="p"/>
                </m:rPr>
                <m:t>∫</m:t>
              </m:r>
              <m:r>
                <m:rPr>
                  <m:sty m:val="b"/>
                </m:rPr>
                <m:t>1</m:t>
              </m:r>
              <m:r>
                <m:rPr>
                  <m:sty m:val="p"/>
                </m:rPr>
                <m:t>[</m:t>
              </m:r>
              <m:sSub>
                <m:e>
                  <m:r>
                    <m:t>C</m:t>
                  </m:r>
                </m:e>
                <m:sub>
                  <m:r>
                    <m:t>i</m:t>
                  </m:r>
                  <m:r>
                    <m:rPr>
                      <m:sty m:val="p"/>
                    </m:rPr>
                    <m:t>,</m:t>
                  </m:r>
                  <m:r>
                    <m:t>n</m:t>
                  </m:r>
                </m:sub>
              </m:sSub>
              <m:r>
                <m:rPr>
                  <m:sty m:val="p"/>
                </m:rPr>
                <m:t>(</m:t>
              </m:r>
              <m:r>
                <m:t>t</m:t>
              </m:r>
              <m:r>
                <m:rPr>
                  <m:sty m:val="p"/>
                </m:rPr>
                <m:t>)</m:t>
              </m:r>
              <m:r>
                <m:rPr>
                  <m:sty m:val="p"/>
                </m:rPr>
                <m:t>&lt;</m:t>
              </m:r>
              <m:sSub>
                <m:e>
                  <m:r>
                    <m:t>C</m:t>
                  </m:r>
                </m:e>
                <m:sub>
                  <m:r>
                    <m:rPr>
                      <m:sty m:val="p"/>
                    </m:rPr>
                    <m:t>c</m:t>
                  </m:r>
                  <m:r>
                    <m:rPr>
                      <m:sty m:val="p"/>
                    </m:rPr>
                    <m:t>r</m:t>
                  </m:r>
                  <m:r>
                    <m:rPr>
                      <m:sty m:val="p"/>
                    </m:rPr>
                    <m:t>i</m:t>
                  </m:r>
                  <m:r>
                    <m:rPr>
                      <m:sty m:val="p"/>
                    </m:rPr>
                    <m:t>t</m:t>
                  </m:r>
                </m:sub>
              </m:sSub>
              <m:r>
                <m:rPr>
                  <m:sty m:val="p"/>
                </m:rPr>
                <m:t>]</m:t>
              </m:r>
              <m:r>
                <m:rPr>
                  <m:sty m:val="p"/>
                </m:rPr>
                <m:t>d</m:t>
              </m:r>
              <m:r>
                <m:t>t</m:t>
              </m:r>
            </m:oMath>
            <w:r>
              <w:t xml:space="preserve">, member duration below threshold</w:t>
            </w:r>
          </w:p>
        </w:tc>
        <w:tc>
          <w:tcPr/>
          <w:p>
            <w:pPr>
              <w:pStyle w:val="Compact"/>
            </w:pPr>
            <w:r>
              <w:t xml:space="preserve">2.8.1</w:t>
            </w:r>
          </w:p>
        </w:tc>
      </w:tr>
      <w:tr>
        <w:tc>
          <w:tcPr/>
          <w:p>
            <w:pPr>
              <w:pStyle w:val="Compact"/>
            </w:pPr>
            <m:oMath>
              <m:sSub>
                <m:e>
                  <m:r>
                    <m:t>A</m:t>
                  </m:r>
                </m:e>
                <m:sub>
                  <m:r>
                    <m:t>i</m:t>
                  </m:r>
                  <m:r>
                    <m:rPr>
                      <m:sty m:val="p"/>
                    </m:rPr>
                    <m:t>,</m:t>
                  </m:r>
                  <m:r>
                    <m:t>n</m:t>
                  </m:r>
                </m:sub>
              </m:sSub>
            </m:oMath>
            <w:r>
              <w:t xml:space="preserve"/>
            </w:r>
          </w:p>
        </w:tc>
        <w:tc>
          <w:tcPr/>
          <w:p>
            <w:pPr>
              <w:pStyle w:val="Compact"/>
            </w:pPr>
            <m:oMath>
              <m:r>
                <m:rPr>
                  <m:sty m:val="p"/>
                </m:rPr>
                <m:t>∫</m:t>
              </m:r>
              <m:r>
                <m:rPr>
                  <m:sty m:val="p"/>
                </m:rPr>
                <m:t>max</m:t>
              </m:r>
              <m:r>
                <m:rPr>
                  <m:sty m:val="p"/>
                </m:rPr>
                <m:t>[</m:t>
              </m:r>
              <m:r>
                <m:t>0</m:t>
              </m:r>
              <m:r>
                <m:rPr>
                  <m:sty m:val="p"/>
                </m:rPr>
                <m:t>,</m:t>
              </m:r>
              <m:r>
                <m:t> </m:t>
              </m:r>
              <m:sSub>
                <m:e>
                  <m:r>
                    <m:t>C</m:t>
                  </m:r>
                </m:e>
                <m:sub>
                  <m:r>
                    <m:rPr>
                      <m:sty m:val="p"/>
                    </m:rPr>
                    <m:t>c</m:t>
                  </m:r>
                  <m:r>
                    <m:rPr>
                      <m:sty m:val="p"/>
                    </m:rPr>
                    <m:t>r</m:t>
                  </m:r>
                  <m:r>
                    <m:rPr>
                      <m:sty m:val="p"/>
                    </m:rPr>
                    <m:t>i</m:t>
                  </m:r>
                  <m:r>
                    <m:rPr>
                      <m:sty m:val="p"/>
                    </m:rPr>
                    <m:t>t</m:t>
                  </m:r>
                </m:sub>
              </m:sSub>
              <m:r>
                <m:rPr>
                  <m:sty m:val="p"/>
                </m:rPr>
                <m:t>−</m:t>
              </m:r>
              <m:sSub>
                <m:e>
                  <m:r>
                    <m:t>C</m:t>
                  </m:r>
                </m:e>
                <m:sub>
                  <m:r>
                    <m:t>i</m:t>
                  </m:r>
                  <m:r>
                    <m:rPr>
                      <m:sty m:val="p"/>
                    </m:rPr>
                    <m:t>,</m:t>
                  </m:r>
                  <m:r>
                    <m:t>n</m:t>
                  </m:r>
                </m:sub>
              </m:sSub>
              <m:r>
                <m:rPr>
                  <m:sty m:val="p"/>
                </m:rPr>
                <m:t>(</m:t>
              </m:r>
              <m:r>
                <m:t>t</m:t>
              </m:r>
              <m:r>
                <m:rPr>
                  <m:sty m:val="p"/>
                </m:rPr>
                <m:t>)</m:t>
              </m:r>
              <m:r>
                <m:rPr>
                  <m:sty m:val="p"/>
                </m:rPr>
                <m:t>]</m:t>
              </m:r>
              <m:r>
                <m:rPr>
                  <m:sty m:val="p"/>
                </m:rPr>
                <m:t>d</m:t>
              </m:r>
              <m:r>
                <m:t>t</m:t>
              </m:r>
            </m:oMath>
            <w:r>
              <w:t xml:space="preserve">, member cumulative deficit</w:t>
            </w:r>
          </w:p>
        </w:tc>
        <w:tc>
          <w:tcPr/>
          <w:p>
            <w:pPr>
              <w:pStyle w:val="Compact"/>
            </w:pPr>
            <w:r>
              <w:t xml:space="preserve">2.8.1</w:t>
            </w:r>
          </w:p>
        </w:tc>
      </w:tr>
      <w:tr>
        <w:tc>
          <w:tcPr/>
          <w:p>
            <w:pPr>
              <w:pStyle w:val="Compact"/>
            </w:pPr>
            <m:oMath>
              <m:sSub>
                <m:e>
                  <m:r>
                    <m:t>M</m:t>
                  </m:r>
                </m:e>
                <m:sub>
                  <m:r>
                    <m:t>i</m:t>
                  </m:r>
                  <m:r>
                    <m:rPr>
                      <m:sty m:val="p"/>
                    </m:rPr>
                    <m:t>,</m:t>
                  </m:r>
                  <m:r>
                    <m:t>n</m:t>
                  </m:r>
                </m:sub>
              </m:sSub>
            </m:oMath>
            <w:r>
              <w:t xml:space="preserve"/>
            </w:r>
          </w:p>
        </w:tc>
        <w:tc>
          <w:tcPr/>
          <w:p>
            <w:pPr>
              <w:pStyle w:val="Compact"/>
            </w:pPr>
            <m:oMath>
              <m:sSub>
                <m:e>
                  <m:r>
                    <m:rPr>
                      <m:sty m:val="p"/>
                    </m:rPr>
                    <m:t>min</m:t>
                  </m:r>
                </m:e>
                <m:sub>
                  <m:r>
                    <m:t>t</m:t>
                  </m:r>
                </m:sub>
              </m:sSub>
              <m:sSub>
                <m:e>
                  <m:r>
                    <m:t>C</m:t>
                  </m:r>
                </m:e>
                <m:sub>
                  <m:r>
                    <m:t>i</m:t>
                  </m:r>
                  <m:r>
                    <m:rPr>
                      <m:sty m:val="p"/>
                    </m:rPr>
                    <m:t>,</m:t>
                  </m:r>
                  <m:r>
                    <m:t>n</m:t>
                  </m:r>
                </m:sub>
              </m:sSub>
              <m:r>
                <m:rPr>
                  <m:sty m:val="p"/>
                </m:rPr>
                <m:t>(</m:t>
              </m:r>
              <m:r>
                <m:t>t</m:t>
              </m:r>
              <m:r>
                <m:rPr>
                  <m:sty m:val="p"/>
                </m:rPr>
                <m:t>)</m:t>
              </m:r>
            </m:oMath>
            <w:r>
              <w:t xml:space="preserve">, member window minimum</w:t>
            </w:r>
          </w:p>
        </w:tc>
        <w:tc>
          <w:tcPr/>
          <w:p>
            <w:pPr>
              <w:pStyle w:val="Compact"/>
            </w:pPr>
            <w:r>
              <w:t xml:space="preserve">2.8.1</w:t>
            </w:r>
          </w:p>
        </w:tc>
      </w:tr>
      <w:tr>
        <w:tc>
          <w:tcPr/>
          <w:p>
            <w:pPr>
              <w:pStyle w:val="Compact"/>
            </w:pPr>
            <m:oMath>
              <m:r>
                <m:t>E</m:t>
              </m:r>
              <m:r>
                <m:rPr>
                  <m:sty m:val="p"/>
                </m:rPr>
                <m:t>[</m:t>
              </m:r>
              <m:sSub>
                <m:e>
                  <m:r>
                    <m:t>D</m:t>
                  </m:r>
                </m:e>
                <m:sub>
                  <m:r>
                    <m:t>n</m:t>
                  </m:r>
                </m:sub>
              </m:sSub>
              <m:r>
                <m:rPr>
                  <m:sty m:val="p"/>
                </m:rPr>
                <m:t>]</m:t>
              </m:r>
            </m:oMath>
            <w:r>
              <w:t xml:space="preserve">,</w:t>
            </w:r>
            <w:r>
              <w:t xml:space="preserve"> </w:t>
            </w:r>
            <m:oMath>
              <m:r>
                <m:t>E</m:t>
              </m:r>
              <m:r>
                <m:rPr>
                  <m:sty m:val="p"/>
                </m:rPr>
                <m:t>[</m:t>
              </m:r>
              <m:sSub>
                <m:e>
                  <m:r>
                    <m:t>A</m:t>
                  </m:r>
                </m:e>
                <m:sub>
                  <m:r>
                    <m:t>n</m:t>
                  </m:r>
                </m:sub>
              </m:sSub>
              <m:r>
                <m:rPr>
                  <m:sty m:val="p"/>
                </m:rPr>
                <m:t>]</m:t>
              </m:r>
            </m:oMath>
          </w:p>
        </w:tc>
        <w:tc>
          <w:tcPr/>
          <w:p>
            <w:pPr>
              <w:pStyle w:val="Compact"/>
            </w:pPr>
            <m:oMath>
              <m:nary>
                <m:naryPr>
                  <m:chr m:val="∑"/>
                  <m:limLoc m:val="undOvr"/>
                  <m:subHide m:val="off"/>
                  <m:supHide m:val="on"/>
                </m:naryPr>
                <m:sub>
                  <m:r>
                    <m:t>i</m:t>
                  </m:r>
                </m:sub>
                <m:sup>
                  <m:r>
                    <m:t/>
                  </m:r>
                </m:sup>
                <m:e>
                  <m:sSub>
                    <m:e>
                      <m:r>
                        <m:t>w</m:t>
                      </m:r>
                    </m:e>
                    <m:sub>
                      <m:r>
                        <m:t>i</m:t>
                      </m:r>
                    </m:sub>
                  </m:sSub>
                </m:e>
              </m:nary>
              <m:sSub>
                <m:e>
                  <m:r>
                    <m:t>D</m:t>
                  </m:r>
                </m:e>
                <m:sub>
                  <m:r>
                    <m:t>i</m:t>
                  </m:r>
                  <m:r>
                    <m:rPr>
                      <m:sty m:val="p"/>
                    </m:rPr>
                    <m:t>,</m:t>
                  </m:r>
                  <m:r>
                    <m:t>n</m:t>
                  </m:r>
                </m:sub>
              </m:sSub>
            </m:oMath>
            <w:r>
              <w:t xml:space="preserve"> </w:t>
            </w:r>
            <w:r>
              <w:t xml:space="preserve">and</w:t>
            </w:r>
            <w:r>
              <w:t xml:space="preserve"> </w:t>
            </w:r>
            <m:oMath>
              <m:nary>
                <m:naryPr>
                  <m:chr m:val="∑"/>
                  <m:limLoc m:val="undOvr"/>
                  <m:subHide m:val="off"/>
                  <m:supHide m:val="on"/>
                </m:naryPr>
                <m:sub>
                  <m:r>
                    <m:t>i</m:t>
                  </m:r>
                </m:sub>
                <m:sup>
                  <m:r>
                    <m:t/>
                  </m:r>
                </m:sup>
                <m:e>
                  <m:sSub>
                    <m:e>
                      <m:r>
                        <m:t>w</m:t>
                      </m:r>
                    </m:e>
                    <m:sub>
                      <m:r>
                        <m:t>i</m:t>
                      </m:r>
                    </m:sub>
                  </m:sSub>
                </m:e>
              </m:nary>
              <m:sSub>
                <m:e>
                  <m:r>
                    <m:t>A</m:t>
                  </m:r>
                </m:e>
                <m:sub>
                  <m:r>
                    <m:t>i</m:t>
                  </m:r>
                  <m:r>
                    <m:rPr>
                      <m:sty m:val="p"/>
                    </m:rPr>
                    <m:t>,</m:t>
                  </m:r>
                  <m:r>
                    <m:t>n</m:t>
                  </m:r>
                </m:sub>
              </m:sSub>
            </m:oMath>
            <w:r>
              <w:t xml:space="preserve">, weighted expectations</w:t>
            </w:r>
          </w:p>
        </w:tc>
        <w:tc>
          <w:tcPr/>
          <w:p>
            <w:pPr>
              <w:pStyle w:val="Compact"/>
            </w:pPr>
            <w:r>
              <w:t xml:space="preserve">2.8.1</w:t>
            </w:r>
          </w:p>
        </w:tc>
      </w:tr>
      <w:tr>
        <w:tc>
          <w:tcPr/>
          <w:p>
            <w:pPr>
              <w:pStyle w:val="Compact"/>
            </w:pPr>
            <m:oMath>
              <m:sSub>
                <m:e>
                  <m:acc>
                    <m:accPr>
                      <m:chr m:val="‾"/>
                    </m:accPr>
                    <m:e>
                      <m:r>
                        <m:t>P</m:t>
                      </m:r>
                    </m:e>
                  </m:acc>
                </m:e>
                <m:sub>
                  <m:r>
                    <m:t>n</m:t>
                  </m:r>
                </m:sub>
              </m:sSub>
            </m:oMath>
            <w:r>
              <w:t xml:space="preserve"/>
            </w:r>
          </w:p>
        </w:tc>
        <w:tc>
          <w:tcPr/>
          <w:p>
            <w:pPr>
              <w:pStyle w:val="Compact"/>
            </w:pPr>
            <m:oMath>
              <m:r>
                <m:t>E</m:t>
              </m:r>
              <m:r>
                <m:rPr>
                  <m:sty m:val="p"/>
                </m:rPr>
                <m:t>[</m:t>
              </m:r>
              <m:sSub>
                <m:e>
                  <m:r>
                    <m:t>D</m:t>
                  </m:r>
                </m:e>
                <m:sub>
                  <m:r>
                    <m:t>n</m:t>
                  </m:r>
                </m:sub>
              </m:sSub>
              <m:r>
                <m:rPr>
                  <m:sty m:val="p"/>
                </m:rPr>
                <m:t>]</m:t>
              </m:r>
              <m:r>
                <m:rPr>
                  <m:sty m:val="p"/>
                </m:rPr>
                <m:t>/</m:t>
              </m:r>
              <m:r>
                <m:t>48</m:t>
              </m:r>
            </m:oMath>
            <w:r>
              <w:t xml:space="preserve">, time-averaged below-threshold probability</w:t>
            </w:r>
          </w:p>
        </w:tc>
        <w:tc>
          <w:tcPr/>
          <w:p>
            <w:pPr>
              <w:pStyle w:val="Compact"/>
            </w:pPr>
            <w:r>
              <w:t xml:space="preserve">2.8.1</w:t>
            </w:r>
          </w:p>
        </w:tc>
      </w:tr>
      <w:tr>
        <w:tc>
          <w:tcPr/>
          <w:p>
            <w:pPr>
              <w:pStyle w:val="Compact"/>
            </w:pPr>
            <m:oMath>
              <m:sSub>
                <m:e>
                  <m:r>
                    <m:t>P</m:t>
                  </m:r>
                </m:e>
                <m:sub>
                  <m:r>
                    <m:rPr>
                      <m:sty m:val="p"/>
                    </m:rPr>
                    <m:t>min</m:t>
                  </m:r>
                  <m:r>
                    <m:rPr>
                      <m:sty m:val="p"/>
                    </m:rPr>
                    <m:t>,</m:t>
                  </m:r>
                  <m:r>
                    <m:t>n</m:t>
                  </m:r>
                </m:sub>
              </m:sSub>
            </m:oMath>
            <w:r>
              <w:t xml:space="preserve"/>
            </w:r>
          </w:p>
        </w:tc>
        <w:tc>
          <w:tcPr/>
          <w:p>
            <w:pPr>
              <w:pStyle w:val="Compact"/>
            </w:pPr>
            <m:oMath>
              <m:nary>
                <m:naryPr>
                  <m:chr m:val="∑"/>
                  <m:limLoc m:val="undOvr"/>
                  <m:subHide m:val="off"/>
                  <m:supHide m:val="on"/>
                </m:naryPr>
                <m:sub>
                  <m:r>
                    <m:t>i</m:t>
                  </m:r>
                </m:sub>
                <m:sup>
                  <m:r>
                    <m:t/>
                  </m:r>
                </m:sup>
                <m:e>
                  <m:sSub>
                    <m:e>
                      <m:r>
                        <m:t>w</m:t>
                      </m:r>
                    </m:e>
                    <m:sub>
                      <m:r>
                        <m:t>i</m:t>
                      </m:r>
                    </m:sub>
                  </m:sSub>
                </m:e>
              </m:nary>
              <m:r>
                <m:rPr>
                  <m:sty m:val="b"/>
                </m:rPr>
                <m:t>1</m:t>
              </m:r>
              <m:r>
                <m:rPr>
                  <m:sty m:val="p"/>
                </m:rPr>
                <m:t>[</m:t>
              </m:r>
              <m:sSub>
                <m:e>
                  <m:r>
                    <m:t>M</m:t>
                  </m:r>
                </m:e>
                <m:sub>
                  <m:r>
                    <m:t>i</m:t>
                  </m:r>
                  <m:r>
                    <m:rPr>
                      <m:sty m:val="p"/>
                    </m:rPr>
                    <m:t>,</m:t>
                  </m:r>
                  <m:r>
                    <m:t>n</m:t>
                  </m:r>
                </m:sub>
              </m:sSub>
              <m:r>
                <m:rPr>
                  <m:sty m:val="p"/>
                </m:rPr>
                <m:t>&lt;</m:t>
              </m:r>
              <m:sSub>
                <m:e>
                  <m:r>
                    <m:t>C</m:t>
                  </m:r>
                </m:e>
                <m:sub>
                  <m:r>
                    <m:rPr>
                      <m:sty m:val="p"/>
                    </m:rPr>
                    <m:t>c</m:t>
                  </m:r>
                  <m:r>
                    <m:rPr>
                      <m:sty m:val="p"/>
                    </m:rPr>
                    <m:t>r</m:t>
                  </m:r>
                  <m:r>
                    <m:rPr>
                      <m:sty m:val="p"/>
                    </m:rPr>
                    <m:t>i</m:t>
                  </m:r>
                  <m:r>
                    <m:rPr>
                      <m:sty m:val="p"/>
                    </m:rPr>
                    <m:t>t</m:t>
                  </m:r>
                </m:sub>
              </m:sSub>
              <m:r>
                <m:rPr>
                  <m:sty m:val="p"/>
                </m:rPr>
                <m:t>]</m:t>
              </m:r>
            </m:oMath>
            <w:r>
              <w:t xml:space="preserve">, probability of at least one breach in the window</w:t>
            </w:r>
          </w:p>
        </w:tc>
        <w:tc>
          <w:tcPr/>
          <w:p>
            <w:pPr>
              <w:pStyle w:val="Compact"/>
            </w:pPr>
            <w:r>
              <w:t xml:space="preserve">2.8.1</w:t>
            </w:r>
          </w:p>
        </w:tc>
      </w:tr>
      <w:tr>
        <w:tc>
          <w:tcPr/>
          <w:p>
            <w:pPr>
              <w:pStyle w:val="Compact"/>
            </w:pPr>
            <m:oMath>
              <m:sSub>
                <m:e>
                  <m:r>
                    <m:t>J</m:t>
                  </m:r>
                </m:e>
                <m:sub>
                  <m:r>
                    <m:t>k</m:t>
                  </m:r>
                </m:sub>
              </m:sSub>
            </m:oMath>
            <w:r>
              <w:t xml:space="preserve"/>
            </w:r>
          </w:p>
        </w:tc>
        <w:tc>
          <w:tcPr/>
          <w:p>
            <w:pPr>
              <w:pStyle w:val="Compact"/>
            </w:pPr>
            <m:oMath>
              <m:r>
                <m:rPr>
                  <m:sty m:val="p"/>
                </m:rPr>
                <m:t>|</m:t>
              </m:r>
              <m:sSubSup>
                <m:e>
                  <m:r>
                    <m:t>S</m:t>
                  </m:r>
                </m:e>
                <m:sub>
                  <m:r>
                    <m:t>k</m:t>
                  </m:r>
                </m:sub>
                <m:sup>
                  <m:r>
                    <m:rPr>
                      <m:sty m:val="p"/>
                    </m:rPr>
                    <m:t>p</m:t>
                  </m:r>
                  <m:r>
                    <m:rPr>
                      <m:sty m:val="p"/>
                    </m:rPr>
                    <m:t>e</m:t>
                  </m:r>
                  <m:r>
                    <m:rPr>
                      <m:sty m:val="p"/>
                    </m:rPr>
                    <m:t>r</m:t>
                  </m:r>
                  <m:r>
                    <m:rPr>
                      <m:sty m:val="p"/>
                    </m:rPr>
                    <m:t>t</m:t>
                  </m:r>
                </m:sup>
              </m:sSubSup>
              <m:r>
                <m:rPr>
                  <m:sty m:val="p"/>
                </m:rPr>
                <m:t>∩</m:t>
              </m:r>
              <m:sSubSup>
                <m:e>
                  <m:r>
                    <m:t>S</m:t>
                  </m:r>
                </m:e>
                <m:sub>
                  <m:r>
                    <m:t>k</m:t>
                  </m:r>
                </m:sub>
                <m:sup>
                  <m:r>
                    <m:rPr>
                      <m:sty m:val="p"/>
                    </m:rPr>
                    <m:t>r</m:t>
                  </m:r>
                  <m:r>
                    <m:rPr>
                      <m:sty m:val="p"/>
                    </m:rPr>
                    <m:t>e</m:t>
                  </m:r>
                  <m:r>
                    <m:rPr>
                      <m:sty m:val="p"/>
                    </m:rPr>
                    <m:t>f</m:t>
                  </m:r>
                </m:sup>
              </m:sSubSup>
              <m:r>
                <m:rPr>
                  <m:sty m:val="p"/>
                </m:rPr>
                <m:t>|</m:t>
              </m:r>
              <m:r>
                <m:rPr>
                  <m:sty m:val="p"/>
                </m:rPr>
                <m:t>/</m:t>
              </m:r>
              <m:r>
                <m:rPr>
                  <m:sty m:val="p"/>
                </m:rPr>
                <m:t>|</m:t>
              </m:r>
              <m:sSubSup>
                <m:e>
                  <m:r>
                    <m:t>S</m:t>
                  </m:r>
                </m:e>
                <m:sub>
                  <m:r>
                    <m:t>k</m:t>
                  </m:r>
                </m:sub>
                <m:sup>
                  <m:r>
                    <m:rPr>
                      <m:sty m:val="p"/>
                    </m:rPr>
                    <m:t>p</m:t>
                  </m:r>
                  <m:r>
                    <m:rPr>
                      <m:sty m:val="p"/>
                    </m:rPr>
                    <m:t>e</m:t>
                  </m:r>
                  <m:r>
                    <m:rPr>
                      <m:sty m:val="p"/>
                    </m:rPr>
                    <m:t>r</m:t>
                  </m:r>
                  <m:r>
                    <m:rPr>
                      <m:sty m:val="p"/>
                    </m:rPr>
                    <m:t>t</m:t>
                  </m:r>
                </m:sup>
              </m:sSubSup>
              <m:r>
                <m:rPr>
                  <m:sty m:val="p"/>
                </m:rPr>
                <m:t>∪</m:t>
              </m:r>
              <m:sSubSup>
                <m:e>
                  <m:r>
                    <m:t>S</m:t>
                  </m:r>
                </m:e>
                <m:sub>
                  <m:r>
                    <m:t>k</m:t>
                  </m:r>
                </m:sub>
                <m:sup>
                  <m:r>
                    <m:rPr>
                      <m:sty m:val="p"/>
                    </m:rPr>
                    <m:t>r</m:t>
                  </m:r>
                  <m:r>
                    <m:rPr>
                      <m:sty m:val="p"/>
                    </m:rPr>
                    <m:t>e</m:t>
                  </m:r>
                  <m:r>
                    <m:rPr>
                      <m:sty m:val="p"/>
                    </m:rPr>
                    <m:t>f</m:t>
                  </m:r>
                </m:sup>
              </m:sSubSup>
              <m:r>
                <m:rPr>
                  <m:sty m:val="p"/>
                </m:rPr>
                <m:t>|</m:t>
              </m:r>
            </m:oMath>
            <w:r>
              <w:t xml:space="preserve">, top-</w:t>
            </w:r>
            <m:oMath>
              <m:r>
                <m:t>k</m:t>
              </m:r>
            </m:oMath>
            <w:r>
              <w:t xml:space="preserve"> </w:t>
            </w:r>
            <w:r>
              <w:t xml:space="preserve">shortlist overlap</w:t>
            </w:r>
          </w:p>
        </w:tc>
        <w:tc>
          <w:tcPr/>
          <w:p>
            <w:pPr>
              <w:pStyle w:val="Compact"/>
            </w:pPr>
            <w:r>
              <w:t xml:space="preserve">2.8.3</w:t>
            </w:r>
          </w:p>
        </w:tc>
      </w:tr>
    </w:tbl>
    <w:p>
      <w:pPr>
        <w:pStyle w:val="BodyText"/>
      </w:pPr>
      <w:r>
        <w:t xml:space="preserve">Table 2.</w:t>
      </w:r>
      <w:r>
        <w:t xml:space="preserve"> </w:t>
      </w:r>
      <w:r>
        <w:rPr>
          <w:b/>
          <w:bCs/>
        </w:rPr>
        <w:t xml:space="preserve">Symbols and metric definitions.</w:t>
      </w:r>
      <w:r>
        <w:t xml:space="preserve"> </w:t>
      </w:r>
      <w:r>
        <w:t xml:space="preserve">Integrals run over the 120–168 h assessment window and</w:t>
      </w:r>
      <w:r>
        <w:t xml:space="preserve"> </w:t>
      </w:r>
      <m:oMath>
        <m:sSub>
          <m:e>
            <m:r>
              <m:t>w</m:t>
            </m:r>
          </m:e>
          <m:sub>
            <m:r>
              <m:t>i</m:t>
            </m:r>
          </m:sub>
        </m:sSub>
      </m:oMath>
      <w:r>
        <w:t xml:space="preserve"> </w:t>
      </w:r>
      <w:r>
        <w:t xml:space="preserve">are the normalised likelihood weights of Section 2.3.2.</w:t>
      </w:r>
    </w:p>
    <w:bookmarkEnd w:id="49"/>
    <w:bookmarkEnd w:id="50"/>
    <w:bookmarkEnd w:id="51"/>
    <w:bookmarkStart w:id="101" w:name="results-and-discussion"/>
    <w:p>
      <w:pPr>
        <w:pStyle w:val="Heading1"/>
      </w:pPr>
      <w:r>
        <w:t xml:space="preserve">3. Results and discussion</w:t>
      </w:r>
    </w:p>
    <w:bookmarkStart w:id="58" w:name="X3e78360a2ea721c0e34a02dd14dfdf7fdd4ef10"/>
    <w:p>
      <w:pPr>
        <w:pStyle w:val="Heading2"/>
      </w:pPr>
      <w:r>
        <w:t xml:space="preserve">3.1 Forward-model baseline and synthetic observations</w:t>
      </w:r>
    </w:p>
    <w:bookmarkStart w:id="52" w:name="X397fd8bc57b063757868a46a53973b8afee622d"/>
    <w:p>
      <w:pPr>
        <w:pStyle w:val="Heading3"/>
      </w:pPr>
      <w:r>
        <w:t xml:space="preserve">3.1.1 Baseline chlorine dynamics across the monitored network</w:t>
      </w:r>
    </w:p>
    <w:p>
      <w:pPr>
        <w:pStyle w:val="FirstParagraph"/>
      </w:pPr>
      <w:r>
        <w:t xml:space="preserve">The baseline inverse problem is anchored to a single reference forward field, described here;</w:t>
      </w:r>
      <w:r>
        <w:t xml:space="preserve"> </w:t>
      </w:r>
      <w:r>
        <w:t xml:space="preserve">Sections 3.3 and 3.4 perturb that field or its observation model. Under the imposed</w:t>
      </w:r>
      <w:r>
        <w:t xml:space="preserve"> </w:t>
      </w:r>
      <w:r>
        <w:t xml:space="preserve">truth, concentrations across the assessment window follow the 24 h demand and pump cycle with a</w:t>
      </w:r>
      <w:r>
        <w:t xml:space="preserve"> </w:t>
      </w:r>
      <w:r>
        <w:t xml:space="preserve">network-wide median of 0.761 mg L</w:t>
      </w:r>
      <w:r>
        <w:rPr>
          <w:vertAlign w:val="superscript"/>
        </w:rPr>
        <w:t xml:space="preserve">-1</w:t>
      </w:r>
      <w:r>
        <w:t xml:space="preserve"> </w:t>
      </w:r>
      <w:r>
        <w:t xml:space="preserve">and a 5th-to-95th percentile range of 0.168 to 0.956 mg</w:t>
      </w:r>
      <w:r>
        <w:t xml:space="preserve"> </w:t>
      </w:r>
      <w:r>
        <w:t xml:space="preserve">L</w:t>
      </w:r>
      <w:r>
        <w:rPr>
          <w:vertAlign w:val="superscript"/>
        </w:rPr>
        <w:t xml:space="preserve">-1</w:t>
      </w:r>
      <w:r>
        <w:t xml:space="preserve"> </w:t>
      </w:r>
      <w:r>
        <w:t xml:space="preserve">(Figure 1B, C).</w:t>
      </w:r>
    </w:p>
    <w:p>
      <w:pPr>
        <w:pStyle w:val="BodyText"/>
      </w:pPr>
      <w:r>
        <w:t xml:space="preserve">The six monitors sample most of that range rather than replicating one another. Mean window</w:t>
      </w:r>
      <w:r>
        <w:t xml:space="preserve"> </w:t>
      </w:r>
      <w:r>
        <w:t xml:space="preserve">concentrations are 0.845 and 0.827 mg L</w:t>
      </w:r>
      <w:r>
        <w:rPr>
          <w:vertAlign w:val="superscript"/>
        </w:rPr>
        <w:t xml:space="preserve">-1</w:t>
      </w:r>
      <w:r>
        <w:t xml:space="preserve"> </w:t>
      </w:r>
      <w:r>
        <w:t xml:space="preserve">at nodes 107 and 113 in the new zone, 0.717 and</w:t>
      </w:r>
      <w:r>
        <w:t xml:space="preserve"> </w:t>
      </w:r>
      <w:r>
        <w:t xml:space="preserve">0.374 at nodes 209 and 231 in the average zone, and 0.251 and 0.355 at nodes 15 and 145 in the</w:t>
      </w:r>
      <w:r>
        <w:t xml:space="preserve"> </w:t>
      </w:r>
      <w:r>
        <w:t xml:space="preserve">old zone. The zonal pattern follows the imposed reactivity contrast, but it does not set the</w:t>
      </w:r>
      <w:r>
        <w:t xml:space="preserve"> </w:t>
      </w:r>
      <w:r>
        <w:t xml:space="preserve">level on its own. The two average-zone monitors differ by nearly a factor of two, and node 231 clears the highest</w:t>
      </w:r>
      <w:r>
        <w:t xml:space="preserve"> </w:t>
      </w:r>
      <w:r>
        <w:t xml:space="preserve">old-zone monitor by only 0.019 mg L</w:t>
      </w:r>
      <w:r>
        <w:rPr>
          <w:vertAlign w:val="superscript"/>
        </w:rPr>
        <w:t xml:space="preserve">-1</w:t>
      </w:r>
      <w:r>
        <w:t xml:space="preserve">, because residence time and position also modulate the</w:t>
      </w:r>
      <w:r>
        <w:t xml:space="preserve"> </w:t>
      </w:r>
      <w:r>
        <w:t xml:space="preserve">decay. In the noise-free reference trajectory, 21 of the 92 junctions cross below the 0.2 mg L</w:t>
      </w:r>
      <w:r>
        <w:rPr>
          <w:vertAlign w:val="superscript"/>
        </w:rPr>
        <w:t xml:space="preserve">-1</w:t>
      </w:r>
      <w:r>
        <w:t xml:space="preserve"> </w:t>
      </w:r>
      <w:r>
        <w:t xml:space="preserve">threshold at least once in the window, a property of the truth and not the</w:t>
      </w:r>
      <w:r>
        <w:t xml:space="preserve"> </w:t>
      </w:r>
      <w:r>
        <w:t xml:space="preserve">ensemble-weighted breach count of Section 3.6.</w:t>
      </w:r>
    </w:p>
    <w:bookmarkEnd w:id="52"/>
    <w:bookmarkStart w:id="53" w:name="warm-up-and-assessment-window-adequacy"/>
    <w:p>
      <w:pPr>
        <w:pStyle w:val="Heading3"/>
      </w:pPr>
      <w:r>
        <w:t xml:space="preserve">3.1.2 Warm-up and assessment-window adequacy</w:t>
      </w:r>
    </w:p>
    <w:p>
      <w:pPr>
        <w:pStyle w:val="FirstParagraph"/>
      </w:pPr>
      <w:r>
        <w:t xml:space="preserve">The three concentration criteria, at the monitors, in the network 95th percentile and in the</w:t>
      </w:r>
      <w:r>
        <w:t xml:space="preserve"> </w:t>
      </w:r>
      <w:r>
        <w:t xml:space="preserve">tanks, were all first satisfied at 120 h, which is why the assessment window begins there.</w:t>
      </w:r>
    </w:p>
    <w:p>
      <w:pPr>
        <w:pStyle w:val="BodyText"/>
      </w:pPr>
      <w:r>
        <w:t xml:space="preserve">Two criteria were never satisfied inside the model horizon. The 95th-percentile water age was</w:t>
      </w:r>
      <w:r>
        <w:t xml:space="preserve"> </w:t>
      </w:r>
      <w:r>
        <w:t xml:space="preserve">still changing by 12.8 h between the last two available cycles, and the network-mean cumulative</w:t>
      </w:r>
      <w:r>
        <w:t xml:space="preserve"> </w:t>
      </w:r>
      <w:r>
        <w:t xml:space="preserve">deficit by as much as 5.1%. The hotspot pattern moves with it. Over the same comparison the</w:t>
      </w:r>
      <w:r>
        <w:t xml:space="preserve"> </w:t>
      </w:r>
      <w:r>
        <w:t xml:space="preserve">top-10 cumulative-deficit sets at the truth had a Jaccard overlap of 0.818, one node in ten</w:t>
      </w:r>
      <w:r>
        <w:t xml:space="preserve"> </w:t>
      </w:r>
      <w:r>
        <w:t xml:space="preserve">differing. The horizon could not be extended without modifying the model (Appendix A). Parameter</w:t>
      </w:r>
      <w:r>
        <w:t xml:space="preserve"> </w:t>
      </w:r>
      <w:r>
        <w:t xml:space="preserve">inference is therefore supported by a concentration-stable window, whereas absolute water ages,</w:t>
      </w:r>
      <w:r>
        <w:t xml:space="preserve"> </w:t>
      </w:r>
      <w:r>
        <w:t xml:space="preserve">absolute risk severities and some hotspot boundaries in Section 3.6 retain a residual dependence</w:t>
      </w:r>
      <w:r>
        <w:t xml:space="preserve"> </w:t>
      </w:r>
      <w:r>
        <w:t xml:space="preserve">on the horizon and are used for comparison between conditions rather than as calibrated</w:t>
      </w:r>
      <w:r>
        <w:t xml:space="preserve"> </w:t>
      </w:r>
      <w:r>
        <w:t xml:space="preserve">magnitudes.</w:t>
      </w:r>
    </w:p>
    <w:bookmarkEnd w:id="53"/>
    <w:bookmarkStart w:id="57" w:name="X363b76eb22d35aa07cd79805d4a68fc06fa9e46"/>
    <w:p>
      <w:pPr>
        <w:pStyle w:val="Heading3"/>
      </w:pPr>
      <w:r>
        <w:t xml:space="preserve">3.1.3 Signal and noise characteristics of the synthetic observations</w:t>
      </w:r>
    </w:p>
    <w:p>
      <w:pPr>
        <w:pStyle w:val="FirstParagraph"/>
      </w:pPr>
      <w:r>
        <w:t xml:space="preserve">Observations were formed by adding Gaussian noise with a standard deviation of 0.1 mg L</w:t>
      </w:r>
      <w:r>
        <w:rPr>
          <w:vertAlign w:val="superscript"/>
        </w:rPr>
        <w:t xml:space="preserve">-1</w:t>
      </w:r>
      <w:r>
        <w:t xml:space="preserve"> </w:t>
      </w:r>
      <w:r>
        <w:t xml:space="preserve">to</w:t>
      </w:r>
      <w:r>
        <w:t xml:space="preserve"> </w:t>
      </w:r>
      <w:r>
        <w:t xml:space="preserve">the true series at the six monitors and flooring the result at zero, giving 6 x 49 = 294</w:t>
      </w:r>
      <w:r>
        <w:t xml:space="preserve"> </w:t>
      </w:r>
      <w:r>
        <w:t xml:space="preserve">residuals. The realised noise RMSE over the window was 0.0973 mg L</w:t>
      </w:r>
      <w:r>
        <w:rPr>
          <w:vertAlign w:val="superscript"/>
        </w:rPr>
        <w:t xml:space="preserve">-1</w:t>
      </w:r>
      <w:r>
        <w:t xml:space="preserve">, while the minimum RMSE</w:t>
      </w:r>
      <w:r>
        <w:t xml:space="preserve"> </w:t>
      </w:r>
      <w:r>
        <w:t xml:space="preserve">anywhere in the 8192-member candidate library was 0.0971 mg L</w:t>
      </w:r>
      <w:r>
        <w:rPr>
          <w:vertAlign w:val="superscript"/>
        </w:rPr>
        <w:t xml:space="preserve">-1</w:t>
      </w:r>
      <w:r>
        <w:t xml:space="preserve">: the best candidate therefore</w:t>
      </w:r>
      <w:r>
        <w:t xml:space="preserve"> </w:t>
      </w:r>
      <w:r>
        <w:t xml:space="preserve">fits the observations to approximately the imposed noise floor. This establishes that a low</w:t>
      </w:r>
      <w:r>
        <w:t xml:space="preserve"> </w:t>
      </w:r>
      <w:r>
        <w:t xml:space="preserve">aggregate residual is attainable, not that the corresponding parameter vector is correctly</w:t>
      </w:r>
      <w:r>
        <w:t xml:space="preserve"> </w:t>
      </w:r>
      <w:r>
        <w:t xml:space="preserve">identified. Small residual differences accumulated over 294 observations may still carry</w:t>
      </w:r>
      <w:r>
        <w:t xml:space="preserve"> </w:t>
      </w:r>
      <w:r>
        <w:t xml:space="preserve">substantial inferential information, and Section 3.2 measures how much of it the competing</w:t>
      </w:r>
      <w:r>
        <w:t xml:space="preserve"> </w:t>
      </w:r>
      <w:r>
        <w:t xml:space="preserve">weighting rules extract.</w:t>
      </w:r>
    </w:p>
    <w:p>
      <w:pPr>
        <w:pStyle w:val="BodyText"/>
      </w:pPr>
      <w:r>
        <w:t xml:space="preserve">The same absolute error represents very different relative perturbations across the network: at</w:t>
      </w:r>
      <w:r>
        <w:t xml:space="preserve"> </w:t>
      </w:r>
      <w:r>
        <w:t xml:space="preserve">node 107 a standard deviation of 0.1 mg L</w:t>
      </w:r>
      <w:r>
        <w:rPr>
          <w:vertAlign w:val="superscript"/>
        </w:rPr>
        <w:t xml:space="preserve">-1</w:t>
      </w:r>
      <w:r>
        <w:t xml:space="preserve"> </w:t>
      </w:r>
      <w:r>
        <w:t xml:space="preserve">is about 12% of the mean concentration, against</w:t>
      </w:r>
      <w:r>
        <w:t xml:space="preserve"> </w:t>
      </w:r>
      <w:r>
        <w:t xml:space="preserve">roughly 40% at node 15. The low-concentration old-zone monitors therefore operate at a poorer</w:t>
      </w:r>
      <w:r>
        <w:t xml:space="preserve"> </w:t>
      </w:r>
      <w:r>
        <w:t xml:space="preserve">concentration-scale signal-to-noise ratio, although parameter information ultimately depends on</w:t>
      </w:r>
      <w:r>
        <w:t xml:space="preserve"> </w:t>
      </w:r>
      <w:r>
        <w:t xml:space="preserve">the concentration Jacobian rather than relative concentration alone (Section 3.2.3). In the</w:t>
      </w:r>
      <w:r>
        <w:t xml:space="preserve"> </w:t>
      </w:r>
      <w:r>
        <w:t xml:space="preserve">reference realisation, ten of the 294 observations were floored at zero. Six of these were at node 15, three at node 145 and one at node 231, that is nine in the old zone and one in the average zone, none</w:t>
      </w:r>
      <w:r>
        <w:t xml:space="preserve"> </w:t>
      </w:r>
      <w:r>
        <w:t xml:space="preserve">in the new zone. Censoring is thus concentrated in the part of the network most relevant to the threshold-based</w:t>
      </w:r>
      <w:r>
        <w:t xml:space="preserve"> </w:t>
      </w:r>
      <w:r>
        <w:t xml:space="preserve">risk analysis that follows, and is handled explicitly in the primary likelihood.</w:t>
      </w:r>
    </w:p>
    <w:p>
      <w:pPr>
        <w:pStyle w:val="CaptionedFigure"/>
      </w:pPr>
      <w:r>
        <w:drawing>
          <wp:inline>
            <wp:extent cx="5472649" cy="2245894"/>
            <wp:effectExtent b="0" l="0" r="0" t="0"/>
            <wp:docPr descr="Figure 1. Study system and forward baseline. (A) Net3 with pipes coloured by synthetic reaction zone. (B) True concentration at the monitors over the assessment window, with the noisy calibration observations. (C) Per-junction window minimum over the deterministic truth." title="" id="55" name="Picture"/>
            <a:graphic>
              <a:graphicData uri="http://schemas.openxmlformats.org/drawingml/2006/picture">
                <pic:pic>
                  <pic:nvPicPr>
                    <pic:cNvPr descr="figures/paper/fig1_study_design.png" id="56" name="Picture"/>
                    <pic:cNvPicPr>
                      <a:picLocks noChangeArrowheads="1" noChangeAspect="1"/>
                    </pic:cNvPicPr>
                  </pic:nvPicPr>
                  <pic:blipFill>
                    <a:blip r:embed="rId54"/>
                    <a:stretch>
                      <a:fillRect/>
                    </a:stretch>
                  </pic:blipFill>
                  <pic:spPr bwMode="auto">
                    <a:xfrm>
                      <a:off x="0" y="0"/>
                      <a:ext cx="5472649" cy="2245894"/>
                    </a:xfrm>
                    <a:prstGeom prst="rect">
                      <a:avLst/>
                    </a:prstGeom>
                    <a:noFill/>
                    <a:ln w="9525">
                      <a:noFill/>
                      <a:headEnd/>
                      <a:tailEnd/>
                    </a:ln>
                  </pic:spPr>
                </pic:pic>
              </a:graphicData>
            </a:graphic>
          </wp:inline>
        </w:drawing>
      </w:r>
    </w:p>
    <w:p>
      <w:pPr>
        <w:pStyle w:val="ImageCaption"/>
      </w:pPr>
      <w:r>
        <w:t xml:space="preserve">Figure 1.</w:t>
      </w:r>
      <w:r>
        <w:t xml:space="preserve"> </w:t>
      </w:r>
      <w:r>
        <w:rPr>
          <w:b/>
          <w:bCs/>
        </w:rPr>
        <w:t xml:space="preserve">Study system and forward baseline.</w:t>
      </w:r>
      <w:r>
        <w:t xml:space="preserve"> </w:t>
      </w:r>
      <w:r>
        <w:t xml:space="preserve">(A) Net3 with pipes coloured by synthetic reaction zone. (B) True concentration at the monitors over the assessment window, with the noisy calibration observations. (C) Per-junction window minimum over the deterministic truth.</w:t>
      </w:r>
    </w:p>
    <w:bookmarkEnd w:id="57"/>
    <w:bookmarkEnd w:id="58"/>
    <w:bookmarkStart w:id="68" w:name="X7b47f5ae1b22a149158dafccf276b81bf54b073"/>
    <w:p>
      <w:pPr>
        <w:pStyle w:val="Heading2"/>
      </w:pPr>
      <w:r>
        <w:t xml:space="preserve">3.2 Inference formulation determines apparent identifiability</w:t>
      </w:r>
    </w:p>
    <w:bookmarkStart w:id="62" w:name="Xca8b7342834ba1321fa518e701a07bd1384c0bb"/>
    <w:p>
      <w:pPr>
        <w:pStyle w:val="Heading3"/>
      </w:pPr>
      <w:r>
        <w:t xml:space="preserve">3.2.1 The same observations under three weighting rules</w:t>
      </w:r>
    </w:p>
    <w:p>
      <w:pPr>
        <w:pStyle w:val="FirstParagraph"/>
      </w:pPr>
      <w:r>
        <w:t xml:space="preserve">How much of any answer about parameter information is a property of the weighting rule rather</w:t>
      </w:r>
      <w:r>
        <w:t xml:space="preserve"> </w:t>
      </w:r>
      <w:r>
        <w:t xml:space="preserve">than of the data? All three rules were applied to one library of 8192 candidates, so</w:t>
      </w:r>
      <w:r>
        <w:t xml:space="preserve"> </w:t>
      </w:r>
      <w:r>
        <w:t xml:space="preserve">observations, prior and candidate set were identical and only the weighting changed.</w:t>
      </w:r>
    </w:p>
    <w:p>
      <w:pPr>
        <w:pStyle w:val="BodyText"/>
      </w:pPr>
      <w:r>
        <w:t xml:space="preserve">The three rules disagree sharply (Table 3, Figure 2). Under the primary censored Gaussian</w:t>
      </w:r>
      <w:r>
        <w:t xml:space="preserve"> </w:t>
      </w:r>
      <w:r>
        <w:t xml:space="preserve">likelihood the posterior standard deviation was 25.0%, 30.7% and 28.3% of the prior standard</w:t>
      </w:r>
      <w:r>
        <w:t xml:space="preserve"> </w:t>
      </w:r>
      <w:r>
        <w:t xml:space="preserve">deviation for the old, average and new coefficients respectively. Under the informal GLUE score at the threshold used in the original analysis, RMSE &lt; 0.120 mg</w:t>
      </w:r>
      <w:r>
        <w:t xml:space="preserve"> </w:t>
      </w:r>
      <w:r>
        <w:t xml:space="preserve">L</w:t>
      </w:r>
      <w:r>
        <w:rPr>
          <w:vertAlign w:val="superscript"/>
        </w:rPr>
        <w:t xml:space="preserve">-1</w:t>
      </w:r>
      <w:r>
        <w:t xml:space="preserve">, the same 294 residuals left 85.8%, 98.4% and 98.0% of the prior standard deviation intact.</w:t>
      </w:r>
      <w:r>
        <w:t xml:space="preserve"> </w:t>
      </w:r>
      <w:r>
        <w:t xml:space="preserve">The average and new behavioural distributions retained essentially the full prior dispersion and</w:t>
      </w:r>
      <w:r>
        <w:t xml:space="preserve"> </w:t>
      </w:r>
      <w:r>
        <w:t xml:space="preserve">were effectively prior-dominated under this rule. The formal iid comparator, which differs from the primary rule</w:t>
      </w:r>
      <w:r>
        <w:t xml:space="preserve"> </w:t>
      </w:r>
      <w:r>
        <w:t xml:space="preserve">only in treating a floored reading as an exact zero, returned 24.5%, 30.6% and 28.3%; the</w:t>
      </w:r>
      <w:r>
        <w:t xml:space="preserve"> </w:t>
      </w:r>
      <w:r>
        <w:t xml:space="preserve">treatment of the ten floored observations therefore cannot explain the formal–informal</w:t>
      </w:r>
      <w:r>
        <w:t xml:space="preserve"> </w:t>
      </w:r>
      <w:r>
        <w:t xml:space="preserve">difference in this experiment.</w:t>
      </w:r>
    </w:p>
    <w:tbl>
      <w:tblPr>
        <w:tblStyle w:val="Table"/>
        <w:tblW w:type="pct" w:w="5000"/>
        <w:tblLayout w:type="fixed"/>
        <w:tblLook w:firstRow="1" w:lastRow="0" w:firstColumn="0" w:lastColumn="0" w:noHBand="0" w:noVBand="0" w:val="0020"/>
      </w:tblPr>
      <w:tblGrid>
        <w:gridCol w:w="792"/>
        <w:gridCol w:w="1056"/>
        <w:gridCol w:w="1056"/>
        <w:gridCol w:w="792"/>
        <w:gridCol w:w="1056"/>
        <w:gridCol w:w="1056"/>
        <w:gridCol w:w="1056"/>
        <w:gridCol w:w="1056"/>
      </w:tblGrid>
      <w:tr>
        <w:trPr>
          <w:tblHeader w:val="on"/>
        </w:trPr>
        <w:tc>
          <w:tcPr/>
          <w:p>
            <w:pPr>
              <w:pStyle w:val="Compact"/>
            </w:pPr>
            <w:r>
              <w:t xml:space="preserve">Coefficient</w:t>
            </w:r>
          </w:p>
        </w:tc>
        <w:tc>
          <w:tcPr/>
          <w:p>
            <w:pPr>
              <w:pStyle w:val="Compact"/>
              <w:jc w:val="right"/>
            </w:pPr>
            <w:r>
              <w:t xml:space="preserve">Truth</w:t>
            </w:r>
          </w:p>
        </w:tc>
        <w:tc>
          <w:tcPr/>
          <w:p>
            <w:pPr>
              <w:pStyle w:val="Compact"/>
              <w:jc w:val="right"/>
            </w:pPr>
            <w:r>
              <w:t xml:space="preserve">Prior SD</w:t>
            </w:r>
          </w:p>
        </w:tc>
        <w:tc>
          <w:tcPr/>
          <w:p>
            <w:pPr>
              <w:pStyle w:val="Compact"/>
            </w:pPr>
            <w:r>
              <w:t xml:space="preserve">Scheme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SD retained</w:t>
            </w:r>
          </w:p>
        </w:tc>
        <w:tc>
          <w:tcPr/>
          <w:p>
            <w:pPr>
              <w:pStyle w:val="Compact"/>
              <w:jc w:val="right"/>
            </w:pPr>
            <w:r>
              <w:t xml:space="preserve">ESS</w:t>
            </w:r>
          </w:p>
        </w:tc>
      </w:tr>
      <w:tr>
        <w:tc>
          <w:tcPr/>
          <w:p>
            <w:pPr>
              <w:pStyle w:val="Compact"/>
            </w:pPr>
            <w:r>
              <w:t xml:space="preserve">old</w:t>
            </w:r>
          </w:p>
        </w:tc>
        <w:tc>
          <w:tcPr/>
          <w:p>
            <w:pPr>
              <w:pStyle w:val="Compact"/>
              <w:jc w:val="right"/>
            </w:pPr>
            <w:r>
              <w:t xml:space="preserve">-1.000</w:t>
            </w:r>
          </w:p>
        </w:tc>
        <w:tc>
          <w:tcPr/>
          <w:p>
            <w:pPr>
              <w:pStyle w:val="Compact"/>
              <w:jc w:val="right"/>
            </w:pPr>
            <w:r>
              <w:t xml:space="preserve">0.3753</w:t>
            </w:r>
          </w:p>
        </w:tc>
        <w:tc>
          <w:tcPr/>
          <w:p>
            <w:pPr>
              <w:pStyle w:val="Compact"/>
            </w:pPr>
            <w:r>
              <w:t xml:space="preserve">formal censored</w:t>
            </w:r>
          </w:p>
        </w:tc>
        <w:tc>
          <w:tcPr/>
          <w:p>
            <w:pPr>
              <w:pStyle w:val="Compact"/>
              <w:jc w:val="right"/>
            </w:pPr>
            <w:r>
              <w:t xml:space="preserve">-0.9876</w:t>
            </w:r>
          </w:p>
        </w:tc>
        <w:tc>
          <w:tcPr/>
          <w:p>
            <w:pPr>
              <w:pStyle w:val="Compact"/>
              <w:jc w:val="right"/>
            </w:pPr>
            <w:r>
              <w:t xml:space="preserve">0.0938</w:t>
            </w:r>
          </w:p>
        </w:tc>
        <w:tc>
          <w:tcPr/>
          <w:p>
            <w:pPr>
              <w:pStyle w:val="Compact"/>
              <w:jc w:val="right"/>
            </w:pPr>
            <w:r>
              <w:t xml:space="preserve">25.0%</w:t>
            </w:r>
          </w:p>
        </w:tc>
        <w:tc>
          <w:tcPr/>
          <w:p>
            <w:pPr>
              <w:pStyle w:val="Compact"/>
              <w:jc w:val="right"/>
            </w:pPr>
            <w:r>
              <w:t xml:space="preserve">157</w:t>
            </w:r>
          </w:p>
        </w:tc>
      </w:tr>
      <w:tr>
        <w:tc>
          <w:tcPr/>
          <w:p>
            <w:pPr>
              <w:pStyle w:val="Compact"/>
            </w:pPr>
          </w:p>
        </w:tc>
        <w:tc>
          <w:tcPr/>
          <w:p>
            <w:pPr>
              <w:pStyle w:val="Compact"/>
              <w:jc w:val="right"/>
            </w:pPr>
            <w:r>
              <w:t xml:space="preserve">-1.000</w:t>
            </w:r>
          </w:p>
        </w:tc>
        <w:tc>
          <w:tcPr/>
          <w:p>
            <w:pPr>
              <w:pStyle w:val="Compact"/>
              <w:jc w:val="right"/>
            </w:pPr>
            <w:r>
              <w:t xml:space="preserve">0.3753</w:t>
            </w:r>
          </w:p>
        </w:tc>
        <w:tc>
          <w:tcPr/>
          <w:p>
            <w:pPr>
              <w:pStyle w:val="Compact"/>
            </w:pPr>
            <w:r>
              <w:t xml:space="preserve">formal iid</w:t>
            </w:r>
          </w:p>
        </w:tc>
        <w:tc>
          <w:tcPr/>
          <w:p>
            <w:pPr>
              <w:pStyle w:val="Compact"/>
              <w:jc w:val="right"/>
            </w:pPr>
            <w:r>
              <w:t xml:space="preserve">-0.9708</w:t>
            </w:r>
          </w:p>
        </w:tc>
        <w:tc>
          <w:tcPr/>
          <w:p>
            <w:pPr>
              <w:pStyle w:val="Compact"/>
              <w:jc w:val="right"/>
            </w:pPr>
            <w:r>
              <w:t xml:space="preserve">0.0920</w:t>
            </w:r>
          </w:p>
        </w:tc>
        <w:tc>
          <w:tcPr/>
          <w:p>
            <w:pPr>
              <w:pStyle w:val="Compact"/>
              <w:jc w:val="right"/>
            </w:pPr>
            <w:r>
              <w:t xml:space="preserve">24.5%</w:t>
            </w:r>
          </w:p>
        </w:tc>
        <w:tc>
          <w:tcPr/>
          <w:p>
            <w:pPr>
              <w:pStyle w:val="Compact"/>
              <w:jc w:val="right"/>
            </w:pPr>
            <w:r>
              <w:t xml:space="preserve">154</w:t>
            </w:r>
          </w:p>
        </w:tc>
      </w:tr>
      <w:tr>
        <w:tc>
          <w:tcPr/>
          <w:p>
            <w:pPr>
              <w:pStyle w:val="Compact"/>
            </w:pPr>
          </w:p>
        </w:tc>
        <w:tc>
          <w:tcPr/>
          <w:p>
            <w:pPr>
              <w:pStyle w:val="Compact"/>
              <w:jc w:val="right"/>
            </w:pPr>
            <w:r>
              <w:t xml:space="preserve">-1.000</w:t>
            </w:r>
          </w:p>
        </w:tc>
        <w:tc>
          <w:tcPr/>
          <w:p>
            <w:pPr>
              <w:pStyle w:val="Compact"/>
              <w:jc w:val="right"/>
            </w:pPr>
            <w:r>
              <w:t xml:space="preserve">0.3753</w:t>
            </w:r>
          </w:p>
        </w:tc>
        <w:tc>
          <w:tcPr/>
          <w:p>
            <w:pPr>
              <w:pStyle w:val="Compact"/>
            </w:pPr>
            <w:r>
              <w:t xml:space="preserve">informal GLUE 0.107</w:t>
            </w:r>
          </w:p>
        </w:tc>
        <w:tc>
          <w:tcPr/>
          <w:p>
            <w:pPr>
              <w:pStyle w:val="Compact"/>
              <w:jc w:val="right"/>
            </w:pPr>
            <w:r>
              <w:t xml:space="preserve">-1.0115</w:t>
            </w:r>
          </w:p>
        </w:tc>
        <w:tc>
          <w:tcPr/>
          <w:p>
            <w:pPr>
              <w:pStyle w:val="Compact"/>
              <w:jc w:val="right"/>
            </w:pPr>
            <w:r>
              <w:t xml:space="preserve">0.2668</w:t>
            </w:r>
          </w:p>
        </w:tc>
        <w:tc>
          <w:tcPr/>
          <w:p>
            <w:pPr>
              <w:pStyle w:val="Compact"/>
              <w:jc w:val="right"/>
            </w:pPr>
            <w:r>
              <w:t xml:space="preserve">71.1%</w:t>
            </w:r>
          </w:p>
        </w:tc>
        <w:tc>
          <w:tcPr/>
          <w:p>
            <w:pPr>
              <w:pStyle w:val="Compact"/>
              <w:jc w:val="right"/>
            </w:pPr>
            <w:r>
              <w:t xml:space="preserve">4783</w:t>
            </w:r>
          </w:p>
        </w:tc>
      </w:tr>
      <w:tr>
        <w:tc>
          <w:tcPr/>
          <w:p>
            <w:pPr>
              <w:pStyle w:val="Compact"/>
            </w:pPr>
          </w:p>
        </w:tc>
        <w:tc>
          <w:tcPr/>
          <w:p>
            <w:pPr>
              <w:pStyle w:val="Compact"/>
              <w:jc w:val="right"/>
            </w:pPr>
            <w:r>
              <w:t xml:space="preserve">-1.000</w:t>
            </w:r>
          </w:p>
        </w:tc>
        <w:tc>
          <w:tcPr/>
          <w:p>
            <w:pPr>
              <w:pStyle w:val="Compact"/>
              <w:jc w:val="right"/>
            </w:pPr>
            <w:r>
              <w:t xml:space="preserve">0.3753</w:t>
            </w:r>
          </w:p>
        </w:tc>
        <w:tc>
          <w:tcPr/>
          <w:p>
            <w:pPr>
              <w:pStyle w:val="Compact"/>
            </w:pPr>
            <w:r>
              <w:t xml:space="preserve">informal GLUE 0.120</w:t>
            </w:r>
          </w:p>
        </w:tc>
        <w:tc>
          <w:tcPr/>
          <w:p>
            <w:pPr>
              <w:pStyle w:val="Compact"/>
              <w:jc w:val="right"/>
            </w:pPr>
            <w:r>
              <w:t xml:space="preserve">-0.9431</w:t>
            </w:r>
          </w:p>
        </w:tc>
        <w:tc>
          <w:tcPr/>
          <w:p>
            <w:pPr>
              <w:pStyle w:val="Compact"/>
              <w:jc w:val="right"/>
            </w:pPr>
            <w:r>
              <w:t xml:space="preserve">0.3220</w:t>
            </w:r>
          </w:p>
        </w:tc>
        <w:tc>
          <w:tcPr/>
          <w:p>
            <w:pPr>
              <w:pStyle w:val="Compact"/>
              <w:jc w:val="right"/>
            </w:pPr>
            <w:r>
              <w:t xml:space="preserve">85.8%</w:t>
            </w:r>
          </w:p>
        </w:tc>
        <w:tc>
          <w:tcPr/>
          <w:p>
            <w:pPr>
              <w:pStyle w:val="Compact"/>
              <w:jc w:val="right"/>
            </w:pPr>
            <w:r>
              <w:t xml:space="preserve">7062</w:t>
            </w:r>
          </w:p>
        </w:tc>
      </w:tr>
      <w:tr>
        <w:tc>
          <w:tcPr/>
          <w:p>
            <w:pPr>
              <w:pStyle w:val="Compact"/>
            </w:pPr>
            <w:r>
              <w:t xml:space="preserve">average</w:t>
            </w:r>
          </w:p>
        </w:tc>
        <w:tc>
          <w:tcPr/>
          <w:p>
            <w:pPr>
              <w:pStyle w:val="Compact"/>
              <w:jc w:val="right"/>
            </w:pPr>
            <w:r>
              <w:t xml:space="preserve">-0.100</w:t>
            </w:r>
          </w:p>
        </w:tc>
        <w:tc>
          <w:tcPr/>
          <w:p>
            <w:pPr>
              <w:pStyle w:val="Compact"/>
              <w:jc w:val="right"/>
            </w:pPr>
            <w:r>
              <w:t xml:space="preserve">0.0462</w:t>
            </w:r>
          </w:p>
        </w:tc>
        <w:tc>
          <w:tcPr/>
          <w:p>
            <w:pPr>
              <w:pStyle w:val="Compact"/>
            </w:pPr>
            <w:r>
              <w:t xml:space="preserve">formal censored</w:t>
            </w:r>
          </w:p>
        </w:tc>
        <w:tc>
          <w:tcPr/>
          <w:p>
            <w:pPr>
              <w:pStyle w:val="Compact"/>
              <w:jc w:val="right"/>
            </w:pPr>
            <w:r>
              <w:t xml:space="preserve">-0.1091</w:t>
            </w:r>
          </w:p>
        </w:tc>
        <w:tc>
          <w:tcPr/>
          <w:p>
            <w:pPr>
              <w:pStyle w:val="Compact"/>
              <w:jc w:val="right"/>
            </w:pPr>
            <w:r>
              <w:t xml:space="preserve">0.0142</w:t>
            </w:r>
          </w:p>
        </w:tc>
        <w:tc>
          <w:tcPr/>
          <w:p>
            <w:pPr>
              <w:pStyle w:val="Compact"/>
              <w:jc w:val="right"/>
            </w:pPr>
            <w:r>
              <w:t xml:space="preserve">30.7%</w:t>
            </w:r>
          </w:p>
        </w:tc>
        <w:tc>
          <w:tcPr/>
          <w:p>
            <w:pPr>
              <w:pStyle w:val="Compact"/>
              <w:jc w:val="right"/>
            </w:pPr>
            <w:r>
              <w:t xml:space="preserve">157</w:t>
            </w:r>
          </w:p>
        </w:tc>
      </w:tr>
      <w:tr>
        <w:tc>
          <w:tcPr/>
          <w:p>
            <w:pPr>
              <w:pStyle w:val="Compact"/>
            </w:pPr>
          </w:p>
        </w:tc>
        <w:tc>
          <w:tcPr/>
          <w:p>
            <w:pPr>
              <w:pStyle w:val="Compact"/>
              <w:jc w:val="right"/>
            </w:pPr>
            <w:r>
              <w:t xml:space="preserve">-0.100</w:t>
            </w:r>
          </w:p>
        </w:tc>
        <w:tc>
          <w:tcPr/>
          <w:p>
            <w:pPr>
              <w:pStyle w:val="Compact"/>
              <w:jc w:val="right"/>
            </w:pPr>
            <w:r>
              <w:t xml:space="preserve">0.0462</w:t>
            </w:r>
          </w:p>
        </w:tc>
        <w:tc>
          <w:tcPr/>
          <w:p>
            <w:pPr>
              <w:pStyle w:val="Compact"/>
            </w:pPr>
            <w:r>
              <w:t xml:space="preserve">formal iid</w:t>
            </w:r>
          </w:p>
        </w:tc>
        <w:tc>
          <w:tcPr/>
          <w:p>
            <w:pPr>
              <w:pStyle w:val="Compact"/>
              <w:jc w:val="right"/>
            </w:pPr>
            <w:r>
              <w:t xml:space="preserve">-0.1087</w:t>
            </w:r>
          </w:p>
        </w:tc>
        <w:tc>
          <w:tcPr/>
          <w:p>
            <w:pPr>
              <w:pStyle w:val="Compact"/>
              <w:jc w:val="right"/>
            </w:pPr>
            <w:r>
              <w:t xml:space="preserve">0.0141</w:t>
            </w:r>
          </w:p>
        </w:tc>
        <w:tc>
          <w:tcPr/>
          <w:p>
            <w:pPr>
              <w:pStyle w:val="Compact"/>
              <w:jc w:val="right"/>
            </w:pPr>
            <w:r>
              <w:t xml:space="preserve">30.6%</w:t>
            </w:r>
          </w:p>
        </w:tc>
        <w:tc>
          <w:tcPr/>
          <w:p>
            <w:pPr>
              <w:pStyle w:val="Compact"/>
              <w:jc w:val="right"/>
            </w:pPr>
            <w:r>
              <w:t xml:space="preserve">154</w:t>
            </w:r>
          </w:p>
        </w:tc>
      </w:tr>
      <w:tr>
        <w:tc>
          <w:tcPr/>
          <w:p>
            <w:pPr>
              <w:pStyle w:val="Compact"/>
            </w:pPr>
          </w:p>
        </w:tc>
        <w:tc>
          <w:tcPr/>
          <w:p>
            <w:pPr>
              <w:pStyle w:val="Compact"/>
              <w:jc w:val="right"/>
            </w:pPr>
            <w:r>
              <w:t xml:space="preserve">-0.100</w:t>
            </w:r>
          </w:p>
        </w:tc>
        <w:tc>
          <w:tcPr/>
          <w:p>
            <w:pPr>
              <w:pStyle w:val="Compact"/>
              <w:jc w:val="right"/>
            </w:pPr>
            <w:r>
              <w:t xml:space="preserve">0.0462</w:t>
            </w:r>
          </w:p>
        </w:tc>
        <w:tc>
          <w:tcPr/>
          <w:p>
            <w:pPr>
              <w:pStyle w:val="Compact"/>
            </w:pPr>
            <w:r>
              <w:t xml:space="preserve">informal GLUE 0.107</w:t>
            </w:r>
          </w:p>
        </w:tc>
        <w:tc>
          <w:tcPr/>
          <w:p>
            <w:pPr>
              <w:pStyle w:val="Compact"/>
              <w:jc w:val="right"/>
            </w:pPr>
            <w:r>
              <w:t xml:space="preserve">-0.1170</w:t>
            </w:r>
          </w:p>
        </w:tc>
        <w:tc>
          <w:tcPr/>
          <w:p>
            <w:pPr>
              <w:pStyle w:val="Compact"/>
              <w:jc w:val="right"/>
            </w:pPr>
            <w:r>
              <w:t xml:space="preserve">0.0424</w:t>
            </w:r>
          </w:p>
        </w:tc>
        <w:tc>
          <w:tcPr/>
          <w:p>
            <w:pPr>
              <w:pStyle w:val="Compact"/>
              <w:jc w:val="right"/>
            </w:pPr>
            <w:r>
              <w:t xml:space="preserve">91.8%</w:t>
            </w:r>
          </w:p>
        </w:tc>
        <w:tc>
          <w:tcPr/>
          <w:p>
            <w:pPr>
              <w:pStyle w:val="Compact"/>
              <w:jc w:val="right"/>
            </w:pPr>
            <w:r>
              <w:t xml:space="preserve">4783</w:t>
            </w:r>
          </w:p>
        </w:tc>
      </w:tr>
      <w:tr>
        <w:tc>
          <w:tcPr/>
          <w:p>
            <w:pPr>
              <w:pStyle w:val="Compact"/>
            </w:pPr>
          </w:p>
        </w:tc>
        <w:tc>
          <w:tcPr/>
          <w:p>
            <w:pPr>
              <w:pStyle w:val="Compact"/>
              <w:jc w:val="right"/>
            </w:pPr>
            <w:r>
              <w:t xml:space="preserve">-0.100</w:t>
            </w:r>
          </w:p>
        </w:tc>
        <w:tc>
          <w:tcPr/>
          <w:p>
            <w:pPr>
              <w:pStyle w:val="Compact"/>
              <w:jc w:val="right"/>
            </w:pPr>
            <w:r>
              <w:t xml:space="preserve">0.0462</w:t>
            </w:r>
          </w:p>
        </w:tc>
        <w:tc>
          <w:tcPr/>
          <w:p>
            <w:pPr>
              <w:pStyle w:val="Compact"/>
            </w:pPr>
            <w:r>
              <w:t xml:space="preserve">informal GLUE 0.120</w:t>
            </w:r>
          </w:p>
        </w:tc>
        <w:tc>
          <w:tcPr/>
          <w:p>
            <w:pPr>
              <w:pStyle w:val="Compact"/>
              <w:jc w:val="right"/>
            </w:pPr>
            <w:r>
              <w:t xml:space="preserve">-0.1196</w:t>
            </w:r>
          </w:p>
        </w:tc>
        <w:tc>
          <w:tcPr/>
          <w:p>
            <w:pPr>
              <w:pStyle w:val="Compact"/>
              <w:jc w:val="right"/>
            </w:pPr>
            <w:r>
              <w:t xml:space="preserve">0.0455</w:t>
            </w:r>
          </w:p>
        </w:tc>
        <w:tc>
          <w:tcPr/>
          <w:p>
            <w:pPr>
              <w:pStyle w:val="Compact"/>
              <w:jc w:val="right"/>
            </w:pPr>
            <w:r>
              <w:t xml:space="preserve">98.4%</w:t>
            </w:r>
          </w:p>
        </w:tc>
        <w:tc>
          <w:tcPr/>
          <w:p>
            <w:pPr>
              <w:pStyle w:val="Compact"/>
              <w:jc w:val="right"/>
            </w:pPr>
            <w:r>
              <w:t xml:space="preserve">7062</w:t>
            </w:r>
          </w:p>
        </w:tc>
      </w:tr>
      <w:tr>
        <w:tc>
          <w:tcPr/>
          <w:p>
            <w:pPr>
              <w:pStyle w:val="Compact"/>
            </w:pPr>
            <w:r>
              <w:t xml:space="preserve">new</w:t>
            </w:r>
          </w:p>
        </w:tc>
        <w:tc>
          <w:tcPr/>
          <w:p>
            <w:pPr>
              <w:pStyle w:val="Compact"/>
              <w:jc w:val="right"/>
            </w:pPr>
            <w:r>
              <w:t xml:space="preserve">-0.050</w:t>
            </w:r>
          </w:p>
        </w:tc>
        <w:tc>
          <w:tcPr/>
          <w:p>
            <w:pPr>
              <w:pStyle w:val="Compact"/>
              <w:jc w:val="right"/>
            </w:pPr>
            <w:r>
              <w:t xml:space="preserve">0.0274</w:t>
            </w:r>
          </w:p>
        </w:tc>
        <w:tc>
          <w:tcPr/>
          <w:p>
            <w:pPr>
              <w:pStyle w:val="Compact"/>
            </w:pPr>
            <w:r>
              <w:t xml:space="preserve">formal censored</w:t>
            </w:r>
          </w:p>
        </w:tc>
        <w:tc>
          <w:tcPr/>
          <w:p>
            <w:pPr>
              <w:pStyle w:val="Compact"/>
              <w:jc w:val="right"/>
            </w:pPr>
            <w:r>
              <w:t xml:space="preserve">-0.0440</w:t>
            </w:r>
          </w:p>
        </w:tc>
        <w:tc>
          <w:tcPr/>
          <w:p>
            <w:pPr>
              <w:pStyle w:val="Compact"/>
              <w:jc w:val="right"/>
            </w:pPr>
            <w:r>
              <w:t xml:space="preserve">0.0078</w:t>
            </w:r>
          </w:p>
        </w:tc>
        <w:tc>
          <w:tcPr/>
          <w:p>
            <w:pPr>
              <w:pStyle w:val="Compact"/>
              <w:jc w:val="right"/>
            </w:pPr>
            <w:r>
              <w:t xml:space="preserve">28.3%</w:t>
            </w:r>
          </w:p>
        </w:tc>
        <w:tc>
          <w:tcPr/>
          <w:p>
            <w:pPr>
              <w:pStyle w:val="Compact"/>
              <w:jc w:val="right"/>
            </w:pPr>
            <w:r>
              <w:t xml:space="preserve">157</w:t>
            </w:r>
          </w:p>
        </w:tc>
      </w:tr>
      <w:tr>
        <w:tc>
          <w:tcPr/>
          <w:p>
            <w:pPr>
              <w:pStyle w:val="Compact"/>
            </w:pPr>
          </w:p>
        </w:tc>
        <w:tc>
          <w:tcPr/>
          <w:p>
            <w:pPr>
              <w:pStyle w:val="Compact"/>
              <w:jc w:val="right"/>
            </w:pPr>
            <w:r>
              <w:t xml:space="preserve">-0.050</w:t>
            </w:r>
          </w:p>
        </w:tc>
        <w:tc>
          <w:tcPr/>
          <w:p>
            <w:pPr>
              <w:pStyle w:val="Compact"/>
              <w:jc w:val="right"/>
            </w:pPr>
            <w:r>
              <w:t xml:space="preserve">0.0274</w:t>
            </w:r>
          </w:p>
        </w:tc>
        <w:tc>
          <w:tcPr/>
          <w:p>
            <w:pPr>
              <w:pStyle w:val="Compact"/>
            </w:pPr>
            <w:r>
              <w:t xml:space="preserve">formal iid</w:t>
            </w:r>
          </w:p>
        </w:tc>
        <w:tc>
          <w:tcPr/>
          <w:p>
            <w:pPr>
              <w:pStyle w:val="Compact"/>
              <w:jc w:val="right"/>
            </w:pPr>
            <w:r>
              <w:t xml:space="preserve">-0.0441</w:t>
            </w:r>
          </w:p>
        </w:tc>
        <w:tc>
          <w:tcPr/>
          <w:p>
            <w:pPr>
              <w:pStyle w:val="Compact"/>
              <w:jc w:val="right"/>
            </w:pPr>
            <w:r>
              <w:t xml:space="preserve">0.0078</w:t>
            </w:r>
          </w:p>
        </w:tc>
        <w:tc>
          <w:tcPr/>
          <w:p>
            <w:pPr>
              <w:pStyle w:val="Compact"/>
              <w:jc w:val="right"/>
            </w:pPr>
            <w:r>
              <w:t xml:space="preserve">28.3%</w:t>
            </w:r>
          </w:p>
        </w:tc>
        <w:tc>
          <w:tcPr/>
          <w:p>
            <w:pPr>
              <w:pStyle w:val="Compact"/>
              <w:jc w:val="right"/>
            </w:pPr>
            <w:r>
              <w:t xml:space="preserve">154</w:t>
            </w:r>
          </w:p>
        </w:tc>
      </w:tr>
      <w:tr>
        <w:tc>
          <w:tcPr/>
          <w:p>
            <w:pPr>
              <w:pStyle w:val="Compact"/>
            </w:pPr>
          </w:p>
        </w:tc>
        <w:tc>
          <w:tcPr/>
          <w:p>
            <w:pPr>
              <w:pStyle w:val="Compact"/>
              <w:jc w:val="right"/>
            </w:pPr>
            <w:r>
              <w:t xml:space="preserve">-0.050</w:t>
            </w:r>
          </w:p>
        </w:tc>
        <w:tc>
          <w:tcPr/>
          <w:p>
            <w:pPr>
              <w:pStyle w:val="Compact"/>
              <w:jc w:val="right"/>
            </w:pPr>
            <w:r>
              <w:t xml:space="preserve">0.0274</w:t>
            </w:r>
          </w:p>
        </w:tc>
        <w:tc>
          <w:tcPr/>
          <w:p>
            <w:pPr>
              <w:pStyle w:val="Compact"/>
            </w:pPr>
            <w:r>
              <w:t xml:space="preserve">informal GLUE 0.107</w:t>
            </w:r>
          </w:p>
        </w:tc>
        <w:tc>
          <w:tcPr/>
          <w:p>
            <w:pPr>
              <w:pStyle w:val="Compact"/>
              <w:jc w:val="right"/>
            </w:pPr>
            <w:r>
              <w:t xml:space="preserve">-0.0492</w:t>
            </w:r>
          </w:p>
        </w:tc>
        <w:tc>
          <w:tcPr/>
          <w:p>
            <w:pPr>
              <w:pStyle w:val="Compact"/>
              <w:jc w:val="right"/>
            </w:pPr>
            <w:r>
              <w:t xml:space="preserve">0.0242</w:t>
            </w:r>
          </w:p>
        </w:tc>
        <w:tc>
          <w:tcPr/>
          <w:p>
            <w:pPr>
              <w:pStyle w:val="Compact"/>
              <w:jc w:val="right"/>
            </w:pPr>
            <w:r>
              <w:t xml:space="preserve">88.2%</w:t>
            </w:r>
          </w:p>
        </w:tc>
        <w:tc>
          <w:tcPr/>
          <w:p>
            <w:pPr>
              <w:pStyle w:val="Compact"/>
              <w:jc w:val="right"/>
            </w:pPr>
            <w:r>
              <w:t xml:space="preserve">4783</w:t>
            </w:r>
          </w:p>
        </w:tc>
      </w:tr>
      <w:tr>
        <w:tc>
          <w:tcPr/>
          <w:p>
            <w:pPr>
              <w:pStyle w:val="Compact"/>
            </w:pPr>
          </w:p>
        </w:tc>
        <w:tc>
          <w:tcPr/>
          <w:p>
            <w:pPr>
              <w:pStyle w:val="Compact"/>
              <w:jc w:val="right"/>
            </w:pPr>
            <w:r>
              <w:t xml:space="preserve">-0.050</w:t>
            </w:r>
          </w:p>
        </w:tc>
        <w:tc>
          <w:tcPr/>
          <w:p>
            <w:pPr>
              <w:pStyle w:val="Compact"/>
              <w:jc w:val="right"/>
            </w:pPr>
            <w:r>
              <w:t xml:space="preserve">0.0274</w:t>
            </w:r>
          </w:p>
        </w:tc>
        <w:tc>
          <w:tcPr/>
          <w:p>
            <w:pPr>
              <w:pStyle w:val="Compact"/>
            </w:pPr>
            <w:r>
              <w:t xml:space="preserve">informal GLUE 0.120</w:t>
            </w:r>
          </w:p>
        </w:tc>
        <w:tc>
          <w:tcPr/>
          <w:p>
            <w:pPr>
              <w:pStyle w:val="Compact"/>
              <w:jc w:val="right"/>
            </w:pPr>
            <w:r>
              <w:t xml:space="preserve">-0.0529</w:t>
            </w:r>
          </w:p>
        </w:tc>
        <w:tc>
          <w:tcPr/>
          <w:p>
            <w:pPr>
              <w:pStyle w:val="Compact"/>
              <w:jc w:val="right"/>
            </w:pPr>
            <w:r>
              <w:t xml:space="preserve">0.0269</w:t>
            </w:r>
          </w:p>
        </w:tc>
        <w:tc>
          <w:tcPr/>
          <w:p>
            <w:pPr>
              <w:pStyle w:val="Compact"/>
              <w:jc w:val="right"/>
            </w:pPr>
            <w:r>
              <w:t xml:space="preserve">98.0%</w:t>
            </w:r>
          </w:p>
        </w:tc>
        <w:tc>
          <w:tcPr/>
          <w:p>
            <w:pPr>
              <w:pStyle w:val="Compact"/>
              <w:jc w:val="right"/>
            </w:pPr>
            <w:r>
              <w:t xml:space="preserve">7062</w:t>
            </w:r>
          </w:p>
        </w:tc>
      </w:tr>
    </w:tbl>
    <w:p>
      <w:pPr>
        <w:pStyle w:val="BodyText"/>
      </w:pPr>
      <w:r>
        <w:t xml:space="preserve">Table 3.</w:t>
      </w:r>
      <w:r>
        <w:t xml:space="preserve"> </w:t>
      </w:r>
      <w:r>
        <w:rPr>
          <w:b/>
          <w:bCs/>
        </w:rPr>
        <w:t xml:space="preserve">Baseline inference comparison.</w:t>
      </w:r>
      <w:r>
        <w:t xml:space="preserve"> </w:t>
      </w:r>
      <w:r>
        <w:t xml:space="preserve">Three weighting rules on the same 294 residuals and 8192 Sobol candidates, the informal score at both thresholds, for the reference noise realisation. SD retained is the weighted-ensemble standard deviation as a percentage of the prior; it is a posterior standard deviation only under the two formal rules, since the informal score is not a likelihood.</w:t>
      </w:r>
    </w:p>
    <w:p>
      <w:pPr>
        <w:pStyle w:val="CaptionedFigure"/>
      </w:pPr>
      <w:r>
        <w:drawing>
          <wp:inline>
            <wp:extent cx="4661377" cy="3840938"/>
            <wp:effectExtent b="0" l="0" r="0" t="0"/>
            <wp:docPr descr="Figure 2. Inference formulation determines apparent identifiability. Weighted densities for the reference noise realisation under the uniform prior, the primary censored likelihood and the informal score at two thresholds, with dashed rules at the true values. Bars give the weighted-ensemble standard deviation as a percentage of the prior, which is a posterior standard deviation only under the two formal likelihoods." title="" id="60" name="Picture"/>
            <a:graphic>
              <a:graphicData uri="http://schemas.openxmlformats.org/drawingml/2006/picture">
                <pic:pic>
                  <pic:nvPicPr>
                    <pic:cNvPr descr="figures/paper/fig2_inference_rule_dependence.png" id="61" name="Picture"/>
                    <pic:cNvPicPr>
                      <a:picLocks noChangeArrowheads="1" noChangeAspect="1"/>
                    </pic:cNvPicPr>
                  </pic:nvPicPr>
                  <pic:blipFill>
                    <a:blip r:embed="rId59"/>
                    <a:stretch>
                      <a:fillRect/>
                    </a:stretch>
                  </pic:blipFill>
                  <pic:spPr bwMode="auto">
                    <a:xfrm>
                      <a:off x="0" y="0"/>
                      <a:ext cx="4661377" cy="3840938"/>
                    </a:xfrm>
                    <a:prstGeom prst="rect">
                      <a:avLst/>
                    </a:prstGeom>
                    <a:noFill/>
                    <a:ln w="9525">
                      <a:noFill/>
                      <a:headEnd/>
                      <a:tailEnd/>
                    </a:ln>
                  </pic:spPr>
                </pic:pic>
              </a:graphicData>
            </a:graphic>
          </wp:inline>
        </w:drawing>
      </w:r>
    </w:p>
    <w:p>
      <w:pPr>
        <w:pStyle w:val="ImageCaption"/>
      </w:pPr>
      <w:r>
        <w:t xml:space="preserve">Figure 2.</w:t>
      </w:r>
      <w:r>
        <w:t xml:space="preserve"> </w:t>
      </w:r>
      <w:r>
        <w:rPr>
          <w:b/>
          <w:bCs/>
        </w:rPr>
        <w:t xml:space="preserve">Inference formulation determines apparent identifiability.</w:t>
      </w:r>
      <w:r>
        <w:t xml:space="preserve"> </w:t>
      </w:r>
      <w:r>
        <w:t xml:space="preserve">Weighted densities for the reference noise realisation under the uniform prior, the primary censored likelihood and the informal score at two thresholds, with dashed rules at the true values. Bars give the weighted-ensemble standard deviation as a percentage of the prior, which is a posterior standard deviation only under the two formal likelihoods.</w:t>
      </w:r>
    </w:p>
    <w:p>
      <w:pPr>
        <w:pStyle w:val="BodyText"/>
      </w:pPr>
      <w:r>
        <w:t xml:space="preserve">The weights show why, and the reason is arithmetic. The formal weights concentrate on an effective sample of about 157 of 8192 draws (1.9%). The</w:t>
      </w:r>
      <w:r>
        <w:t xml:space="preserve"> </w:t>
      </w:r>
      <w:r>
        <w:t xml:space="preserve">informal effective sample size almost equalled the number of retained candidates, at 4783 of 4786</w:t>
      </w:r>
      <w:r>
        <w:t xml:space="preserve"> </w:t>
      </w:r>
      <w:r>
        <w:t xml:space="preserve">for a threshold of 0.107 and 7062 of 7084 at 0.120, so its weights were nearly uniform within the</w:t>
      </w:r>
      <w:r>
        <w:t xml:space="preserve"> </w:t>
      </w:r>
      <w:r>
        <w:t xml:space="preserve">accepted set. For an iid</w:t>
      </w:r>
      <w:r>
        <w:t xml:space="preserve"> </w:t>
      </w:r>
      <w:r>
        <w:t xml:space="preserve">Gaussian residual model the informal log-weight is the Gaussian log-likelihood divided by</w:t>
      </w:r>
      <w:r>
        <w:t xml:space="preserve"> </w:t>
      </w:r>
      <m:oMath>
        <m:r>
          <m:t>N</m:t>
        </m:r>
      </m:oMath>
      <w:r>
        <w:t xml:space="preserve">,</w:t>
      </w:r>
      <w:r>
        <w:t xml:space="preserve"> </w:t>
      </w:r>
      <w:r>
        <w:t xml:space="preserve">up to a constant. Equivalently it weights residuals as though the standard deviation were</w:t>
      </w:r>
      <w:r>
        <w:t xml:space="preserve"> </w:t>
      </w:r>
      <m:oMath>
        <m:r>
          <m:t>σ</m:t>
        </m:r>
        <m:rad>
          <m:radPr>
            <m:degHide m:val="on"/>
          </m:radPr>
          <m:deg/>
          <m:e>
            <m:r>
              <m:t>N</m:t>
            </m:r>
          </m:e>
        </m:rad>
        <m:r>
          <m:rPr>
            <m:sty m:val="p"/>
          </m:rPr>
          <m:t>=</m:t>
        </m:r>
        <m:r>
          <m:t>1.71</m:t>
        </m:r>
      </m:oMath>
      <w:r>
        <w:t xml:space="preserve"> </w:t>
      </w:r>
      <w:r>
        <w:t xml:space="preserve">mg L</w:t>
      </w:r>
      <w:r>
        <w:rPr>
          <w:vertAlign w:val="superscript"/>
        </w:rPr>
        <w:t xml:space="preserve">-1</w:t>
      </w:r>
      <w:r>
        <w:t xml:space="preserve"> </w:t>
      </w:r>
      <w:r>
        <w:t xml:space="preserve">at</w:t>
      </w:r>
      <w:r>
        <w:t xml:space="preserve"> </w:t>
      </w:r>
      <m:oMath>
        <m:r>
          <m:t>N</m:t>
        </m:r>
        <m:r>
          <m:rPr>
            <m:sty m:val="p"/>
          </m:rPr>
          <m:t>=</m:t>
        </m:r>
        <m:r>
          <m:t>294</m:t>
        </m:r>
      </m:oMath>
      <w:r>
        <w:t xml:space="preserve">. That is seventeen times the assumed sensor noise,</w:t>
      </w:r>
      <w:r>
        <w:t xml:space="preserve"> </w:t>
      </w:r>
      <w:r>
        <w:t xml:space="preserve">and above the 1.0 mg L</w:t>
      </w:r>
      <w:r>
        <w:rPr>
          <w:vertAlign w:val="superscript"/>
        </w:rPr>
        <w:t xml:space="preserve">-1</w:t>
      </w:r>
      <w:r>
        <w:t xml:space="preserve"> </w:t>
      </w:r>
      <w:r>
        <w:t xml:space="preserve">source concentration.</w:t>
      </w:r>
    </w:p>
    <w:p>
      <w:pPr>
        <w:pStyle w:val="BodyText"/>
      </w:pPr>
      <w:r>
        <w:t xml:space="preserve">This is consistent with published criticisms of informal likelihood measures, which do not</w:t>
      </w:r>
      <w:r>
        <w:t xml:space="preserve"> </w:t>
      </w:r>
      <w:r>
        <w:t xml:space="preserve">accumulate information at the rate implied by the number of observations, so their distributions</w:t>
      </w:r>
      <w:r>
        <w:t xml:space="preserve"> </w:t>
      </w:r>
      <w:r>
        <w:t xml:space="preserve">describe the analyst’s acceptance rule as much as the evidence</w:t>
      </w:r>
      <w:r>
        <w:t xml:space="preserve"> </w:t>
      </w:r>
      <w:r>
        <w:t xml:space="preserve">(Mantovan &amp; Todini, 2006; Stedinger</w:t>
      </w:r>
      <w:r>
        <w:t xml:space="preserve"> </w:t>
      </w:r>
      <w:r>
        <w:rPr>
          <w:i/>
          <w:iCs/>
        </w:rPr>
        <w:t xml:space="preserve">et al.</w:t>
      </w:r>
      <w:r>
        <w:t xml:space="preserve">, 2008)</w:t>
      </w:r>
      <w:r>
        <w:t xml:space="preserve">. The point here is narrower than the general debate over generalised likelihood</w:t>
      </w:r>
      <w:r>
        <w:t xml:space="preserve"> </w:t>
      </w:r>
      <w:r>
        <w:t xml:space="preserve">uncertainty estimation</w:t>
      </w:r>
      <w:r>
        <w:t xml:space="preserve"> </w:t>
      </w:r>
      <w:r>
        <w:t xml:space="preserve">(Beven &amp; Binley, 1992; Beven &amp; Binley, 2014)</w:t>
      </w:r>
      <w:r>
        <w:t xml:space="preserve">: it concerns the specific</w:t>
      </w:r>
      <w:r>
        <w:t xml:space="preserve"> </w:t>
      </w:r>
      <w:r>
        <w:t xml:space="preserve">pseudo-likelihood implemented in the original analysis, not the behavioural philosophy. Because</w:t>
      </w:r>
      <w:r>
        <w:t xml:space="preserve"> </w:t>
      </w:r>
      <w:r>
        <w:t xml:space="preserve">the two families differ by the weighting alone, the wide informal distributions cannot be read</w:t>
      </w:r>
      <w:r>
        <w:t xml:space="preserve"> </w:t>
      </w:r>
      <w:r>
        <w:t xml:space="preserve">as evidence that six monitors are uninformative about three grouped coefficients. Whether the</w:t>
      </w:r>
      <w:r>
        <w:t xml:space="preserve"> </w:t>
      </w:r>
      <w:r>
        <w:t xml:space="preserve">formal contraction is itself trustworthy is a separate question, taken up next.</w:t>
      </w:r>
    </w:p>
    <w:bookmarkEnd w:id="62"/>
    <w:bookmarkStart w:id="63" w:name="Xf1b0c419add6be8346ac0ef920e6030baaacc02"/>
    <w:p>
      <w:pPr>
        <w:pStyle w:val="Heading3"/>
      </w:pPr>
      <w:r>
        <w:t xml:space="preserve">3.2.2 Thresholds cannot substitute for the omitted information factor</w:t>
      </w:r>
    </w:p>
    <w:p>
      <w:pPr>
        <w:pStyle w:val="FirstParagraph"/>
      </w:pPr>
      <w:r>
        <w:t xml:space="preserve">Tightening the informal cut-off from 0.120 to 0.107 mg L</w:t>
      </w:r>
      <w:r>
        <w:rPr>
          <w:vertAlign w:val="superscript"/>
        </w:rPr>
        <w:t xml:space="preserve">-1</w:t>
      </w:r>
      <w:r>
        <w:t xml:space="preserve"> </w:t>
      </w:r>
      <w:r>
        <w:t xml:space="preserve">reduced the behavioural set from</w:t>
      </w:r>
      <w:r>
        <w:t xml:space="preserve"> </w:t>
      </w:r>
      <w:r>
        <w:t xml:space="preserve">7084 to 4786 candidates, yet the retained prior standard deviations fell only to 71.1%, 91.8%</w:t>
      </w:r>
      <w:r>
        <w:t xml:space="preserve"> </w:t>
      </w:r>
      <w:r>
        <w:t xml:space="preserve">and 88.2%, still two to three times the formal values. Candidate rejection therefore cannot</w:t>
      </w:r>
      <w:r>
        <w:t xml:space="preserve"> </w:t>
      </w:r>
      <w:r>
        <w:t xml:space="preserve">restore the information factor</w:t>
      </w:r>
      <w:r>
        <w:t xml:space="preserve"> </w:t>
      </w:r>
      <m:oMath>
        <m:r>
          <m:t>N</m:t>
        </m:r>
      </m:oMath>
      <w:r>
        <w:t xml:space="preserve"> </w:t>
      </w:r>
      <w:r>
        <w:t xml:space="preserve">the score omits.</w:t>
      </w:r>
    </w:p>
    <w:p>
      <w:pPr>
        <w:pStyle w:val="BodyText"/>
      </w:pPr>
      <w:r>
        <w:t xml:space="preserve">To exclude favourable prior placement as the cause of the formal contraction, all three prior</w:t>
      </w:r>
      <w:r>
        <w:t xml:space="preserve"> </w:t>
      </w:r>
      <w:r>
        <w:t xml:space="preserve">boxes were re-centred at the truth minus one original-prior standard deviation, keeping their</w:t>
      </w:r>
      <w:r>
        <w:t xml:space="preserve"> </w:t>
      </w:r>
      <w:r>
        <w:t xml:space="preserve">original width, and the calibration repeated over 30 noise realisations. The formal likelihood</w:t>
      </w:r>
      <w:r>
        <w:t xml:space="preserve"> </w:t>
      </w:r>
      <w:r>
        <w:t xml:space="preserve">recovered 88%, 95% and 96% of the imposed displacement for old, average and new while retaining</w:t>
      </w:r>
      <w:r>
        <w:t xml:space="preserve"> </w:t>
      </w:r>
      <w:r>
        <w:t xml:space="preserve">27.1%, 28.9% and 28.4% of the displaced prior’s standard deviation, matching the baseline</w:t>
      </w:r>
      <w:r>
        <w:t xml:space="preserve"> </w:t>
      </w:r>
      <w:r>
        <w:t xml:space="preserve">contraction despite the deliberately truth-displaced prior. The informal comparator recovered</w:t>
      </w:r>
      <w:r>
        <w:t xml:space="preserve"> </w:t>
      </w:r>
      <w:r>
        <w:t xml:space="preserve">substantially less at both thresholds.</w:t>
      </w:r>
    </w:p>
    <w:p>
      <w:pPr>
        <w:pStyle w:val="BodyText"/>
      </w:pPr>
      <w:r>
        <w:t xml:space="preserve">The OLDUP check reversed the old-zone displacement alone. Because the non-positivity constraint</w:t>
      </w:r>
      <w:r>
        <w:t xml:space="preserve"> </w:t>
      </w:r>
      <w:r>
        <w:t xml:space="preserve">shifted its realised midpoint to −0.655 m day</w:t>
      </w:r>
      <w:r>
        <w:rPr>
          <w:vertAlign w:val="superscript"/>
        </w:rPr>
        <w:t xml:space="preserve">-1</w:t>
      </w:r>
      <w:r>
        <w:t xml:space="preserve">, the upward displacement is about 0.92</w:t>
      </w:r>
      <w:r>
        <w:t xml:space="preserve"> </w:t>
      </w:r>
      <w:r>
        <w:t xml:space="preserve">original-prior standard deviations rather than a full one. Formal recovery for old was 88%</w:t>
      </w:r>
      <w:r>
        <w:t xml:space="preserve"> </w:t>
      </w:r>
      <w:r>
        <w:t xml:space="preserve">downward and 112% upward, symmetric within the noise, whereas informal recovery moved strongly</w:t>
      </w:r>
      <w:r>
        <w:t xml:space="preserve"> </w:t>
      </w:r>
      <w:r>
        <w:t xml:space="preserve">with the direction of displacement. The pronounced identifiability gradient reported in the</w:t>
      </w:r>
      <w:r>
        <w:t xml:space="preserve"> </w:t>
      </w:r>
      <w:r>
        <w:t xml:space="preserve">original analysis, in which old appears far better constrained than average or new, is therefore</w:t>
      </w:r>
      <w:r>
        <w:t xml:space="preserve"> </w:t>
      </w:r>
      <w:r>
        <w:t xml:space="preserve">a property of the weighting rule rather than a ranking of what the monitoring array can resolve.</w:t>
      </w:r>
      <w:r>
        <w:t xml:space="preserve"> </w:t>
      </w:r>
      <w:r>
        <w:t xml:space="preserve">Full threshold and displacement matrices are given in Appendix C.</w:t>
      </w:r>
    </w:p>
    <w:bookmarkEnd w:id="63"/>
    <w:bookmarkStart w:id="67" w:name="Xe970e3d7d047755463bd18f8c51d04a40471c83"/>
    <w:p>
      <w:pPr>
        <w:pStyle w:val="Heading3"/>
      </w:pPr>
      <w:r>
        <w:t xml:space="preserve">3.2.3 Three further diagnostics agree with the baseline result</w:t>
      </w:r>
    </w:p>
    <w:p>
      <w:pPr>
        <w:pStyle w:val="FirstParagraph"/>
      </w:pPr>
      <w:r>
        <w:t xml:space="preserve">Prior contraction under a single likelihood and a single noise realisation is weak evidence on</w:t>
      </w:r>
      <w:r>
        <w:t xml:space="preserve"> </w:t>
      </w:r>
      <w:r>
        <w:t xml:space="preserve">its own, so the baseline was checked against three diagnostics that fail in different ways</w:t>
      </w:r>
      <w:r>
        <w:t xml:space="preserve"> </w:t>
      </w:r>
      <w:r>
        <w:t xml:space="preserve">(Figure 3). The Cramér–Rao bound computed from the Fisher information for the three wall-decay</w:t>
      </w:r>
      <w:r>
        <w:t xml:space="preserve"> </w:t>
      </w:r>
      <w:r>
        <w:t xml:space="preserve">coefficients alone gives standard deviations of 0.095, 0.014 and 0.008 m day</w:t>
      </w:r>
      <w:r>
        <w:rPr>
          <w:vertAlign w:val="superscript"/>
        </w:rPr>
        <w:t xml:space="preserve">-1</w:t>
      </w:r>
      <w:r>
        <w:t xml:space="preserve">, equivalent to</w:t>
      </w:r>
      <w:r>
        <w:t xml:space="preserve"> </w:t>
      </w:r>
      <w:r>
        <w:t xml:space="preserve">25.2%, 29.2% and 29.0% of the prior standard deviation and matching the ensemble result to</w:t>
      </w:r>
      <w:r>
        <w:t xml:space="preserve"> </w:t>
      </w:r>
      <w:r>
        <w:t xml:space="preserve">within about 1.5 percentage points. Continuous profile likelihood intervals at the 95% level are [-1.172, -0.811], [-0.137, -0.082]</w:t>
      </w:r>
      <w:r>
        <w:t xml:space="preserve"> </w:t>
      </w:r>
      <w:r>
        <w:t xml:space="preserve">and [-0.060, -0.029] m day</w:t>
      </w:r>
      <w:r>
        <w:rPr>
          <w:vertAlign w:val="superscript"/>
        </w:rPr>
        <w:t xml:space="preserve">-1</w:t>
      </w:r>
      <w:r>
        <w:t xml:space="preserve">, each covering its true value. Endpoints obtained by bisection are</w:t>
      </w:r>
      <w:r>
        <w:t xml:space="preserve"> </w:t>
      </w:r>
      <w:r>
        <w:t xml:space="preserve">quoted rather than grid endpoints, which understate the half-width by 39.0%, 14.9% and 28.1% and</w:t>
      </w:r>
      <w:r>
        <w:t xml:space="preserve"> </w:t>
      </w:r>
      <w:r>
        <w:t xml:space="preserve">are used here only for visualisation. Finally, repeating the calibration over 100 independent noise realisations gave a mean bias of at</w:t>
      </w:r>
      <w:r>
        <w:t xml:space="preserve"> </w:t>
      </w:r>
      <w:r>
        <w:t xml:space="preserve">most 0.15 times the empirical sampling standard deviation. The ratio of empirical spread to the</w:t>
      </w:r>
      <w:r>
        <w:t xml:space="preserve"> </w:t>
      </w:r>
      <w:r>
        <w:t xml:space="preserve">Cramér–Rao bound of 1.04, 1.06 and 1.12, and 90% interval coverage of 0.89, 0.88 and 0.85, are</w:t>
      </w:r>
      <w:r>
        <w:t xml:space="preserve"> </w:t>
      </w:r>
      <w:r>
        <w:t xml:space="preserve">close to nominal, with the new coefficient slightly under-covered.</w:t>
      </w:r>
    </w:p>
    <w:p>
      <w:pPr>
        <w:pStyle w:val="CaptionedFigure"/>
      </w:pPr>
      <w:r>
        <w:drawing>
          <wp:inline>
            <wp:extent cx="5603278" cy="1682129"/>
            <wp:effectExtent b="0" l="0" r="0" t="0"/>
            <wp:docPr descr="Figure 3. Three further diagnostics agree with the baseline result. Intervals from the likelihood-weighted ensemble (5–95%), continuous profile likelihood (95%), the Fisher bound (95%) and 100 repeated-noise calibrations (mean ± SD)." title="" id="65" name="Picture"/>
            <a:graphic>
              <a:graphicData uri="http://schemas.openxmlformats.org/drawingml/2006/picture">
                <pic:pic>
                  <pic:nvPicPr>
                    <pic:cNvPr descr="figures/paper/fig3_triangulated_identifiability.png" id="66" name="Picture"/>
                    <pic:cNvPicPr>
                      <a:picLocks noChangeArrowheads="1" noChangeAspect="1"/>
                    </pic:cNvPicPr>
                  </pic:nvPicPr>
                  <pic:blipFill>
                    <a:blip r:embed="rId64"/>
                    <a:stretch>
                      <a:fillRect/>
                    </a:stretch>
                  </pic:blipFill>
                  <pic:spPr bwMode="auto">
                    <a:xfrm>
                      <a:off x="0" y="0"/>
                      <a:ext cx="5603278" cy="1682129"/>
                    </a:xfrm>
                    <a:prstGeom prst="rect">
                      <a:avLst/>
                    </a:prstGeom>
                    <a:noFill/>
                    <a:ln w="9525">
                      <a:noFill/>
                      <a:headEnd/>
                      <a:tailEnd/>
                    </a:ln>
                  </pic:spPr>
                </pic:pic>
              </a:graphicData>
            </a:graphic>
          </wp:inline>
        </w:drawing>
      </w:r>
    </w:p>
    <w:p>
      <w:pPr>
        <w:pStyle w:val="ImageCaption"/>
      </w:pPr>
      <w:r>
        <w:t xml:space="preserve">Figure 3.</w:t>
      </w:r>
      <w:r>
        <w:t xml:space="preserve"> </w:t>
      </w:r>
      <w:r>
        <w:rPr>
          <w:b/>
          <w:bCs/>
        </w:rPr>
        <w:t xml:space="preserve">Three further diagnostics agree with the baseline result.</w:t>
      </w:r>
      <w:r>
        <w:t xml:space="preserve"> </w:t>
      </w:r>
      <w:r>
        <w:t xml:space="preserve">Intervals from the likelihood-weighted ensemble (5–95%), continuous profile likelihood (95%), the Fisher bound (95%) and 100 repeated-noise calibrations (mean ± SD).</w:t>
      </w:r>
    </w:p>
    <w:p>
      <w:pPr>
        <w:pStyle w:val="BodyText"/>
      </w:pPr>
      <w:r>
        <w:t xml:space="preserve">Their agreement is convergent evidence of practical identifiability under the controlled</w:t>
      </w:r>
      <w:r>
        <w:t xml:space="preserve"> </w:t>
      </w:r>
      <w:r>
        <w:t xml:space="preserve">baseline, and each would fail differently were that result an artefact, being insensitive</w:t>
      </w:r>
      <w:r>
        <w:t xml:space="preserve"> </w:t>
      </w:r>
      <w:r>
        <w:t xml:space="preserve">respectively to the sampling design, the prior, and the realisation that produced the baseline</w:t>
      </w:r>
      <w:r>
        <w:t xml:space="preserve"> </w:t>
      </w:r>
      <w:r>
        <w:t xml:space="preserve">(Brun, Reichert &amp; Künsch, 2001; Raue</w:t>
      </w:r>
      <w:r>
        <w:t xml:space="preserve"> </w:t>
      </w:r>
      <w:r>
        <w:rPr>
          <w:i/>
          <w:iCs/>
        </w:rPr>
        <w:t xml:space="preserve">et al.</w:t>
      </w:r>
      <w:r>
        <w:t xml:space="preserve">, 2009)</w:t>
      </w:r>
      <w:r>
        <w:t xml:space="preserve">.</w:t>
      </w:r>
    </w:p>
    <w:p>
      <w:pPr>
        <w:pStyle w:val="BodyText"/>
      </w:pPr>
      <w:r>
        <w:t xml:space="preserve">The conditions are strong: bulk decay fixed at its true value, sensors unbiased, errors</w:t>
      </w:r>
      <w:r>
        <w:t xml:space="preserve"> </w:t>
      </w:r>
      <w:r>
        <w:t xml:space="preserve">independent and Gaussian with known standard deviation, and the three-zone grouping correctly</w:t>
      </w:r>
      <w:r>
        <w:t xml:space="preserve"> </w:t>
      </w:r>
      <w:r>
        <w:t xml:space="preserve">specified. Two numerical caveats apply. The likelihood-weighted Sobol ensemble has an effective</w:t>
      </w:r>
      <w:r>
        <w:t xml:space="preserve"> </w:t>
      </w:r>
      <w:r>
        <w:t xml:space="preserve">sample size of about 157, limiting the Monte Carlo resolution of its weighted moments and</w:t>
      </w:r>
      <w:r>
        <w:t xml:space="preserve"> </w:t>
      </w:r>
      <w:r>
        <w:t xml:space="preserve">quantiles; the profile intervals are obtained independently of that library, but all 100</w:t>
      </w:r>
      <w:r>
        <w:t xml:space="preserve"> </w:t>
      </w:r>
      <w:r>
        <w:t xml:space="preserve">repeated-noise realisations reuse it, so their Monte Carlo errors are correlated.</w:t>
      </w:r>
    </w:p>
    <w:bookmarkEnd w:id="67"/>
    <w:bookmarkEnd w:id="68"/>
    <w:bookmarkStart w:id="75" w:name="X0996b9635e2cac7f6b4db495683a1f2a9665347"/>
    <w:p>
      <w:pPr>
        <w:pStyle w:val="Heading2"/>
      </w:pPr>
      <w:r>
        <w:t xml:space="preserve">3.3 Practical identifiability under measurement and nuisance errors</w:t>
      </w:r>
    </w:p>
    <w:bookmarkStart w:id="69" w:name="Xb2ac3d516cabd7a498b52390de1029d80167615"/>
    <w:p>
      <w:pPr>
        <w:pStyle w:val="Heading3"/>
      </w:pPr>
      <w:r>
        <w:t xml:space="preserve">3.3.1 Random measurement error and temporal autocorrelation</w:t>
      </w:r>
    </w:p>
    <w:p>
      <w:pPr>
        <w:pStyle w:val="FirstParagraph"/>
      </w:pPr>
      <w:r>
        <w:t xml:space="preserve">Section 3.2 established what the six monitors resolve when every assumption holds; this section</w:t>
      </w:r>
      <w:r>
        <w:t xml:space="preserve"> </w:t>
      </w:r>
      <w:r>
        <w:t xml:space="preserve">relaxes them one at a time. Figure 4 collects the comparison on two scales: widening for the two</w:t>
      </w:r>
      <w:r>
        <w:t xml:space="preserve"> </w:t>
      </w:r>
      <w:r>
        <w:t xml:space="preserve">sources that only inflate uncertainty, displacement in baseline posterior standard deviations</w:t>
      </w:r>
      <w:r>
        <w:t xml:space="preserve"> </w:t>
      </w:r>
      <w:r>
        <w:t xml:space="preserve">for the six that move the estimate.</w:t>
      </w:r>
    </w:p>
    <w:p>
      <w:pPr>
        <w:pStyle w:val="BodyText"/>
      </w:pPr>
      <w:r>
        <w:t xml:space="preserve">A 50% rise in the assumed measurement error, from 0.10 to 0.15 mg L</w:t>
      </w:r>
      <w:r>
        <w:rPr>
          <w:vertAlign w:val="superscript"/>
        </w:rPr>
        <w:t xml:space="preserve">-1</w:t>
      </w:r>
      <w:r>
        <w:t xml:space="preserve">, degraded</w:t>
      </w:r>
      <w:r>
        <w:t xml:space="preserve"> </w:t>
      </w:r>
      <w:r>
        <w:t xml:space="preserve">identifiability less than the original analysis implied: it widened the posterior by 1.41, 1.52</w:t>
      </w:r>
      <w:r>
        <w:t xml:space="preserve"> </w:t>
      </w:r>
      <w:r>
        <w:t xml:space="preserve">and 1.48 times, leaving 38.1%, 44.9% and 43.1% of the prior standard deviation. The claim that a</w:t>
      </w:r>
      <w:r>
        <w:t xml:space="preserve"> </w:t>
      </w:r>
      <w:r>
        <w:t xml:space="preserve">precision of 0.05 mg L</w:t>
      </w:r>
      <w:r>
        <w:rPr>
          <w:vertAlign w:val="superscript"/>
        </w:rPr>
        <w:t xml:space="preserve">-1</w:t>
      </w:r>
      <w:r>
        <w:t xml:space="preserve"> </w:t>
      </w:r>
      <w:r>
        <w:t xml:space="preserve">was required therefore reflects the informal score’s inefficiency</w:t>
      </w:r>
      <w:r>
        <w:t xml:space="preserve"> </w:t>
      </w:r>
      <w:r>
        <w:t xml:space="preserve">rather than a demonstrated sensor specification. At 0.10 mg L</w:t>
      </w:r>
      <w:r>
        <w:rPr>
          <w:vertAlign w:val="superscript"/>
        </w:rPr>
        <w:t xml:space="preserve">-1</w:t>
      </w:r>
      <w:r>
        <w:t xml:space="preserve"> </w:t>
      </w:r>
      <w:r>
        <w:t xml:space="preserve">it returned standard deviations 2.4 to 3.1 times the formal ones. The converse benefit cannot be quantified here: at</w:t>
      </w:r>
      <w:r>
        <w:t xml:space="preserve"> </w:t>
      </w:r>
      <w:r>
        <w:t xml:space="preserve">0.05 and 0.02 mg L</w:t>
      </w:r>
      <w:r>
        <w:rPr>
          <w:vertAlign w:val="superscript"/>
        </w:rPr>
        <w:t xml:space="preserve">-1</w:t>
      </w:r>
      <w:r>
        <w:t xml:space="preserve"> </w:t>
      </w:r>
      <w:r>
        <w:t xml:space="preserve">the sharper likelihood concentrates on a library not drawn for it, the</w:t>
      </w:r>
      <w:r>
        <w:t xml:space="preserve"> </w:t>
      </w:r>
      <w:r>
        <w:t xml:space="preserve">median effective sample size falls to 21 and 2 draws, and those rows are reported as</w:t>
      </w:r>
      <w:r>
        <w:t xml:space="preserve"> </w:t>
      </w:r>
      <w:r>
        <w:t xml:space="preserve">sampling-limited.</w:t>
      </w:r>
    </w:p>
    <w:p>
      <w:pPr>
        <w:pStyle w:val="BodyText"/>
      </w:pPr>
      <w:r>
        <w:t xml:space="preserve">Temporal correlation is an assumed sensitivity, not an estimated property, since the</w:t>
      </w:r>
      <w:r>
        <w:t xml:space="preserve"> </w:t>
      </w:r>
      <w:r>
        <w:t xml:space="preserve">observations are independent by construction. The usual scalar approximation would put the effective sample size at about 126 of 294 at a</w:t>
      </w:r>
      <w:r>
        <w:t xml:space="preserve"> </w:t>
      </w:r>
      <w:r>
        <w:t xml:space="preserve">correlation of 0.4. Recomputing the Fisher information from the full block covariance instead</w:t>
      </w:r>
      <w:r>
        <w:t xml:space="preserve"> </w:t>
      </w:r>
      <w:r>
        <w:t xml:space="preserve">widened the three bounds by 1.48, 1.49 and 1.44 times, to 37.5%, 43.5% and 41.7% of the prior</w:t>
      </w:r>
      <w:r>
        <w:t xml:space="preserve"> </w:t>
      </w:r>
      <w:r>
        <w:t xml:space="preserve">standard deviation. At this strength correlation reduces precision without removing identifiability under the study</w:t>
      </w:r>
      <w:r>
        <w:t xml:space="preserve"> </w:t>
      </w:r>
      <w:r>
        <w:t xml:space="preserve">criterion. The field-relevant case is the</w:t>
      </w:r>
      <w:r>
        <w:t xml:space="preserve"> </w:t>
      </w:r>
      <w:r>
        <w:t xml:space="preserve">converse. Modelling correlation that is present widens the intervals, whereas fitting an</w:t>
      </w:r>
      <w:r>
        <w:t xml:space="preserve"> </w:t>
      </w:r>
      <w:r>
        <w:t xml:space="preserve">independent-error likelihood to observations that are genuinely correlated would narrow them,</w:t>
      </w:r>
      <w:r>
        <w:t xml:space="preserve"> </w:t>
      </w:r>
      <w:r>
        <w:t xml:space="preserve">reporting a precision the data do not support.</w:t>
      </w:r>
    </w:p>
    <w:bookmarkEnd w:id="69"/>
    <w:bookmarkStart w:id="70" w:name="X268ec4f082875a350a7fc35dcfd0e750c303f8d"/>
    <w:p>
      <w:pPr>
        <w:pStyle w:val="Heading3"/>
      </w:pPr>
      <w:r>
        <w:t xml:space="preserve">3.3.2 Systematic sensor error produces large coefficient displacement</w:t>
      </w:r>
    </w:p>
    <w:p>
      <w:pPr>
        <w:pStyle w:val="FirstParagraph"/>
      </w:pPr>
      <w:r>
        <w:t xml:space="preserve">Systematic error behaves differently. Constant offsets of +0.05 and +0.10 mg L</w:t>
      </w:r>
      <w:r>
        <w:rPr>
          <w:vertAlign w:val="superscript"/>
        </w:rPr>
        <w:t xml:space="preserve">-1</w:t>
      </w:r>
      <w:r>
        <w:t xml:space="preserve"> </w:t>
      </w:r>
      <w:r>
        <w:t xml:space="preserve">at node 15</w:t>
      </w:r>
      <w:r>
        <w:t xml:space="preserve"> </w:t>
      </w:r>
      <w:r>
        <w:t xml:space="preserve">alone moved the old-zone estimate by 2.19 and 3.87 baseline posterior standard deviations: with</w:t>
      </w:r>
      <w:r>
        <w:t xml:space="preserve"> </w:t>
      </w:r>
      <w:r>
        <w:t xml:space="preserve">no sensor-offset parameter in the calibration, instrument error is absorbed into the wall</w:t>
      </w:r>
      <w:r>
        <w:t xml:space="preserve"> </w:t>
      </w:r>
      <w:r>
        <w:t xml:space="preserve">coefficients rather than represented. The sign asymmetry is consistent with a downward bias pushing more readings onto the floor. The same offsets applied negatively gave 2.59 and 3.82.</w:t>
      </w:r>
    </w:p>
    <w:p>
      <w:pPr>
        <w:pStyle w:val="BodyText"/>
      </w:pPr>
      <w:r>
        <w:t xml:space="preserve">Sweeping the offset across all six monitors, 24 arms, shows the damage depends on where the</w:t>
      </w:r>
      <w:r>
        <w:t xml:space="preserve"> </w:t>
      </w:r>
      <w:r>
        <w:t xml:space="preserve">biased sensor sits. The largest displacement for any coefficient in any arm was 3.87 standard</w:t>
      </w:r>
      <w:r>
        <w:t xml:space="preserve"> </w:t>
      </w:r>
      <w:r>
        <w:t xml:space="preserve">deviations for old (node 15, +0.10 mg L</w:t>
      </w:r>
      <w:r>
        <w:rPr>
          <w:vertAlign w:val="superscript"/>
        </w:rPr>
        <w:t xml:space="preserve">-1</w:t>
      </w:r>
      <w:r>
        <w:t xml:space="preserve">), 5.94 for average (node 231, −0.10) and 4.44 for new</w:t>
      </w:r>
      <w:r>
        <w:t xml:space="preserve"> </w:t>
      </w:r>
      <w:r>
        <w:t xml:space="preserve">(node 113, −0.10). Contamination crosses zone boundaries. A −0.10 offset at new-zone node 107 displaced the average coefficient by 1.59. Per-arm results are in Appendix F.</w:t>
      </w:r>
    </w:p>
    <w:p>
      <w:pPr>
        <w:pStyle w:val="BodyText"/>
      </w:pPr>
      <w:r>
        <w:t xml:space="preserve">In the tested ramps drift tracked the mean offset far more closely than the endpoint. A ramp reaching a given offset by the end of the window displaced the estimate by 0.89 to 0.99</w:t>
      </w:r>
      <w:r>
        <w:t xml:space="preserve"> </w:t>
      </w:r>
      <w:r>
        <w:t xml:space="preserve">times a constant offset at half that value, but only 0.45 to 0.64 times one at the endpoint</w:t>
      </w:r>
      <w:r>
        <w:t xml:space="preserve"> </w:t>
      </w:r>
      <w:r>
        <w:t xml:space="preserve">value. A sensor drifting to +0.10 mg L</w:t>
      </w:r>
      <w:r>
        <w:rPr>
          <w:vertAlign w:val="superscript"/>
        </w:rPr>
        <w:t xml:space="preserve">-1</w:t>
      </w:r>
      <w:r>
        <w:t xml:space="preserve"> </w:t>
      </w:r>
      <w:r>
        <w:t xml:space="preserve">therefore behaves much more like a constant +0.05 than</w:t>
      </w:r>
      <w:r>
        <w:t xml:space="preserve"> </w:t>
      </w:r>
      <w:r>
        <w:t xml:space="preserve">a constant +0.10. By comparison the censored</w:t>
      </w:r>
      <w:r>
        <w:t xml:space="preserve"> </w:t>
      </w:r>
      <w:r>
        <w:t xml:space="preserve">readings are a small correction. Across 30 independent noise realisations, treating them as</w:t>
      </w:r>
      <w:r>
        <w:t xml:space="preserve"> </w:t>
      </w:r>
      <w:r>
        <w:t xml:space="preserve">exact zeros rather than as left-censored moves the old coefficient by a median of 0.11 baseline</w:t>
      </w:r>
      <w:r>
        <w:t xml:space="preserve"> </w:t>
      </w:r>
      <w:r>
        <w:t xml:space="preserve">posterior standard deviations and the other two by less than 0.01, leaving the top-three risk</w:t>
      </w:r>
      <w:r>
        <w:t xml:space="preserve"> </w:t>
      </w:r>
      <w:r>
        <w:t xml:space="preserve">ranking unchanged. The count of ten floored readings quoted in Section 3.1.3 censuses the</w:t>
      </w:r>
      <w:r>
        <w:t xml:space="preserve"> </w:t>
      </w:r>
      <w:r>
        <w:t xml:space="preserve">reference realisation; the displacement is a median over the thirty.</w:t>
      </w:r>
    </w:p>
    <w:bookmarkEnd w:id="70"/>
    <w:bookmarkStart w:id="74" w:name="X8432cb495bc40f8df02c25f3ed090cb5506ff04"/>
    <w:p>
      <w:pPr>
        <w:pStyle w:val="Heading3"/>
      </w:pPr>
      <w:r>
        <w:t xml:space="preserve">3.3.3 Bulk and wall decay compensate for one another</w:t>
      </w:r>
    </w:p>
    <w:p>
      <w:pPr>
        <w:pStyle w:val="FirstParagraph"/>
      </w:pPr>
      <w:r>
        <w:t xml:space="preserve">Fixing bulk decay at a wrong value transfers the error into the wall coefficients. Refitting</w:t>
      </w:r>
      <w:r>
        <w:t xml:space="preserve"> </w:t>
      </w:r>
      <w:r>
        <w:t xml:space="preserve">with bulk decay 20% weaker or stronger than the truth, while the observations remain generated</w:t>
      </w:r>
      <w:r>
        <w:t xml:space="preserve"> </w:t>
      </w:r>
      <w:r>
        <w:t xml:space="preserve">at the true value, displaced the average and new coefficients by 1.41 to 1.58 baseline posterior</w:t>
      </w:r>
      <w:r>
        <w:t xml:space="preserve"> </w:t>
      </w:r>
      <w:r>
        <w:t xml:space="preserve">standard deviations and the old coefficient by only 0.56 to 0.66. The informal comparator</w:t>
      </w:r>
      <w:r>
        <w:t xml:space="preserve"> </w:t>
      </w:r>
      <w:r>
        <w:t xml:space="preserve">understated these displacements by factors of 3.8 to 5.5, so that formulation would materially</w:t>
      </w:r>
      <w:r>
        <w:t xml:space="preserve"> </w:t>
      </w:r>
      <w:r>
        <w:t xml:space="preserve">understate the apparent sensitivity to bulk-decay misspecification.</w:t>
      </w:r>
    </w:p>
    <w:p>
      <w:pPr>
        <w:pStyle w:val="BodyText"/>
      </w:pPr>
      <w:r>
        <w:t xml:space="preserve">The Fisher analysis explains the pattern and extends it. Admitting bulk decay as a fourth</w:t>
      </w:r>
      <w:r>
        <w:t xml:space="preserve"> </w:t>
      </w:r>
      <w:r>
        <w:t xml:space="preserve">unknown raises the Cramér–Rao bound from 25%, 29% and 29% of the prior standard deviation to</w:t>
      </w:r>
      <w:r>
        <w:t xml:space="preserve"> </w:t>
      </w:r>
      <w:r>
        <w:t xml:space="preserve">30%, 54% and 54%: the old bound widens by a factor of 1.2, whereas the average and new bounds</w:t>
      </w:r>
      <w:r>
        <w:t xml:space="preserve"> </w:t>
      </w:r>
      <w:r>
        <w:t xml:space="preserve">widen by 1.8 and 1.9. Admitting six</w:t>
      </w:r>
      <w:r>
        <w:t xml:space="preserve"> </w:t>
      </w:r>
      <w:r>
        <w:t xml:space="preserve">monitor-specific offsets as further nuisance parameters raises the ratios to 67%, 224% and 109%,</w:t>
      </w:r>
      <w:r>
        <w:t xml:space="preserve"> </w:t>
      </w:r>
      <w:r>
        <w:t xml:space="preserve">so their local bounds equal or exceed the prior standard deviation. Under the identifiability</w:t>
      </w:r>
      <w:r>
        <w:t xml:space="preserve"> </w:t>
      </w:r>
      <w:r>
        <w:t xml:space="preserve">criterion adopted here, the average and new coefficients are therefore not practically</w:t>
      </w:r>
      <w:r>
        <w:t xml:space="preserve"> </w:t>
      </w:r>
      <w:r>
        <w:t xml:space="preserve">identifiable from this six-monitor design once both bulk decay and monitor offsets are treated as unknown. This is a statement about this observation design and nuisance model, not a mathematical impossibility. This is the formal counterpart of Section 3.3.2: the available concentration</w:t>
      </w:r>
      <w:r>
        <w:t xml:space="preserve"> </w:t>
      </w:r>
      <w:r>
        <w:t xml:space="preserve">sensitivities do not separate the weakly decaying zones’ wall coefficients from bulk decay and</w:t>
      </w:r>
      <w:r>
        <w:t xml:space="preserve"> </w:t>
      </w:r>
      <w:r>
        <w:t xml:space="preserve">monitor-specific offsets under a six-monitor design.</w:t>
      </w:r>
    </w:p>
    <w:p>
      <w:pPr>
        <w:pStyle w:val="BodyText"/>
      </w:pPr>
      <w:r>
        <w:t xml:space="preserve">None of these perturbations is visible in the aggregate residual: the best fit reachable anywhere in the candidate library stays within a few percent of the realised observation-noise RMSE in every case, as the Best fit column of Table 4 records. These displacements are large in parameter terms, but Section 3.6 shows that they do not translate into proportionate changes in the network-wide risk pattern, and that whether an operational shortlist changes at all depends on which risk metric defines it. Before that,</w:t>
      </w:r>
      <w:r>
        <w:t xml:space="preserve"> </w:t>
      </w:r>
      <w:r>
        <w:t xml:space="preserve">Section 3.4 turns to the one error source that is internal to the model rather than to the</w:t>
      </w:r>
      <w:r>
        <w:t xml:space="preserve"> </w:t>
      </w:r>
      <w:r>
        <w:t xml:space="preserve">instruments.</w:t>
      </w:r>
    </w:p>
    <w:p>
      <w:pPr>
        <w:pStyle w:val="CaptionedFigure"/>
      </w:pPr>
      <w:r>
        <w:drawing>
          <wp:inline>
            <wp:extent cx="5422231" cy="2009846"/>
            <wp:effectExtent b="0" l="0" r="0" t="0"/>
            <wp:docPr descr="Figure 4. Standardised effect of each error source. (A) Interval widening where an uncertainty source is represented in the model. (B) Displacement where a perturbation is imposed but not represented, in baseline posterior standard deviations. Columns aggregate differently, over 30 realisations, 25 fields, 24 bias arms and one paired draw, as the figure note defines." title="" id="72" name="Picture"/>
            <a:graphic>
              <a:graphicData uri="http://schemas.openxmlformats.org/drawingml/2006/picture">
                <pic:pic>
                  <pic:nvPicPr>
                    <pic:cNvPr descr="figures/paper/fig4_standardised_effects.png" id="73" name="Picture"/>
                    <pic:cNvPicPr>
                      <a:picLocks noChangeArrowheads="1" noChangeAspect="1"/>
                    </pic:cNvPicPr>
                  </pic:nvPicPr>
                  <pic:blipFill>
                    <a:blip r:embed="rId71"/>
                    <a:stretch>
                      <a:fillRect/>
                    </a:stretch>
                  </pic:blipFill>
                  <pic:spPr bwMode="auto">
                    <a:xfrm>
                      <a:off x="0" y="0"/>
                      <a:ext cx="5422231" cy="2009846"/>
                    </a:xfrm>
                    <a:prstGeom prst="rect">
                      <a:avLst/>
                    </a:prstGeom>
                    <a:noFill/>
                    <a:ln w="9525">
                      <a:noFill/>
                      <a:headEnd/>
                      <a:tailEnd/>
                    </a:ln>
                  </pic:spPr>
                </pic:pic>
              </a:graphicData>
            </a:graphic>
          </wp:inline>
        </w:drawing>
      </w:r>
    </w:p>
    <w:p>
      <w:pPr>
        <w:pStyle w:val="ImageCaption"/>
      </w:pPr>
      <w:r>
        <w:t xml:space="preserve">Figure 4.</w:t>
      </w:r>
      <w:r>
        <w:t xml:space="preserve"> </w:t>
      </w:r>
      <w:r>
        <w:rPr>
          <w:b/>
          <w:bCs/>
        </w:rPr>
        <w:t xml:space="preserve">Standardised effect of each error source.</w:t>
      </w:r>
      <w:r>
        <w:t xml:space="preserve"> </w:t>
      </w:r>
      <w:r>
        <w:t xml:space="preserve">(A) Interval widening where an uncertainty source is represented in the model. (B) Displacement where a perturbation is imposed but not represented, in baseline posterior standard deviations. Columns aggregate differently, over 30 realisations, 25 fields, 24 bias arms and one paired draw, as the figure note defines.</w:t>
      </w:r>
    </w:p>
    <w:tbl>
      <w:tblPr>
        <w:tblStyle w:val="Table"/>
        <w:tblW w:type="pct" w:w="5000"/>
        <w:tblLayout w:type="fixed"/>
        <w:tblLook w:firstRow="1" w:lastRow="0" w:firstColumn="0" w:lastColumn="0" w:noHBand="0" w:noVBand="0" w:val="0020"/>
      </w:tblPr>
      <w:tblGrid>
        <w:gridCol w:w="950"/>
        <w:gridCol w:w="1267"/>
        <w:gridCol w:w="1267"/>
        <w:gridCol w:w="1267"/>
        <w:gridCol w:w="1267"/>
        <w:gridCol w:w="950"/>
        <w:gridCol w:w="950"/>
      </w:tblGrid>
      <w:tr>
        <w:trPr>
          <w:tblHeader w:val="on"/>
        </w:trPr>
        <w:tc>
          <w:tcPr/>
          <w:p>
            <w:pPr>
              <w:pStyle w:val="Compact"/>
            </w:pPr>
            <w:r>
              <w:t xml:space="preserve">Error source</w:t>
            </w:r>
          </w:p>
        </w:tc>
        <w:tc>
          <w:tcPr/>
          <w:p>
            <w:pPr>
              <w:pStyle w:val="Compact"/>
              <w:jc w:val="right"/>
            </w:pPr>
            <w:r>
              <w:t xml:space="preserve">old</w:t>
            </w:r>
          </w:p>
        </w:tc>
        <w:tc>
          <w:tcPr/>
          <w:p>
            <w:pPr>
              <w:pStyle w:val="Compact"/>
              <w:jc w:val="right"/>
            </w:pPr>
            <w:r>
              <w:t xml:space="preserve">average</w:t>
            </w:r>
          </w:p>
        </w:tc>
        <w:tc>
          <w:tcPr/>
          <w:p>
            <w:pPr>
              <w:pStyle w:val="Compact"/>
              <w:jc w:val="right"/>
            </w:pPr>
            <w:r>
              <w:t xml:space="preserve">new</w:t>
            </w:r>
          </w:p>
        </w:tc>
        <w:tc>
          <w:tcPr/>
          <w:p>
            <w:pPr>
              <w:pStyle w:val="Compact"/>
              <w:jc w:val="right"/>
            </w:pPr>
            <w:r>
              <w:t xml:space="preserve">Best fit</w:t>
            </w:r>
          </w:p>
        </w:tc>
        <w:tc>
          <w:tcPr/>
          <w:p>
            <w:pPr>
              <w:pStyle w:val="Compact"/>
            </w:pPr>
            <w:r>
              <w:t xml:space="preserve">Risk</w:t>
            </w:r>
          </w:p>
        </w:tc>
        <w:tc>
          <w:tcPr/>
          <w:p>
            <w:pPr>
              <w:pStyle w:val="Compact"/>
            </w:pPr>
            <w:r>
              <w:t xml:space="preserve">Basis</w:t>
            </w:r>
          </w:p>
        </w:tc>
      </w:tr>
      <w:tr>
        <w:tc>
          <w:tcPr/>
          <w:p>
            <w:pPr>
              <w:pStyle w:val="Compact"/>
            </w:pPr>
            <w:r>
              <w:t xml:space="preserve">sigma 0.10 to 0.15 (W)</w:t>
            </w:r>
          </w:p>
        </w:tc>
        <w:tc>
          <w:tcPr/>
          <w:p>
            <w:pPr>
              <w:pStyle w:val="Compact"/>
              <w:jc w:val="right"/>
            </w:pPr>
            <w:r>
              <w:t xml:space="preserve">x1.41</w:t>
            </w:r>
          </w:p>
        </w:tc>
        <w:tc>
          <w:tcPr/>
          <w:p>
            <w:pPr>
              <w:pStyle w:val="Compact"/>
              <w:jc w:val="right"/>
            </w:pPr>
            <w:r>
              <w:t xml:space="preserve">x1.52</w:t>
            </w:r>
          </w:p>
        </w:tc>
        <w:tc>
          <w:tcPr/>
          <w:p>
            <w:pPr>
              <w:pStyle w:val="Compact"/>
              <w:jc w:val="right"/>
            </w:pPr>
            <w:r>
              <w:t xml:space="preserve">x1.48</w:t>
            </w:r>
          </w:p>
        </w:tc>
        <w:tc>
          <w:tcPr/>
          <w:p>
            <w:pPr>
              <w:pStyle w:val="Compact"/>
              <w:jc w:val="right"/>
            </w:pPr>
            <w:r>
              <w:t xml:space="preserve">—</w:t>
            </w:r>
          </w:p>
        </w:tc>
        <w:tc>
          <w:tcPr/>
          <w:p>
            <w:pPr>
              <w:pStyle w:val="Compact"/>
            </w:pPr>
            <w:r>
              <w:t xml:space="preserve">—</w:t>
            </w:r>
          </w:p>
        </w:tc>
        <w:tc>
          <w:tcPr/>
          <w:p>
            <w:pPr>
              <w:pStyle w:val="Compact"/>
            </w:pPr>
            <w:r>
              <w:t xml:space="preserve">30 real.</w:t>
            </w:r>
          </w:p>
        </w:tc>
      </w:tr>
      <w:tr>
        <w:tc>
          <w:tcPr/>
          <w:p>
            <w:pPr>
              <w:pStyle w:val="Compact"/>
            </w:pPr>
            <w:r>
              <w:t xml:space="preserve">AR(1) rho = 0.4 (W)</w:t>
            </w:r>
          </w:p>
        </w:tc>
        <w:tc>
          <w:tcPr/>
          <w:p>
            <w:pPr>
              <w:pStyle w:val="Compact"/>
              <w:jc w:val="right"/>
            </w:pPr>
            <w:r>
              <w:t xml:space="preserve">x1.48</w:t>
            </w:r>
          </w:p>
        </w:tc>
        <w:tc>
          <w:tcPr/>
          <w:p>
            <w:pPr>
              <w:pStyle w:val="Compact"/>
              <w:jc w:val="right"/>
            </w:pPr>
            <w:r>
              <w:t xml:space="preserve">x1.49</w:t>
            </w:r>
          </w:p>
        </w:tc>
        <w:tc>
          <w:tcPr/>
          <w:p>
            <w:pPr>
              <w:pStyle w:val="Compact"/>
              <w:jc w:val="right"/>
            </w:pPr>
            <w:r>
              <w:t xml:space="preserve">x1.44</w:t>
            </w:r>
          </w:p>
        </w:tc>
        <w:tc>
          <w:tcPr/>
          <w:p>
            <w:pPr>
              <w:pStyle w:val="Compact"/>
              <w:jc w:val="right"/>
            </w:pPr>
            <w:r>
              <w:t xml:space="preserve">—</w:t>
            </w:r>
          </w:p>
        </w:tc>
        <w:tc>
          <w:tcPr/>
          <w:p>
            <w:pPr>
              <w:pStyle w:val="Compact"/>
            </w:pPr>
            <w:r>
              <w:t xml:space="preserve">—</w:t>
            </w:r>
          </w:p>
        </w:tc>
        <w:tc>
          <w:tcPr/>
          <w:p>
            <w:pPr>
              <w:pStyle w:val="Compact"/>
            </w:pPr>
            <w:r>
              <w:t xml:space="preserve">Fisher</w:t>
            </w:r>
          </w:p>
        </w:tc>
      </w:tr>
      <w:tr>
        <w:tc>
          <w:tcPr/>
          <w:p>
            <w:pPr>
              <w:pStyle w:val="Compact"/>
            </w:pPr>
            <w:r>
              <w:t xml:space="preserve">k_b = -0.4 (D)</w:t>
            </w:r>
          </w:p>
        </w:tc>
        <w:tc>
          <w:tcPr/>
          <w:p>
            <w:pPr>
              <w:pStyle w:val="Compact"/>
              <w:jc w:val="right"/>
            </w:pPr>
            <w:r>
              <w:t xml:space="preserve">-0.66</w:t>
            </w:r>
          </w:p>
        </w:tc>
        <w:tc>
          <w:tcPr/>
          <w:p>
            <w:pPr>
              <w:pStyle w:val="Compact"/>
              <w:jc w:val="right"/>
            </w:pPr>
            <w:r>
              <w:t xml:space="preserve">-1.53</w:t>
            </w:r>
          </w:p>
        </w:tc>
        <w:tc>
          <w:tcPr/>
          <w:p>
            <w:pPr>
              <w:pStyle w:val="Compact"/>
              <w:jc w:val="right"/>
            </w:pPr>
            <w:r>
              <w:t xml:space="preserve">-1.58</w:t>
            </w:r>
          </w:p>
        </w:tc>
        <w:tc>
          <w:tcPr/>
          <w:p>
            <w:pPr>
              <w:pStyle w:val="Compact"/>
              <w:jc w:val="right"/>
            </w:pPr>
            <w:r>
              <w:t xml:space="preserve">0.996</w:t>
            </w:r>
          </w:p>
        </w:tc>
        <w:tc>
          <w:tcPr/>
          <w:p>
            <w:pPr>
              <w:pStyle w:val="Compact"/>
            </w:pPr>
            <w:r>
              <w:t xml:space="preserve">rho_s 0.976; top-6 0.50 / 1.00</w:t>
            </w:r>
          </w:p>
        </w:tc>
        <w:tc>
          <w:tcPr/>
          <w:p>
            <w:pPr>
              <w:pStyle w:val="Compact"/>
            </w:pPr>
            <w:r>
              <w:t xml:space="preserve">30 real.</w:t>
            </w:r>
          </w:p>
        </w:tc>
      </w:tr>
      <w:tr>
        <w:tc>
          <w:tcPr/>
          <w:p>
            <w:pPr>
              <w:pStyle w:val="Compact"/>
            </w:pPr>
            <w:r>
              <w:t xml:space="preserve">k_b = -0.6 (D)</w:t>
            </w:r>
          </w:p>
        </w:tc>
        <w:tc>
          <w:tcPr/>
          <w:p>
            <w:pPr>
              <w:pStyle w:val="Compact"/>
              <w:jc w:val="right"/>
            </w:pPr>
            <w:r>
              <w:t xml:space="preserve">+0.56</w:t>
            </w:r>
          </w:p>
        </w:tc>
        <w:tc>
          <w:tcPr/>
          <w:p>
            <w:pPr>
              <w:pStyle w:val="Compact"/>
              <w:jc w:val="right"/>
            </w:pPr>
            <w:r>
              <w:t xml:space="preserve">+1.41</w:t>
            </w:r>
          </w:p>
        </w:tc>
        <w:tc>
          <w:tcPr/>
          <w:p>
            <w:pPr>
              <w:pStyle w:val="Compact"/>
              <w:jc w:val="right"/>
            </w:pPr>
            <w:r>
              <w:t xml:space="preserve">+1.49</w:t>
            </w:r>
          </w:p>
        </w:tc>
        <w:tc>
          <w:tcPr/>
          <w:p>
            <w:pPr>
              <w:pStyle w:val="Compact"/>
              <w:jc w:val="right"/>
            </w:pPr>
            <w:r>
              <w:t xml:space="preserve">0.997</w:t>
            </w:r>
          </w:p>
        </w:tc>
        <w:tc>
          <w:tcPr/>
          <w:p>
            <w:pPr>
              <w:pStyle w:val="Compact"/>
            </w:pPr>
            <w:r>
              <w:t xml:space="preserve">rho_s 0.933; top-6 0.50 / 0.71</w:t>
            </w:r>
          </w:p>
        </w:tc>
        <w:tc>
          <w:tcPr/>
          <w:p>
            <w:pPr>
              <w:pStyle w:val="Compact"/>
            </w:pPr>
            <w:r>
              <w:t xml:space="preserve">30 real.</w:t>
            </w:r>
          </w:p>
        </w:tc>
      </w:tr>
      <w:tr>
        <w:tc>
          <w:tcPr/>
          <w:p>
            <w:pPr>
              <w:pStyle w:val="Compact"/>
            </w:pPr>
            <w:r>
              <w:t xml:space="preserve">sensor bias, max over arms (D)</w:t>
            </w:r>
          </w:p>
        </w:tc>
        <w:tc>
          <w:tcPr/>
          <w:p>
            <w:pPr>
              <w:pStyle w:val="Compact"/>
              <w:jc w:val="right"/>
            </w:pPr>
            <w:r>
              <w:t xml:space="preserve">+3.87</w:t>
            </w:r>
          </w:p>
        </w:tc>
        <w:tc>
          <w:tcPr/>
          <w:p>
            <w:pPr>
              <w:pStyle w:val="Compact"/>
              <w:jc w:val="right"/>
            </w:pPr>
            <w:r>
              <w:t xml:space="preserve">-5.94</w:t>
            </w:r>
          </w:p>
        </w:tc>
        <w:tc>
          <w:tcPr/>
          <w:p>
            <w:pPr>
              <w:pStyle w:val="Compact"/>
              <w:jc w:val="right"/>
            </w:pPr>
            <w:r>
              <w:t xml:space="preserve">-4.44</w:t>
            </w:r>
          </w:p>
        </w:tc>
        <w:tc>
          <w:tcPr/>
          <w:p>
            <w:pPr>
              <w:pStyle w:val="Compact"/>
              <w:jc w:val="right"/>
            </w:pPr>
            <w:r>
              <w:t xml:space="preserve">0.995-1.062</w:t>
            </w:r>
          </w:p>
        </w:tc>
        <w:tc>
          <w:tcPr/>
          <w:p>
            <w:pPr>
              <w:pStyle w:val="Compact"/>
            </w:pPr>
            <w:r>
              <w:t xml:space="preserve">rho_s &gt;= 0.9993; E[A] top-6 held in 23/24</w:t>
            </w:r>
          </w:p>
        </w:tc>
        <w:tc>
          <w:tcPr/>
          <w:p>
            <w:pPr>
              <w:pStyle w:val="Compact"/>
            </w:pPr>
            <w:r>
              <w:t xml:space="preserve">24 arms x 30; max taken per coefficient</w:t>
            </w:r>
          </w:p>
        </w:tc>
      </w:tr>
      <w:tr>
        <w:tc>
          <w:tcPr/>
          <w:p>
            <w:pPr>
              <w:pStyle w:val="Compact"/>
            </w:pPr>
            <w:r>
              <w:t xml:space="preserve">sensor drift (D)</w:t>
            </w:r>
          </w:p>
        </w:tc>
        <w:tc>
          <w:tcPr/>
          <w:p>
            <w:pPr>
              <w:pStyle w:val="Compact"/>
              <w:jc w:val="right"/>
            </w:pPr>
            <w:r>
              <w:t xml:space="preserve">0.89-0.99 of the mean-equivalent bias</w:t>
            </w:r>
          </w:p>
        </w:tc>
        <w:tc>
          <w:tcPr/>
          <w:p>
            <w:pPr>
              <w:pStyle w:val="Compact"/>
            </w:pPr>
          </w:p>
        </w:tc>
        <w:tc>
          <w:tcPr/>
          <w:p>
            <w:pPr>
              <w:pStyle w:val="Compact"/>
            </w:pPr>
          </w:p>
        </w:tc>
        <w:tc>
          <w:tcPr/>
          <w:p>
            <w:pPr>
              <w:pStyle w:val="Compact"/>
              <w:jc w:val="right"/>
            </w:pPr>
            <w:r>
              <w:t xml:space="preserve">—</w:t>
            </w:r>
          </w:p>
        </w:tc>
        <w:tc>
          <w:tcPr/>
          <w:p>
            <w:pPr>
              <w:pStyle w:val="Compact"/>
            </w:pPr>
            <w:r>
              <w:t xml:space="preserve">unchanged</w:t>
            </w:r>
          </w:p>
        </w:tc>
        <w:tc>
          <w:tcPr/>
          <w:p>
            <w:pPr>
              <w:pStyle w:val="Compact"/>
            </w:pPr>
            <w:r>
              <w:t xml:space="preserve">2 nodes x 4</w:t>
            </w:r>
          </w:p>
        </w:tc>
      </w:tr>
      <w:tr>
        <w:tc>
          <w:tcPr/>
          <w:p>
            <w:pPr>
              <w:pStyle w:val="Compact"/>
            </w:pPr>
            <w:r>
              <w:t xml:space="preserve">zero censoring (D)</w:t>
            </w:r>
          </w:p>
        </w:tc>
        <w:tc>
          <w:tcPr/>
          <w:p>
            <w:pPr>
              <w:pStyle w:val="Compact"/>
              <w:jc w:val="right"/>
            </w:pPr>
            <w:r>
              <w:t xml:space="preserve">-0.11</w:t>
            </w:r>
          </w:p>
        </w:tc>
        <w:tc>
          <w:tcPr/>
          <w:p>
            <w:pPr>
              <w:pStyle w:val="Compact"/>
              <w:jc w:val="right"/>
            </w:pPr>
            <w:r>
              <w:t xml:space="preserve">-0.00</w:t>
            </w:r>
          </w:p>
        </w:tc>
        <w:tc>
          <w:tcPr/>
          <w:p>
            <w:pPr>
              <w:pStyle w:val="Compact"/>
              <w:jc w:val="right"/>
            </w:pPr>
            <w:r>
              <w:t xml:space="preserve">+0.01</w:t>
            </w:r>
          </w:p>
        </w:tc>
        <w:tc>
          <w:tcPr/>
          <w:p>
            <w:pPr>
              <w:pStyle w:val="Compact"/>
              <w:jc w:val="right"/>
            </w:pPr>
            <w:r>
              <w:t xml:space="preserve">—</w:t>
            </w:r>
          </w:p>
        </w:tc>
        <w:tc>
          <w:tcPr/>
          <w:p>
            <w:pPr>
              <w:pStyle w:val="Compact"/>
            </w:pPr>
            <w:r>
              <w:t xml:space="preserve">top-3 unchanged</w:t>
            </w:r>
          </w:p>
        </w:tc>
        <w:tc>
          <w:tcPr/>
          <w:p>
            <w:pPr>
              <w:pStyle w:val="Compact"/>
            </w:pPr>
            <w:r>
              <w:t xml:space="preserve">30 real.; reference seed has 10/294 clipped</w:t>
            </w:r>
          </w:p>
        </w:tc>
      </w:tr>
      <w:tr>
        <w:tc>
          <w:tcPr/>
          <w:p>
            <w:pPr>
              <w:pStyle w:val="Compact"/>
            </w:pPr>
            <w:r>
              <w:t xml:space="preserve">symmetric heterogeneity (D)</w:t>
            </w:r>
          </w:p>
        </w:tc>
        <w:tc>
          <w:tcPr/>
          <w:p>
            <w:pPr>
              <w:pStyle w:val="Compact"/>
              <w:jc w:val="right"/>
            </w:pPr>
            <w:r>
              <w:t xml:space="preserve">+0.11</w:t>
            </w:r>
          </w:p>
        </w:tc>
        <w:tc>
          <w:tcPr/>
          <w:p>
            <w:pPr>
              <w:pStyle w:val="Compact"/>
              <w:jc w:val="right"/>
            </w:pPr>
            <w:r>
              <w:t xml:space="preserve">+0.02</w:t>
            </w:r>
          </w:p>
        </w:tc>
        <w:tc>
          <w:tcPr/>
          <w:p>
            <w:pPr>
              <w:pStyle w:val="Compact"/>
              <w:jc w:val="right"/>
            </w:pPr>
            <w:r>
              <w:t xml:space="preserve">-0.06</w:t>
            </w:r>
          </w:p>
        </w:tc>
        <w:tc>
          <w:tcPr/>
          <w:p>
            <w:pPr>
              <w:pStyle w:val="Compact"/>
              <w:jc w:val="right"/>
            </w:pPr>
            <w:r>
              <w:t xml:space="preserve">—</w:t>
            </w:r>
          </w:p>
        </w:tc>
        <w:tc>
          <w:tcPr/>
          <w:p>
            <w:pPr>
              <w:pStyle w:val="Compact"/>
            </w:pPr>
            <w:r>
              <w:t xml:space="preserve">—</w:t>
            </w:r>
          </w:p>
        </w:tc>
        <w:tc>
          <w:tcPr/>
          <w:p>
            <w:pPr>
              <w:pStyle w:val="Compact"/>
            </w:pPr>
            <w:r>
              <w:t xml:space="preserve">25 fields</w:t>
            </w:r>
          </w:p>
        </w:tc>
      </w:tr>
      <w:tr>
        <w:tc>
          <w:tcPr/>
          <w:p>
            <w:pPr>
              <w:pStyle w:val="Compact"/>
            </w:pPr>
            <w:r>
              <w:t xml:space="preserve">structured heterogeneity (D)</w:t>
            </w:r>
          </w:p>
        </w:tc>
        <w:tc>
          <w:tcPr/>
          <w:p>
            <w:pPr>
              <w:pStyle w:val="Compact"/>
              <w:jc w:val="right"/>
            </w:pPr>
            <w:r>
              <w:t xml:space="preserve">-1.55</w:t>
            </w:r>
          </w:p>
        </w:tc>
        <w:tc>
          <w:tcPr/>
          <w:p>
            <w:pPr>
              <w:pStyle w:val="Compact"/>
              <w:jc w:val="right"/>
            </w:pPr>
            <w:r>
              <w:t xml:space="preserve">-1.89</w:t>
            </w:r>
          </w:p>
        </w:tc>
        <w:tc>
          <w:tcPr/>
          <w:p>
            <w:pPr>
              <w:pStyle w:val="Compact"/>
              <w:jc w:val="right"/>
            </w:pPr>
            <w:r>
              <w:t xml:space="preserve">-1.65</w:t>
            </w:r>
          </w:p>
        </w:tc>
        <w:tc>
          <w:tcPr/>
          <w:p>
            <w:pPr>
              <w:pStyle w:val="Compact"/>
              <w:jc w:val="right"/>
            </w:pPr>
            <w:r>
              <w:t xml:space="preserve">0.995</w:t>
            </w:r>
          </w:p>
        </w:tc>
        <w:tc>
          <w:tcPr/>
          <w:p>
            <w:pPr>
              <w:pStyle w:val="Compact"/>
            </w:pPr>
            <w:r>
              <w:t xml:space="preserve">—</w:t>
            </w:r>
          </w:p>
        </w:tc>
        <w:tc>
          <w:tcPr/>
          <w:p>
            <w:pPr>
              <w:pStyle w:val="Compact"/>
            </w:pPr>
            <w:r>
              <w:t xml:space="preserve">1 design, single draw</w:t>
            </w:r>
          </w:p>
        </w:tc>
      </w:tr>
    </w:tbl>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t xml:space="preserve">Notes</w:t>
            </w:r>
          </w:p>
        </w:tc>
      </w:tr>
      <w:tr>
        <w:tc>
          <w:tcPr/>
          <w:p>
            <w:pPr>
              <w:pStyle w:val="Compact"/>
            </w:pPr>
            <w:r>
              <w:t xml:space="preserve">(W) widening, a factor on the interval; (D) displacement, in baseline posterior standard deviations.</w:t>
            </w:r>
          </w:p>
        </w:tc>
      </w:tr>
      <w:tr>
        <w:tc>
          <w:tcPr/>
          <w:p>
            <w:pPr>
              <w:pStyle w:val="Compact"/>
            </w:pPr>
            <w:r>
              <w:t xml:space="preserve">Best fit: the smallest RMSE reachable anywhere in the candidate library under that perturbation, as a multiple of the realised observation-noise RMSE of the same draw. A value near one means the perturbation is not visible in the aggregate residual.</w:t>
            </w:r>
          </w:p>
        </w:tc>
      </w:tr>
      <w:tr>
        <w:tc>
          <w:tcPr/>
          <w:p>
            <w:pPr>
              <w:pStyle w:val="Compact"/>
            </w:pPr>
            <w:r>
              <w:t xml:space="preserve">Risk column: whole-network Spearman, then top-6 Jaccard under</w:t>
            </w:r>
            <w:r>
              <w:t xml:space="preserve"> </w:t>
            </w:r>
            <m:oMath>
              <m:acc>
                <m:accPr>
                  <m:chr m:val="‾"/>
                </m:accPr>
                <m:e>
                  <m:r>
                    <m:t>P</m:t>
                  </m:r>
                </m:e>
              </m:acc>
            </m:oMath>
            <w:r>
              <w:t xml:space="preserve"> </w:t>
            </w:r>
            <w:r>
              <w:t xml:space="preserve">/</w:t>
            </w:r>
            <w:r>
              <w:t xml:space="preserve"> </w:t>
            </w:r>
            <m:oMath>
              <m:r>
                <m:t>E</m:t>
              </m:r>
              <m:r>
                <m:rPr>
                  <m:sty m:val="p"/>
                </m:rPr>
                <m:t>[</m:t>
              </m:r>
              <m:r>
                <m:t>A</m:t>
              </m:r>
              <m:r>
                <m:rPr>
                  <m:sty m:val="p"/>
                </m:rPr>
                <m:t>]</m:t>
              </m:r>
            </m:oMath>
            <w:r>
              <w:t xml:space="preserve">.</w:t>
            </w:r>
          </w:p>
        </w:tc>
      </w:tr>
      <w:tr>
        <w:tc>
          <w:tcPr/>
          <w:p>
            <w:pPr>
              <w:pStyle w:val="Compact"/>
            </w:pPr>
            <w:r>
              <w:t xml:space="preserve">Structured-heterogeneity displacements are a single noise draw. Over 30 draws the median proxy-gap fraction is 0.86/1.12/0.92 (raw), with 5-95% intervals that overlap across zones, so the zones cannot be ordered against one another.</w:t>
            </w:r>
          </w:p>
        </w:tc>
      </w:tr>
      <w:tr>
        <w:tc>
          <w:tcPr/>
          <w:p>
            <w:pPr>
              <w:pStyle w:val="Compact"/>
            </w:pPr>
            <w:r>
              <w:t xml:space="preserve">Length is one correlate; the length-weighted proxy is not the effective coefficient.</w:t>
            </w:r>
          </w:p>
        </w:tc>
      </w:tr>
    </w:tbl>
    <w:p>
      <w:pPr>
        <w:pStyle w:val="BodyText"/>
      </w:pPr>
      <w:r>
        <w:t xml:space="preserve">Table 4.</w:t>
      </w:r>
      <w:r>
        <w:t xml:space="preserve"> </w:t>
      </w:r>
      <w:r>
        <w:rPr>
          <w:b/>
          <w:bCs/>
        </w:rPr>
        <w:t xml:space="preserve">Robustness summary across error sources.</w:t>
      </w:r>
      <w:r>
        <w:t xml:space="preserve"> </w:t>
      </w:r>
      <w:r>
        <w:t xml:space="preserve">Standardisation follows Figure 4. The notes below the table define the entry types.</w:t>
      </w:r>
    </w:p>
    <w:bookmarkEnd w:id="74"/>
    <w:bookmarkEnd w:id="75"/>
    <w:bookmarkStart w:id="81" w:name="X5c6fbb3654315815bfb725b2f40781d28e6ad47"/>
    <w:p>
      <w:pPr>
        <w:pStyle w:val="Heading2"/>
      </w:pPr>
      <w:r>
        <w:t xml:space="preserve">3.4 Structural heterogeneity and grouped effective parameters</w:t>
      </w:r>
    </w:p>
    <w:bookmarkStart w:id="76" w:name="Xb5a3e0e6d40588ac03e6f586d3394d3f246b935"/>
    <w:p>
      <w:pPr>
        <w:pStyle w:val="Heading3"/>
      </w:pPr>
      <w:r>
        <w:t xml:space="preserve">3.4.1 Symmetric within-zone heterogeneity leaves no resolvable bias</w:t>
      </w:r>
    </w:p>
    <w:p>
      <w:pPr>
        <w:pStyle w:val="FirstParagraph"/>
      </w:pPr>
      <w:r>
        <w:t xml:space="preserve">Sections 3.2 and 3.3 treated each synthetic zone as internally homogeneous, whereas field wall</w:t>
      </w:r>
      <w:r>
        <w:t xml:space="preserve"> </w:t>
      </w:r>
      <w:r>
        <w:t xml:space="preserve">reactivity varies with pipe condition</w:t>
      </w:r>
      <w:r>
        <w:t xml:space="preserve"> </w:t>
      </w:r>
      <w:r>
        <w:t xml:space="preserve">(Hallam</w:t>
      </w:r>
      <w:r>
        <w:t xml:space="preserve"> </w:t>
      </w:r>
      <w:r>
        <w:rPr>
          <w:i/>
          <w:iCs/>
        </w:rPr>
        <w:t xml:space="preserve">et al.</w:t>
      </w:r>
      <w:r>
        <w:t xml:space="preserve">, 2002)</w:t>
      </w:r>
      <w:r>
        <w:t xml:space="preserve"> </w:t>
      </w:r>
      <w:r>
        <w:t xml:space="preserve">and is unlikely to be uniform within any</w:t>
      </w:r>
      <w:r>
        <w:t xml:space="preserve"> </w:t>
      </w:r>
      <w:r>
        <w:t xml:space="preserve">practical grouping. Whether that variation</w:t>
      </w:r>
      <w:r>
        <w:t xml:space="preserve"> </w:t>
      </w:r>
      <w:r>
        <w:t xml:space="preserve">biases the grouped estimate turns out to depend on whether it has directional structure.</w:t>
      </w:r>
    </w:p>
    <w:p>
      <w:pPr>
        <w:pStyle w:val="BodyText"/>
      </w:pPr>
      <w:r>
        <w:t xml:space="preserve">With per-pipe coefficients jittered symmetrically about each zone mean, the grouped estimate</w:t>
      </w:r>
      <w:r>
        <w:t xml:space="preserve"> </w:t>
      </w:r>
      <w:r>
        <w:t xml:space="preserve">stayed at the zone arithmetic mean to within the scatter between realisations. Across 25</w:t>
      </w:r>
      <w:r>
        <w:t xml:space="preserve"> </w:t>
      </w:r>
      <w:r>
        <w:t xml:space="preserve">independent fields at ±20%, the structural increment, defined as the shift relative to a homogeneous control run with the same noise, was +0.011 ± 0.033 m day</w:t>
      </w:r>
      <w:r>
        <w:rPr>
          <w:vertAlign w:val="superscript"/>
        </w:rPr>
        <w:t xml:space="preserve">-1</w:t>
      </w:r>
      <w:r>
        <w:t xml:space="preserve"> </w:t>
      </w:r>
      <w:r>
        <w:t xml:space="preserve">for old, +0.0002 ± 0.005 for</w:t>
      </w:r>
      <w:r>
        <w:t xml:space="preserve"> </w:t>
      </w:r>
      <w:r>
        <w:t xml:space="preserve">average and −0.0005 ± 0.002 for new. Each mean increment is a fraction of the field-to-field</w:t>
      </w:r>
      <w:r>
        <w:t xml:space="preserve"> </w:t>
      </w:r>
      <w:r>
        <w:t xml:space="preserve">standard deviation (0.32, 0.04 and 0.24), so no systematic bias is distinguishable from the</w:t>
      </w:r>
      <w:r>
        <w:t xml:space="preserve"> </w:t>
      </w:r>
      <w:r>
        <w:t xml:space="preserve">scatter; standardised as in Figure 4 they are +0.11, +0.02 and −0.06.</w:t>
      </w:r>
    </w:p>
    <w:p>
      <w:pPr>
        <w:pStyle w:val="BodyText"/>
      </w:pPr>
      <w:r>
        <w:t xml:space="preserve">Aggregate fit quality gave little warning here. The grid-based residual rises from its</w:t>
      </w:r>
      <w:r>
        <w:t xml:space="preserve"> </w:t>
      </w:r>
      <w:r>
        <w:t xml:space="preserve">homogeneous resolution floor of 0.0055 mg L</w:t>
      </w:r>
      <w:r>
        <w:rPr>
          <w:vertAlign w:val="superscript"/>
        </w:rPr>
        <w:t xml:space="preserve">-1</w:t>
      </w:r>
      <w:r>
        <w:t xml:space="preserve"> </w:t>
      </w:r>
      <w:r>
        <w:t xml:space="preserve">to 0.0068, leaving 0.0013 attributable to the</w:t>
      </w:r>
      <w:r>
        <w:t xml:space="preserve"> </w:t>
      </w:r>
      <w:r>
        <w:t xml:space="preserve">imposed heterogeneity, and the best fit stays at the noise floor. Nor would one field have sufficed. The realisation examined first gave an old-zone increment of −0.032 m day</w:t>
      </w:r>
      <w:r>
        <w:rPr>
          <w:vertAlign w:val="superscript"/>
        </w:rPr>
        <w:t xml:space="preserve">-1</w:t>
      </w:r>
      <w:r>
        <w:t xml:space="preserve">,</w:t>
      </w:r>
      <w:r>
        <w:t xml:space="preserve"> </w:t>
      </w:r>
      <w:r>
        <w:t xml:space="preserve">opposite in sign to the 25-field mean, as did the other two coefficients. What these 25 fields</w:t>
      </w:r>
      <w:r>
        <w:t xml:space="preserve"> </w:t>
      </w:r>
      <w:r>
        <w:t xml:space="preserve">establish is therefore a negative result at the resolution of this design. No systematic mean</w:t>
      </w:r>
      <w:r>
        <w:t xml:space="preserve"> </w:t>
      </w:r>
      <w:r>
        <w:t xml:space="preserve">displacement was resolvable against the field-to-field scatter under the fixed observation-noise</w:t>
      </w:r>
      <w:r>
        <w:t xml:space="preserve"> </w:t>
      </w:r>
      <w:r>
        <w:t xml:space="preserve">realisation used throughout, which is weaker than a demonstration that symmetric jitter cancels</w:t>
      </w:r>
      <w:r>
        <w:t xml:space="preserve"> </w:t>
      </w:r>
      <w:r>
        <w:t xml:space="preserve">exactly, and establishing even that required a paired control and replication over fields.</w:t>
      </w:r>
    </w:p>
    <w:bookmarkEnd w:id="76"/>
    <w:bookmarkStart w:id="80" w:name="Xf795476aebf5c4172365929c86ee6a19e9abdae"/>
    <w:p>
      <w:pPr>
        <w:pStyle w:val="Heading3"/>
      </w:pPr>
      <w:r>
        <w:t xml:space="preserve">3.4.2 Structured heterogeneity displaces all three grouped coefficients</w:t>
      </w:r>
    </w:p>
    <w:p>
      <w:pPr>
        <w:pStyle w:val="FirstParagraph"/>
      </w:pPr>
      <w:r>
        <w:t xml:space="preserve">Heterogeneity correlated with a network property behaves differently. Making within-zone decay</w:t>
      </w:r>
      <w:r>
        <w:t xml:space="preserve"> </w:t>
      </w:r>
      <w:r>
        <w:t xml:space="preserve">increase with pipe length while holding each zone’s arithmetic mean fixed separates two candidate</w:t>
      </w:r>
      <w:r>
        <w:t xml:space="preserve"> </w:t>
      </w:r>
      <w:r>
        <w:t xml:space="preserve">targets for a homogeneous grouped fit, the arithmetic mean and a length-weighted directional</w:t>
      </w:r>
      <w:r>
        <w:t xml:space="preserve"> </w:t>
      </w:r>
      <w:r>
        <w:t xml:space="preserve">comparator. In the paired reference realisation the control-adjusted displacements were −1.55,</w:t>
      </w:r>
      <w:r>
        <w:t xml:space="preserve"> </w:t>
      </w:r>
      <w:r>
        <w:t xml:space="preserve">−1.89 and −1.65 baseline posterior standard deviations for old, average and new, while the best</w:t>
      </w:r>
      <w:r>
        <w:t xml:space="preserve"> </w:t>
      </w:r>
      <w:r>
        <w:t xml:space="preserve">RMSE remained 0.0968 mg L</w:t>
      </w:r>
      <w:r>
        <w:rPr>
          <w:vertAlign w:val="superscript"/>
        </w:rPr>
        <w:t xml:space="preserve">-1</w:t>
      </w:r>
      <w:r>
        <w:t xml:space="preserve"> </w:t>
      </w:r>
      <w:r>
        <w:t xml:space="preserve">against a realised noise RMSE of 0.0973.</w:t>
      </w:r>
    </w:p>
    <w:p>
      <w:pPr>
        <w:pStyle w:val="BodyText"/>
      </w:pPr>
      <w:r>
        <w:t xml:space="preserve">Across 30 noise realisations at</w:t>
      </w:r>
      <w:r>
        <w:t xml:space="preserve"> </w:t>
      </w:r>
      <m:oMath>
        <m:r>
          <m:t>λ</m:t>
        </m:r>
        <m:r>
          <m:rPr>
            <m:sty m:val="p"/>
          </m:rPr>
          <m:t>=</m:t>
        </m:r>
        <m:r>
          <m:t>0.50</m:t>
        </m:r>
      </m:oMath>
      <w:r>
        <w:t xml:space="preserve"> </w:t>
      </w:r>
      <w:r>
        <w:t xml:space="preserve">the median raw fractions of the</w:t>
      </w:r>
      <w:r>
        <w:t xml:space="preserve"> </w:t>
      </w:r>
      <w:r>
        <w:t xml:space="preserve">arithmetic-to-length-weighted gap travelled were 0.86, 1.12 and 0.92. Their 5th-to-95th ranges</w:t>
      </w:r>
      <w:r>
        <w:t xml:space="preserve"> </w:t>
      </w:r>
      <w:r>
        <w:t xml:space="preserve">overlap and all contain unity, so the zones cannot be ordered by displacement magnitude; the</w:t>
      </w:r>
      <w:r>
        <w:t xml:space="preserve"> </w:t>
      </w:r>
      <w:r>
        <w:t xml:space="preserve">apparent average-zone overshoot in Figure 5C is not stable across draws. At</w:t>
      </w:r>
      <w:r>
        <w:t xml:space="preserve"> </w:t>
      </w:r>
      <m:oMath>
        <m:r>
          <m:t>λ</m:t>
        </m:r>
        <m:r>
          <m:rPr>
            <m:sty m:val="p"/>
          </m:rPr>
          <m:t>=</m:t>
        </m:r>
        <m:r>
          <m:t>0.75</m:t>
        </m:r>
      </m:oMath>
      <w:r>
        <w:t xml:space="preserve"> </w:t>
      </w:r>
      <w:r>
        <w:t xml:space="preserve">all</w:t>
      </w:r>
      <w:r>
        <w:t xml:space="preserve"> </w:t>
      </w:r>
      <w:r>
        <w:t xml:space="preserve">three intervals exclude zero, resolving movement in the length-weighted direction but not its</w:t>
      </w:r>
      <w:r>
        <w:t xml:space="preserve"> </w:t>
      </w:r>
      <w:r>
        <w:t xml:space="preserve">size.</w:t>
      </w:r>
    </w:p>
    <w:p>
      <w:pPr>
        <w:pStyle w:val="BodyText"/>
      </w:pPr>
      <w:r>
        <w:t xml:space="preserve">The informal comparator did not attenuate the effect uniformly. For the old zone it returned only</w:t>
      </w:r>
      <w:r>
        <w:t xml:space="preserve"> </w:t>
      </w:r>
      <w:r>
        <w:t xml:space="preserve">46% to 59% of the formal displacement at every non-zero amplitude, whereas the average-zone</w:t>
      </w:r>
      <w:r>
        <w:t xml:space="preserve"> </w:t>
      </w:r>
      <w:r>
        <w:t xml:space="preserve">informal fraction</w:t>
      </w:r>
      <w:r>
        <w:t xml:space="preserve"> </w:t>
      </w:r>
      <w:r>
        <w:rPr>
          <w:i/>
          <w:iCs/>
        </w:rPr>
        <w:t xml:space="preserve">exceeds</w:t>
      </w:r>
      <w:r>
        <w:t xml:space="preserve"> </w:t>
      </w:r>
      <w:r>
        <w:t xml:space="preserve">the formal one at</w:t>
      </w:r>
      <w:r>
        <w:t xml:space="preserve"> </w:t>
      </w:r>
      <m:oMath>
        <m:r>
          <m:t>λ</m:t>
        </m:r>
        <m:r>
          <m:rPr>
            <m:sty m:val="p"/>
          </m:rPr>
          <m:t>=</m:t>
        </m:r>
        <m:r>
          <m:t>0.25</m:t>
        </m:r>
      </m:oMath>
      <w:r>
        <w:t xml:space="preserve"> </w:t>
      </w:r>
      <w:r>
        <w:t xml:space="preserve">and 0.50 and the new-zone</w:t>
      </w:r>
      <w:r>
        <w:t xml:space="preserve"> </w:t>
      </w:r>
      <w:r>
        <w:t xml:space="preserve">attenuation is mild throughout. The effect of the informal rule is therefore zone-specific: where</w:t>
      </w:r>
      <w:r>
        <w:t xml:space="preserve"> </w:t>
      </w:r>
      <w:r>
        <w:t xml:space="preserve">it does attenuate, a study relying on it would understate how far structural misspecification</w:t>
      </w:r>
      <w:r>
        <w:t xml:space="preserve"> </w:t>
      </w:r>
      <w:r>
        <w:t xml:space="preserve">moves that coefficient, but the halving seen for old cannot be assumed for the weakly decaying</w:t>
      </w:r>
      <w:r>
        <w:t xml:space="preserve"> </w:t>
      </w:r>
      <w:r>
        <w:t xml:space="preserve">zones. The full amplitude sweep is reported in Table E4.</w:t>
      </w:r>
    </w:p>
    <w:p>
      <w:pPr>
        <w:pStyle w:val="CaptionedFigure"/>
      </w:pPr>
      <w:r>
        <w:drawing>
          <wp:inline>
            <wp:extent cx="5681196" cy="2041930"/>
            <wp:effectExtent b="0" l="0" r="0" t="0"/>
            <wp:docPr descr="Figure 5. Symmetric and structured within-zone heterogeneity. Increments in (A) and (B) are in baseline posterior standard deviations. The displacement fraction f_j in (C) is raw, summarised by median and 5–95% range over 30 noise realisations, with the single control-adjusted reference realisation marked faintly." title="" id="78" name="Picture"/>
            <a:graphic>
              <a:graphicData uri="http://schemas.openxmlformats.org/drawingml/2006/picture">
                <pic:pic>
                  <pic:nvPicPr>
                    <pic:cNvPr descr="figures/paper/fig5_symmetric_vs_structured.png" id="79" name="Picture"/>
                    <pic:cNvPicPr>
                      <a:picLocks noChangeArrowheads="1" noChangeAspect="1"/>
                    </pic:cNvPicPr>
                  </pic:nvPicPr>
                  <pic:blipFill>
                    <a:blip r:embed="rId77"/>
                    <a:stretch>
                      <a:fillRect/>
                    </a:stretch>
                  </pic:blipFill>
                  <pic:spPr bwMode="auto">
                    <a:xfrm>
                      <a:off x="0" y="0"/>
                      <a:ext cx="5681196" cy="2041930"/>
                    </a:xfrm>
                    <a:prstGeom prst="rect">
                      <a:avLst/>
                    </a:prstGeom>
                    <a:noFill/>
                    <a:ln w="9525">
                      <a:noFill/>
                      <a:headEnd/>
                      <a:tailEnd/>
                    </a:ln>
                  </pic:spPr>
                </pic:pic>
              </a:graphicData>
            </a:graphic>
          </wp:inline>
        </w:drawing>
      </w:r>
    </w:p>
    <w:p>
      <w:pPr>
        <w:pStyle w:val="ImageCaption"/>
      </w:pPr>
      <w:r>
        <w:t xml:space="preserve">Figure 5.</w:t>
      </w:r>
      <w:r>
        <w:t xml:space="preserve"> </w:t>
      </w:r>
      <w:r>
        <w:rPr>
          <w:b/>
          <w:bCs/>
        </w:rPr>
        <w:t xml:space="preserve">Symmetric and structured within-zone heterogeneity.</w:t>
      </w:r>
      <w:r>
        <w:t xml:space="preserve"> </w:t>
      </w:r>
      <w:r>
        <w:t xml:space="preserve">Increments in (A) and (B) are in baseline posterior standard deviations. The displacement fraction</w:t>
      </w:r>
      <w:r>
        <w:t xml:space="preserve"> </w:t>
      </w:r>
      <m:oMath>
        <m:sSub>
          <m:e>
            <m:r>
              <m:t>f</m:t>
            </m:r>
          </m:e>
          <m:sub>
            <m:r>
              <m:t>j</m:t>
            </m:r>
          </m:sub>
        </m:sSub>
      </m:oMath>
      <w:r>
        <w:t xml:space="preserve"> </w:t>
      </w:r>
      <w:r>
        <w:t xml:space="preserve">in (C) is raw, summarised by median and 5–95% range over 30 noise realisations, with the single control-adjusted reference realisation marked faintly.</w:t>
      </w:r>
    </w:p>
    <w:bookmarkEnd w:id="80"/>
    <w:bookmarkEnd w:id="81"/>
    <w:bookmarkStart w:id="88" w:name="X44cb885e018a13507da67f983d6df8610da438a"/>
    <w:p>
      <w:pPr>
        <w:pStyle w:val="Heading2"/>
      </w:pPr>
      <w:r>
        <w:t xml:space="preserve">3.5 Predictive accuracy is not parameter identification</w:t>
      </w:r>
    </w:p>
    <w:bookmarkStart w:id="82" w:name="leaving-out-one-monitor"/>
    <w:p>
      <w:pPr>
        <w:pStyle w:val="Heading3"/>
      </w:pPr>
      <w:r>
        <w:t xml:space="preserve">3.5.1 Leaving out one monitor</w:t>
      </w:r>
    </w:p>
    <w:p>
      <w:pPr>
        <w:pStyle w:val="FirstParagraph"/>
      </w:pPr>
      <w:r>
        <w:t xml:space="preserve">Withholding each of the six monitors in turn and refitting gives held-out RMSEs between 0.092 and</w:t>
      </w:r>
      <w:r>
        <w:t xml:space="preserve"> </w:t>
      </w:r>
      <w:r>
        <w:t xml:space="preserve">0.103 mg L</w:t>
      </w:r>
      <w:r>
        <w:rPr>
          <w:vertAlign w:val="superscript"/>
        </w:rPr>
        <w:t xml:space="preserve">-1</w:t>
      </w:r>
      <w:r>
        <w:t xml:space="preserve"> </w:t>
      </w:r>
      <w:r>
        <w:t xml:space="preserve">against an observation noise standard deviation of 0.1, with 90% predictive</w:t>
      </w:r>
      <w:r>
        <w:t xml:space="preserve"> </w:t>
      </w:r>
      <w:r>
        <w:t xml:space="preserve">interval coverage between 0.90 and 0.94 (Table 5). Taken at face value that is good held-out</w:t>
      </w:r>
      <w:r>
        <w:t xml:space="preserve"> </w:t>
      </w:r>
      <w:r>
        <w:t xml:space="preserve">performance at all six monitors.</w:t>
      </w:r>
    </w:p>
    <w:p>
      <w:pPr>
        <w:pStyle w:val="BodyText"/>
      </w:pPr>
      <w:r>
        <w:t xml:space="preserve">Two observations qualify that reading. Each zone retains its second monitor throughout, so the</w:t>
      </w:r>
      <w:r>
        <w:t xml:space="preserve"> </w:t>
      </w:r>
      <w:r>
        <w:t xml:space="preserve">test establishes prediction at an unseen monitor while its zone remains locally observed. And the</w:t>
      </w:r>
      <w:r>
        <w:t xml:space="preserve"> </w:t>
      </w:r>
      <w:r>
        <w:t xml:space="preserve">informal comparator achieved almost the same held-out RMSE, 0.092 to 0.102 mg L</w:t>
      </w:r>
      <w:r>
        <w:rPr>
          <w:vertAlign w:val="superscript"/>
        </w:rPr>
        <w:t xml:space="preserve">-1</w:t>
      </w:r>
      <w:r>
        <w:t xml:space="preserve">, despite the</w:t>
      </w:r>
      <w:r>
        <w:t xml:space="preserve"> </w:t>
      </w:r>
      <w:r>
        <w:t xml:space="preserve">much broader parameter distributions of Section 3.2, so a weighting rule can extract very little</w:t>
      </w:r>
      <w:r>
        <w:t xml:space="preserve"> </w:t>
      </w:r>
      <w:r>
        <w:t xml:space="preserve">parameter information and still predict concentrations about as well.</w:t>
      </w:r>
    </w:p>
    <w:bookmarkEnd w:id="82"/>
    <w:bookmarkStart w:id="83" w:name="leaving-out-a-whole-zone"/>
    <w:p>
      <w:pPr>
        <w:pStyle w:val="Heading3"/>
      </w:pPr>
      <w:r>
        <w:t xml:space="preserve">3.5.2 Leaving out a whole zone</w:t>
      </w:r>
    </w:p>
    <w:p>
      <w:pPr>
        <w:pStyle w:val="FirstParagraph"/>
      </w:pPr>
      <w:r>
        <w:t xml:space="preserve">Withholding both monitors of a zone removed the local update for the old and average</w:t>
      </w:r>
      <w:r>
        <w:t xml:space="preserve"> </w:t>
      </w:r>
      <w:r>
        <w:t xml:space="preserve">coefficients. Both returned to their prior midpoints to three decimal places and retained 100% of</w:t>
      </w:r>
      <w:r>
        <w:t xml:space="preserve"> </w:t>
      </w:r>
      <w:r>
        <w:t xml:space="preserve">the prior standard deviation. The new coefficient retained about 57%, consistent with its</w:t>
      </w:r>
      <w:r>
        <w:t xml:space="preserve"> </w:t>
      </w:r>
      <w:r>
        <w:t xml:space="preserve">upstream position and with the cross-zone sensitivity visible in the Fisher analysis of Section</w:t>
      </w:r>
      <w:r>
        <w:t xml:space="preserve"> </w:t>
      </w:r>
      <w:r>
        <w:t xml:space="preserve">3.3.3.</w:t>
      </w:r>
    </w:p>
    <w:p>
      <w:pPr>
        <w:pStyle w:val="BodyText"/>
      </w:pPr>
      <w:r>
        <w:t xml:space="preserve">Held-out prediction nevertheless stayed near the noise scale, with RMSEs of</w:t>
      </w:r>
      <w:r>
        <w:t xml:space="preserve"> </w:t>
      </w:r>
      <w:r>
        <w:t xml:space="preserve">0.0999, 0.0988 and 0.1006 mg L</w:t>
      </w:r>
      <w:r>
        <w:rPr>
          <w:vertAlign w:val="superscript"/>
        </w:rPr>
        <w:t xml:space="preserve">-1</w:t>
      </w:r>
      <w:r>
        <w:t xml:space="preserve"> </w:t>
      </w:r>
      <w:r>
        <w:t xml:space="preserve">and coverage between 0.90 and 0.96 (Figure 6). Repeating the</w:t>
      </w:r>
      <w:r>
        <w:t xml:space="preserve"> </w:t>
      </w:r>
      <w:r>
        <w:t xml:space="preserve">design under ±20% per-pipe heterogeneity across eight independent fields produced the same</w:t>
      </w:r>
      <w:r>
        <w:t xml:space="preserve"> </w:t>
      </w:r>
      <w:r>
        <w:t xml:space="preserve">qualitative separation, with errors at unmonitored junctions between 0.8% and 1.2%. In a separate</w:t>
      </w:r>
      <w:r>
        <w:t xml:space="preserve"> </w:t>
      </w:r>
      <w:r>
        <w:t xml:space="preserve">spatial validation using all six monitors, predictions at twenty junctions that never entered any</w:t>
      </w:r>
      <w:r>
        <w:t xml:space="preserve"> </w:t>
      </w:r>
      <w:r>
        <w:t xml:space="preserve">calibration had a median normalised mean absolute error of 0.83% under the primary likelihood,</w:t>
      </w:r>
      <w:r>
        <w:t xml:space="preserve"> </w:t>
      </w:r>
      <w:r>
        <w:t xml:space="preserve">with an interquartile range of 0.41% to 1.45%.</w:t>
      </w:r>
    </w:p>
    <w:p>
      <w:pPr>
        <w:pStyle w:val="BodyText"/>
      </w:pPr>
      <w:r>
        <w:t xml:space="preserve">The predictive bands at those junctions are less flattering and are reported for that reason.</w:t>
      </w:r>
      <w:r>
        <w:t xml:space="preserve"> </w:t>
      </w:r>
      <w:r>
        <w:t xml:space="preserve">Against a nominal 90%, median pointwise coverage was 1.00 under both band</w:t>
      </w:r>
      <w:r>
        <w:t xml:space="preserve"> </w:t>
      </w:r>
      <w:r>
        <w:t xml:space="preserve">constructions and both weighting rules, so the bands are conservative rather than calibrated in</w:t>
      </w:r>
      <w:r>
        <w:t xml:space="preserve"> </w:t>
      </w:r>
      <w:r>
        <w:t xml:space="preserve">this model-matched design, and the same caution applies to the apparently near-nominal coverage of the held-out monitor</w:t>
      </w:r>
      <w:r>
        <w:t xml:space="preserve"> </w:t>
      </w:r>
      <w:r>
        <w:t xml:space="preserve">designs. Cross-coefficient compensation was small, the largest shift in a</w:t>
      </w:r>
      <w:r>
        <w:t xml:space="preserve"> </w:t>
      </w:r>
      <w:r>
        <w:t xml:space="preserve">retained coefficient being 0.0086 m day</w:t>
      </w:r>
      <w:r>
        <w:rPr>
          <w:vertAlign w:val="superscript"/>
        </w:rPr>
        <w:t xml:space="preserve">-1</w:t>
      </w:r>
      <w:r>
        <w:t xml:space="preserve">. For old and average the prior midpoints lie close</w:t>
      </w:r>
      <w:r>
        <w:t xml:space="preserve"> </w:t>
      </w:r>
      <w:r>
        <w:t xml:space="preserve">enough to the imposed truths that a prior-dominated coefficient still predicts within the 0.1 mg</w:t>
      </w:r>
      <w:r>
        <w:t xml:space="preserve"> </w:t>
      </w:r>
      <w:r>
        <w:t xml:space="preserve">L</w:t>
      </w:r>
      <w:r>
        <w:rPr>
          <w:vertAlign w:val="superscript"/>
        </w:rPr>
        <w:t xml:space="preserve">-1</w:t>
      </w:r>
      <w:r>
        <w:t xml:space="preserve"> </w:t>
      </w:r>
      <w:r>
        <w:t xml:space="preserve">noise scale, whereas the new coefficient retains genuine information from monitors outside</w:t>
      </w:r>
      <w:r>
        <w:t xml:space="preserve"> </w:t>
      </w:r>
      <w:r>
        <w:t xml:space="preserve">its own zone. Good held-out prediction therefore did not imply local parameter identification.</w:t>
      </w:r>
    </w:p>
    <w:bookmarkEnd w:id="83"/>
    <w:bookmarkStart w:id="87" w:name="X68f19514e01396656c07c61bd9e2aff5b14a223"/>
    <w:p>
      <w:pPr>
        <w:pStyle w:val="Heading3"/>
      </w:pPr>
      <w:r>
        <w:t xml:space="preserve">3.5.3 What predictive validation does and does not license</w:t>
      </w:r>
    </w:p>
    <w:p>
      <w:pPr>
        <w:pStyle w:val="FirstParagraph"/>
      </w:pPr>
      <w:r>
        <w:t xml:space="preserve">Held-out prediction supports spatial prediction at unseen</w:t>
      </w:r>
      <w:r>
        <w:t xml:space="preserve"> </w:t>
      </w:r>
      <w:r>
        <w:t xml:space="preserve">locations within the same simulated operating regime. It does not support physical</w:t>
      </w:r>
      <w:r>
        <w:t xml:space="preserve"> </w:t>
      </w:r>
      <w:r>
        <w:t xml:space="preserve">interpretation of the coefficients, attribution of decay to particular assets, or any</w:t>
      </w:r>
      <w:r>
        <w:t xml:space="preserve"> </w:t>
      </w:r>
      <w:r>
        <w:t xml:space="preserve">intervention whose design depends on which zone is reactive. For those, Section 3.5.2 shows the evidence may be absent while every predictive diagnostic</w:t>
      </w:r>
      <w:r>
        <w:t xml:space="preserve"> </w:t>
      </w:r>
      <w:r>
        <w:t xml:space="preserve">passes. Nor is any of this an external validation, for the reasons set out in Section 3.7.3.</w:t>
      </w:r>
    </w:p>
    <w:p>
      <w:pPr>
        <w:pStyle w:val="CaptionedFigure"/>
      </w:pPr>
      <w:r>
        <w:drawing>
          <wp:inline>
            <wp:extent cx="5591819" cy="2470484"/>
            <wp:effectExtent b="0" l="0" r="0" t="0"/>
            <wp:docPr descr="Figure 6. Leave-one-zone-out parameter and prediction results. Left, median coefficient over 30 realisations against prior support, midpoint and truth; the bar is the median within-realisation posterior standard deviation at a Gaussian 90% width. Right, held-out RMSE against the 0.1 mg L-1 noise scale, bars showing the interquartile range." title="" id="85" name="Picture"/>
            <a:graphic>
              <a:graphicData uri="http://schemas.openxmlformats.org/drawingml/2006/picture">
                <pic:pic>
                  <pic:nvPicPr>
                    <pic:cNvPr descr="figures/paper/fig6_prediction_without_identification.png" id="86" name="Picture"/>
                    <pic:cNvPicPr>
                      <a:picLocks noChangeArrowheads="1" noChangeAspect="1"/>
                    </pic:cNvPicPr>
                  </pic:nvPicPr>
                  <pic:blipFill>
                    <a:blip r:embed="rId84"/>
                    <a:stretch>
                      <a:fillRect/>
                    </a:stretch>
                  </pic:blipFill>
                  <pic:spPr bwMode="auto">
                    <a:xfrm>
                      <a:off x="0" y="0"/>
                      <a:ext cx="5591819" cy="2470484"/>
                    </a:xfrm>
                    <a:prstGeom prst="rect">
                      <a:avLst/>
                    </a:prstGeom>
                    <a:noFill/>
                    <a:ln w="9525">
                      <a:noFill/>
                      <a:headEnd/>
                      <a:tailEnd/>
                    </a:ln>
                  </pic:spPr>
                </pic:pic>
              </a:graphicData>
            </a:graphic>
          </wp:inline>
        </w:drawing>
      </w:r>
    </w:p>
    <w:p>
      <w:pPr>
        <w:pStyle w:val="ImageCaption"/>
      </w:pPr>
      <w:r>
        <w:t xml:space="preserve">Figure 6.</w:t>
      </w:r>
      <w:r>
        <w:t xml:space="preserve"> </w:t>
      </w:r>
      <w:r>
        <w:rPr>
          <w:b/>
          <w:bCs/>
        </w:rPr>
        <w:t xml:space="preserve">Leave-one-zone-out parameter and prediction results.</w:t>
      </w:r>
      <w:r>
        <w:t xml:space="preserve"> </w:t>
      </w:r>
      <w:r>
        <w:t xml:space="preserve">Left, median coefficient over 30 realisations against prior support, midpoint and truth; the bar is the median within-realisation posterior standard deviation at a Gaussian 90% width. Right, held-out RMSE against the 0.1 mg L</w:t>
      </w:r>
      <w:r>
        <w:rPr>
          <w:vertAlign w:val="superscript"/>
        </w:rPr>
        <w:t xml:space="preserve">-1</w:t>
      </w:r>
      <w:r>
        <w:t xml:space="preserve"> </w:t>
      </w:r>
      <w:r>
        <w:t xml:space="preserve">noise scale, bars showing the interquartile range.</w:t>
      </w:r>
    </w:p>
    <w:tbl>
      <w:tblPr>
        <w:tblStyle w:val="Table"/>
        <w:tblW w:type="pct" w:w="5000"/>
        <w:tblLayout w:type="fixed"/>
        <w:tblLook w:firstRow="1" w:lastRow="0" w:firstColumn="0" w:lastColumn="0" w:noHBand="0" w:noVBand="0" w:val="0020"/>
      </w:tblPr>
      <w:tblGrid>
        <w:gridCol w:w="1080"/>
        <w:gridCol w:w="1080"/>
        <w:gridCol w:w="1440"/>
        <w:gridCol w:w="1440"/>
        <w:gridCol w:w="1440"/>
        <w:gridCol w:w="1440"/>
      </w:tblGrid>
      <w:tr>
        <w:trPr>
          <w:tblHeader w:val="on"/>
        </w:trPr>
        <w:tc>
          <w:tcPr/>
          <w:p>
            <w:pPr>
              <w:pStyle w:val="Compact"/>
            </w:pPr>
            <w:r>
              <w:t xml:space="preserve">Design</w:t>
            </w:r>
          </w:p>
        </w:tc>
        <w:tc>
          <w:tcPr/>
          <w:p>
            <w:pPr>
              <w:pStyle w:val="Compact"/>
            </w:pPr>
            <w:r>
              <w:t xml:space="preserve">Withheld</w:t>
            </w:r>
          </w:p>
        </w:tc>
        <w:tc>
          <w:tcPr/>
          <w:p>
            <w:pPr>
              <w:pStyle w:val="Compact"/>
              <w:jc w:val="right"/>
            </w:pPr>
            <w:r>
              <w:t xml:space="preserve">Own-coefficient error</w:t>
            </w:r>
          </w:p>
        </w:tc>
        <w:tc>
          <w:tcPr/>
          <w:p>
            <w:pPr>
              <w:pStyle w:val="Compact"/>
              <w:jc w:val="right"/>
            </w:pPr>
            <w:r>
              <w:t xml:space="preserve">Own SD retained</w:t>
            </w:r>
          </w:p>
        </w:tc>
        <w:tc>
          <w:tcPr/>
          <w:p>
            <w:pPr>
              <w:pStyle w:val="Compact"/>
              <w:jc w:val="right"/>
            </w:pPr>
            <w:r>
              <w:t xml:space="preserve">Held-out RMSE</w:t>
            </w:r>
          </w:p>
        </w:tc>
        <w:tc>
          <w:tcPr/>
          <w:p>
            <w:pPr>
              <w:pStyle w:val="Compact"/>
              <w:jc w:val="right"/>
            </w:pPr>
            <w:r>
              <w:t xml:space="preserve">Coverage</w:t>
            </w:r>
          </w:p>
        </w:tc>
      </w:tr>
      <w:tr>
        <w:tc>
          <w:tcPr/>
          <w:p>
            <w:pPr>
              <w:pStyle w:val="Compact"/>
            </w:pPr>
            <w:r>
              <w:t xml:space="preserve">leave-one-monitor-out</w:t>
            </w:r>
          </w:p>
        </w:tc>
        <w:tc>
          <w:tcPr/>
          <w:p>
            <w:pPr>
              <w:pStyle w:val="Compact"/>
            </w:pPr>
            <w:r>
              <w:t xml:space="preserve">node 107 (new)</w:t>
            </w:r>
          </w:p>
        </w:tc>
        <w:tc>
          <w:tcPr/>
          <w:p>
            <w:pPr>
              <w:pStyle w:val="Compact"/>
              <w:jc w:val="right"/>
            </w:pPr>
            <w:r>
              <w:t xml:space="preserve">-</w:t>
            </w:r>
          </w:p>
        </w:tc>
        <w:tc>
          <w:tcPr/>
          <w:p>
            <w:pPr>
              <w:pStyle w:val="Compact"/>
              <w:jc w:val="right"/>
            </w:pPr>
            <w:r>
              <w:t xml:space="preserve">-</w:t>
            </w:r>
          </w:p>
        </w:tc>
        <w:tc>
          <w:tcPr/>
          <w:p>
            <w:pPr>
              <w:pStyle w:val="Compact"/>
              <w:jc w:val="right"/>
            </w:pPr>
            <w:r>
              <w:t xml:space="preserve">0.0978</w:t>
            </w:r>
          </w:p>
        </w:tc>
        <w:tc>
          <w:tcPr/>
          <w:p>
            <w:pPr>
              <w:pStyle w:val="Compact"/>
              <w:jc w:val="right"/>
            </w:pPr>
            <w:r>
              <w:t xml:space="preserve">0.92</w:t>
            </w:r>
          </w:p>
        </w:tc>
      </w:tr>
      <w:tr>
        <w:tc>
          <w:tcPr/>
          <w:p>
            <w:pPr>
              <w:pStyle w:val="Compact"/>
            </w:pPr>
            <w:r>
              <w:t xml:space="preserve">leave-one-monitor-out</w:t>
            </w:r>
          </w:p>
        </w:tc>
        <w:tc>
          <w:tcPr/>
          <w:p>
            <w:pPr>
              <w:pStyle w:val="Compact"/>
            </w:pPr>
            <w:r>
              <w:t xml:space="preserve">node 113 (new)</w:t>
            </w:r>
          </w:p>
        </w:tc>
        <w:tc>
          <w:tcPr/>
          <w:p>
            <w:pPr>
              <w:pStyle w:val="Compact"/>
              <w:jc w:val="right"/>
            </w:pPr>
            <w:r>
              <w:t xml:space="preserve">-</w:t>
            </w:r>
          </w:p>
        </w:tc>
        <w:tc>
          <w:tcPr/>
          <w:p>
            <w:pPr>
              <w:pStyle w:val="Compact"/>
              <w:jc w:val="right"/>
            </w:pPr>
            <w:r>
              <w:t xml:space="preserve">-</w:t>
            </w:r>
          </w:p>
        </w:tc>
        <w:tc>
          <w:tcPr/>
          <w:p>
            <w:pPr>
              <w:pStyle w:val="Compact"/>
              <w:jc w:val="right"/>
            </w:pPr>
            <w:r>
              <w:t xml:space="preserve">0.1026</w:t>
            </w:r>
          </w:p>
        </w:tc>
        <w:tc>
          <w:tcPr/>
          <w:p>
            <w:pPr>
              <w:pStyle w:val="Compact"/>
              <w:jc w:val="right"/>
            </w:pPr>
            <w:r>
              <w:t xml:space="preserve">0.90</w:t>
            </w:r>
          </w:p>
        </w:tc>
      </w:tr>
      <w:tr>
        <w:tc>
          <w:tcPr/>
          <w:p>
            <w:pPr>
              <w:pStyle w:val="Compact"/>
            </w:pPr>
            <w:r>
              <w:t xml:space="preserve">leave-one-monitor-out</w:t>
            </w:r>
          </w:p>
        </w:tc>
        <w:tc>
          <w:tcPr/>
          <w:p>
            <w:pPr>
              <w:pStyle w:val="Compact"/>
            </w:pPr>
            <w:r>
              <w:t xml:space="preserve">node 15 (old)</w:t>
            </w:r>
          </w:p>
        </w:tc>
        <w:tc>
          <w:tcPr/>
          <w:p>
            <w:pPr>
              <w:pStyle w:val="Compact"/>
              <w:jc w:val="right"/>
            </w:pPr>
            <w:r>
              <w:t xml:space="preserve">-</w:t>
            </w:r>
          </w:p>
        </w:tc>
        <w:tc>
          <w:tcPr/>
          <w:p>
            <w:pPr>
              <w:pStyle w:val="Compact"/>
              <w:jc w:val="right"/>
            </w:pPr>
            <w:r>
              <w:t xml:space="preserve">-</w:t>
            </w:r>
          </w:p>
        </w:tc>
        <w:tc>
          <w:tcPr/>
          <w:p>
            <w:pPr>
              <w:pStyle w:val="Compact"/>
              <w:jc w:val="right"/>
            </w:pPr>
            <w:r>
              <w:t xml:space="preserve">0.0938</w:t>
            </w:r>
          </w:p>
        </w:tc>
        <w:tc>
          <w:tcPr/>
          <w:p>
            <w:pPr>
              <w:pStyle w:val="Compact"/>
              <w:jc w:val="right"/>
            </w:pPr>
            <w:r>
              <w:t xml:space="preserve">0.94</w:t>
            </w:r>
          </w:p>
        </w:tc>
      </w:tr>
      <w:tr>
        <w:tc>
          <w:tcPr/>
          <w:p>
            <w:pPr>
              <w:pStyle w:val="Compact"/>
            </w:pPr>
            <w:r>
              <w:t xml:space="preserve">leave-one-monitor-out</w:t>
            </w:r>
          </w:p>
        </w:tc>
        <w:tc>
          <w:tcPr/>
          <w:p>
            <w:pPr>
              <w:pStyle w:val="Compact"/>
            </w:pPr>
            <w:r>
              <w:t xml:space="preserve">node 145 (old)</w:t>
            </w:r>
          </w:p>
        </w:tc>
        <w:tc>
          <w:tcPr/>
          <w:p>
            <w:pPr>
              <w:pStyle w:val="Compact"/>
              <w:jc w:val="right"/>
            </w:pPr>
            <w:r>
              <w:t xml:space="preserve">-</w:t>
            </w:r>
          </w:p>
        </w:tc>
        <w:tc>
          <w:tcPr/>
          <w:p>
            <w:pPr>
              <w:pStyle w:val="Compact"/>
              <w:jc w:val="right"/>
            </w:pPr>
            <w:r>
              <w:t xml:space="preserve">-</w:t>
            </w:r>
          </w:p>
        </w:tc>
        <w:tc>
          <w:tcPr/>
          <w:p>
            <w:pPr>
              <w:pStyle w:val="Compact"/>
              <w:jc w:val="right"/>
            </w:pPr>
            <w:r>
              <w:t xml:space="preserve">0.0922</w:t>
            </w:r>
          </w:p>
        </w:tc>
        <w:tc>
          <w:tcPr/>
          <w:p>
            <w:pPr>
              <w:pStyle w:val="Compact"/>
              <w:jc w:val="right"/>
            </w:pPr>
            <w:r>
              <w:t xml:space="preserve">0.94</w:t>
            </w:r>
          </w:p>
        </w:tc>
      </w:tr>
      <w:tr>
        <w:tc>
          <w:tcPr/>
          <w:p>
            <w:pPr>
              <w:pStyle w:val="Compact"/>
            </w:pPr>
            <w:r>
              <w:t xml:space="preserve">leave-one-monitor-out</w:t>
            </w:r>
          </w:p>
        </w:tc>
        <w:tc>
          <w:tcPr/>
          <w:p>
            <w:pPr>
              <w:pStyle w:val="Compact"/>
            </w:pPr>
            <w:r>
              <w:t xml:space="preserve">node 209 (average)</w:t>
            </w:r>
          </w:p>
        </w:tc>
        <w:tc>
          <w:tcPr/>
          <w:p>
            <w:pPr>
              <w:pStyle w:val="Compact"/>
              <w:jc w:val="right"/>
            </w:pPr>
            <w:r>
              <w:t xml:space="preserve">-</w:t>
            </w:r>
          </w:p>
        </w:tc>
        <w:tc>
          <w:tcPr/>
          <w:p>
            <w:pPr>
              <w:pStyle w:val="Compact"/>
              <w:jc w:val="right"/>
            </w:pPr>
            <w:r>
              <w:t xml:space="preserve">-</w:t>
            </w:r>
          </w:p>
        </w:tc>
        <w:tc>
          <w:tcPr/>
          <w:p>
            <w:pPr>
              <w:pStyle w:val="Compact"/>
              <w:jc w:val="right"/>
            </w:pPr>
            <w:r>
              <w:t xml:space="preserve">0.0987</w:t>
            </w:r>
          </w:p>
        </w:tc>
        <w:tc>
          <w:tcPr/>
          <w:p>
            <w:pPr>
              <w:pStyle w:val="Compact"/>
              <w:jc w:val="right"/>
            </w:pPr>
            <w:r>
              <w:t xml:space="preserve">0.91</w:t>
            </w:r>
          </w:p>
        </w:tc>
      </w:tr>
      <w:tr>
        <w:tc>
          <w:tcPr/>
          <w:p>
            <w:pPr>
              <w:pStyle w:val="Compact"/>
            </w:pPr>
            <w:r>
              <w:t xml:space="preserve">leave-one-monitor-out</w:t>
            </w:r>
          </w:p>
        </w:tc>
        <w:tc>
          <w:tcPr/>
          <w:p>
            <w:pPr>
              <w:pStyle w:val="Compact"/>
            </w:pPr>
            <w:r>
              <w:t xml:space="preserve">node 231 (average)</w:t>
            </w:r>
          </w:p>
        </w:tc>
        <w:tc>
          <w:tcPr/>
          <w:p>
            <w:pPr>
              <w:pStyle w:val="Compact"/>
              <w:jc w:val="right"/>
            </w:pPr>
            <w:r>
              <w:t xml:space="preserve">-</w:t>
            </w:r>
          </w:p>
        </w:tc>
        <w:tc>
          <w:tcPr/>
          <w:p>
            <w:pPr>
              <w:pStyle w:val="Compact"/>
              <w:jc w:val="right"/>
            </w:pPr>
            <w:r>
              <w:t xml:space="preserve">-</w:t>
            </w:r>
          </w:p>
        </w:tc>
        <w:tc>
          <w:tcPr/>
          <w:p>
            <w:pPr>
              <w:pStyle w:val="Compact"/>
              <w:jc w:val="right"/>
            </w:pPr>
            <w:r>
              <w:t xml:space="preserve">0.0990</w:t>
            </w:r>
          </w:p>
        </w:tc>
        <w:tc>
          <w:tcPr/>
          <w:p>
            <w:pPr>
              <w:pStyle w:val="Compact"/>
              <w:jc w:val="right"/>
            </w:pPr>
            <w:r>
              <w:t xml:space="preserve">0.92</w:t>
            </w:r>
          </w:p>
        </w:tc>
      </w:tr>
      <w:tr>
        <w:tc>
          <w:tcPr/>
          <w:p>
            <w:pPr>
              <w:pStyle w:val="Compact"/>
            </w:pPr>
            <w:r>
              <w:t xml:space="preserve">leave-one-zone-out</w:t>
            </w:r>
          </w:p>
        </w:tc>
        <w:tc>
          <w:tcPr/>
          <w:p>
            <w:pPr>
              <w:pStyle w:val="Compact"/>
            </w:pPr>
            <w:r>
              <w:t xml:space="preserve">old zone (15, 145)</w:t>
            </w:r>
          </w:p>
        </w:tc>
        <w:tc>
          <w:tcPr/>
          <w:p>
            <w:pPr>
              <w:pStyle w:val="Compact"/>
              <w:jc w:val="right"/>
            </w:pPr>
            <w:r>
              <w:t xml:space="preserve">+0.1492</w:t>
            </w:r>
          </w:p>
        </w:tc>
        <w:tc>
          <w:tcPr/>
          <w:p>
            <w:pPr>
              <w:pStyle w:val="Compact"/>
              <w:jc w:val="right"/>
            </w:pPr>
            <w:r>
              <w:t xml:space="preserve">100%</w:t>
            </w:r>
          </w:p>
        </w:tc>
        <w:tc>
          <w:tcPr/>
          <w:p>
            <w:pPr>
              <w:pStyle w:val="Compact"/>
              <w:jc w:val="right"/>
            </w:pPr>
            <w:r>
              <w:t xml:space="preserve">0.0999</w:t>
            </w:r>
          </w:p>
        </w:tc>
        <w:tc>
          <w:tcPr/>
          <w:p>
            <w:pPr>
              <w:pStyle w:val="Compact"/>
              <w:jc w:val="right"/>
            </w:pPr>
            <w:r>
              <w:t xml:space="preserve">0.96</w:t>
            </w:r>
          </w:p>
        </w:tc>
      </w:tr>
      <w:tr>
        <w:tc>
          <w:tcPr/>
          <w:p>
            <w:pPr>
              <w:pStyle w:val="Compact"/>
            </w:pPr>
            <w:r>
              <w:t xml:space="preserve">leave-one-zone-out</w:t>
            </w:r>
          </w:p>
        </w:tc>
        <w:tc>
          <w:tcPr/>
          <w:p>
            <w:pPr>
              <w:pStyle w:val="Compact"/>
            </w:pPr>
            <w:r>
              <w:t xml:space="preserve">average zone (209, 231)</w:t>
            </w:r>
          </w:p>
        </w:tc>
        <w:tc>
          <w:tcPr/>
          <w:p>
            <w:pPr>
              <w:pStyle w:val="Compact"/>
              <w:jc w:val="right"/>
            </w:pPr>
            <w:r>
              <w:t xml:space="preserve">-0.0200</w:t>
            </w:r>
          </w:p>
        </w:tc>
        <w:tc>
          <w:tcPr/>
          <w:p>
            <w:pPr>
              <w:pStyle w:val="Compact"/>
              <w:jc w:val="right"/>
            </w:pPr>
            <w:r>
              <w:t xml:space="preserve">100%</w:t>
            </w:r>
          </w:p>
        </w:tc>
        <w:tc>
          <w:tcPr/>
          <w:p>
            <w:pPr>
              <w:pStyle w:val="Compact"/>
              <w:jc w:val="right"/>
            </w:pPr>
            <w:r>
              <w:t xml:space="preserve">0.0988</w:t>
            </w:r>
          </w:p>
        </w:tc>
        <w:tc>
          <w:tcPr/>
          <w:p>
            <w:pPr>
              <w:pStyle w:val="Compact"/>
              <w:jc w:val="right"/>
            </w:pPr>
            <w:r>
              <w:t xml:space="preserve">0.92</w:t>
            </w:r>
          </w:p>
        </w:tc>
      </w:tr>
      <w:tr>
        <w:tc>
          <w:tcPr/>
          <w:p>
            <w:pPr>
              <w:pStyle w:val="Compact"/>
            </w:pPr>
            <w:r>
              <w:t xml:space="preserve">leave-one-zone-out</w:t>
            </w:r>
          </w:p>
        </w:tc>
        <w:tc>
          <w:tcPr/>
          <w:p>
            <w:pPr>
              <w:pStyle w:val="Compact"/>
            </w:pPr>
            <w:r>
              <w:t xml:space="preserve">new zone (107, 113)</w:t>
            </w:r>
          </w:p>
        </w:tc>
        <w:tc>
          <w:tcPr/>
          <w:p>
            <w:pPr>
              <w:pStyle w:val="Compact"/>
              <w:jc w:val="right"/>
            </w:pPr>
            <w:r>
              <w:t xml:space="preserve">+0.0007</w:t>
            </w:r>
          </w:p>
        </w:tc>
        <w:tc>
          <w:tcPr/>
          <w:p>
            <w:pPr>
              <w:pStyle w:val="Compact"/>
              <w:jc w:val="right"/>
            </w:pPr>
            <w:r>
              <w:t xml:space="preserve">57%</w:t>
            </w:r>
          </w:p>
        </w:tc>
        <w:tc>
          <w:tcPr/>
          <w:p>
            <w:pPr>
              <w:pStyle w:val="Compact"/>
              <w:jc w:val="right"/>
            </w:pPr>
            <w:r>
              <w:t xml:space="preserve">0.1006</w:t>
            </w:r>
          </w:p>
        </w:tc>
        <w:tc>
          <w:tcPr/>
          <w:p>
            <w:pPr>
              <w:pStyle w:val="Compact"/>
              <w:jc w:val="right"/>
            </w:pPr>
            <w:r>
              <w:t xml:space="preserve">0.90</w:t>
            </w:r>
          </w:p>
        </w:tc>
      </w:tr>
    </w:tbl>
    <w:p>
      <w:pPr>
        <w:pStyle w:val="BodyText"/>
      </w:pPr>
      <w:r>
        <w:t xml:space="preserve">Table 5.</w:t>
      </w:r>
      <w:r>
        <w:t xml:space="preserve"> </w:t>
      </w:r>
      <w:r>
        <w:rPr>
          <w:b/>
          <w:bCs/>
        </w:rPr>
        <w:t xml:space="preserve">Held-out validation under the primary likelihood.</w:t>
      </w:r>
      <w:r>
        <w:t xml:space="preserve"> </w:t>
      </w:r>
      <w:r>
        <w:t xml:space="preserve">Own-coefficient error is measured against the true zone value.</w:t>
      </w:r>
    </w:p>
    <w:bookmarkEnd w:id="87"/>
    <w:bookmarkEnd w:id="88"/>
    <w:bookmarkStart w:id="95" w:name="X18a78fb24137a841c027c2d5aa826b00ca777e2"/>
    <w:p>
      <w:pPr>
        <w:pStyle w:val="Heading2"/>
      </w:pPr>
      <w:r>
        <w:t xml:space="preserve">3.6 Propagation to operational low-chlorine risk</w:t>
      </w:r>
    </w:p>
    <w:bookmarkStart w:id="89" w:name="Xc055e23747760d795e741d8a0b84e2d3ce1b6f3"/>
    <w:p>
      <w:pPr>
        <w:pStyle w:val="Heading3"/>
      </w:pPr>
      <w:r>
        <w:t xml:space="preserve">3.6.1 Duration, depth and hydraulic interpretation</w:t>
      </w:r>
    </w:p>
    <w:p>
      <w:pPr>
        <w:pStyle w:val="FirstParagraph"/>
      </w:pPr>
      <w:r>
        <w:t xml:space="preserve">The ensemble was propagated to all 92 junctions and summarised with several metrics rather than</w:t>
      </w:r>
      <w:r>
        <w:t xml:space="preserve"> </w:t>
      </w:r>
      <w:r>
        <w:t xml:space="preserve">one. The values in this section carry the baseline weights and are conditional on its single</w:t>
      </w:r>
      <w:r>
        <w:t xml:space="preserve"> </w:t>
      </w:r>
      <w:r>
        <w:t xml:space="preserve">reference observation realisation. Node 145 spends 12.0 h below 0.2 mg L</w:t>
      </w:r>
      <w:r>
        <w:rPr>
          <w:vertAlign w:val="superscript"/>
        </w:rPr>
        <w:t xml:space="preserve">-1</w:t>
      </w:r>
      <w:r>
        <w:t xml:space="preserve">, accumulates a deficit of 1.68 mg L</w:t>
      </w:r>
      <w:r>
        <w:rPr>
          <w:vertAlign w:val="superscript"/>
        </w:rPr>
        <w:t xml:space="preserve">-1</w:t>
      </w:r>
      <w:r>
        <w:t xml:space="preserve"> </w:t>
      </w:r>
      <w:r>
        <w:t xml:space="preserve">h and has a</w:t>
      </w:r>
      <w:r>
        <w:t xml:space="preserve"> </w:t>
      </w:r>
      <w:r>
        <w:t xml:space="preserve">median window minimum of 0.031 mg L</w:t>
      </w:r>
      <w:r>
        <w:rPr>
          <w:vertAlign w:val="superscript"/>
        </w:rPr>
        <w:t xml:space="preserve">-1</w:t>
      </w:r>
      <w:r>
        <w:t xml:space="preserve">. Node 129 spends twice as long below the threshold yet</w:t>
      </w:r>
      <w:r>
        <w:t xml:space="preserve"> </w:t>
      </w:r>
      <w:r>
        <w:t xml:space="preserve">accumulates only 0.84 mg L</w:t>
      </w:r>
      <w:r>
        <w:rPr>
          <w:vertAlign w:val="superscript"/>
        </w:rPr>
        <w:t xml:space="preserve">-1</w:t>
      </w:r>
      <w:r>
        <w:t xml:space="preserve"> </w:t>
      </w:r>
      <w:r>
        <w:t xml:space="preserve">h, with a median minimum of 0.147. Duration measures persistence and deficit combines it with depth, so the two rank the network</w:t>
      </w:r>
      <w:r>
        <w:t xml:space="preserve"> </w:t>
      </w:r>
      <w:r>
        <w:t xml:space="preserve">differently; a window-breach probability distinguishes</w:t>
      </w:r>
      <w:r>
        <w:t xml:space="preserve"> </w:t>
      </w:r>
      <w:r>
        <w:t xml:space="preserve">neither, collapsing both to whether the threshold is crossed at all.</w:t>
      </w:r>
    </w:p>
    <w:p>
      <w:pPr>
        <w:pStyle w:val="BodyText"/>
      </w:pPr>
      <w:r>
        <w:t xml:space="preserve">The population matters as much as the metric. Averaged over all 92 junctions the expected</w:t>
      </w:r>
      <w:r>
        <w:t xml:space="preserve"> </w:t>
      </w:r>
      <w:r>
        <w:t xml:space="preserve">duration is 3.43 h; over the 59 that serve demand, 4.46 h; weighted by average expected demand,</w:t>
      </w:r>
      <w:r>
        <w:t xml:space="preserve"> </w:t>
      </w:r>
      <w:r>
        <w:t xml:space="preserve">1.23 h. The demand-weighted figure is lowest because low-chlorine conditions concentrate at</w:t>
      </w:r>
      <w:r>
        <w:t xml:space="preserve"> </w:t>
      </w:r>
      <w:r>
        <w:t xml:space="preserve">small-demand junctions at network extremities, so reporting it alone would downweight exactly</w:t>
      </w:r>
      <w:r>
        <w:t xml:space="preserve"> </w:t>
      </w:r>
      <w:r>
        <w:t xml:space="preserve">those locations.</w:t>
      </w:r>
    </w:p>
    <w:p>
      <w:pPr>
        <w:pStyle w:val="BodyText"/>
      </w:pPr>
      <w:r>
        <w:t xml:space="preserve">Mean water age is associated with both metrics, with Spearman correlations of 0.73 against</w:t>
      </w:r>
      <w:r>
        <w:t xml:space="preserve"> </w:t>
      </w:r>
      <w:r>
        <w:t xml:space="preserve">duration and 0.72 against deficit; for the duration association a ten-block spatial bootstrap</w:t>
      </w:r>
      <w:r>
        <w:t xml:space="preserve"> </w:t>
      </w:r>
      <w:r>
        <w:t xml:space="preserve">gives a descriptive 95% width of [0.455, 0.897]. No p-value is quoted, because the junctions</w:t>
      </w:r>
      <w:r>
        <w:t xml:space="preserve"> </w:t>
      </w:r>
      <w:r>
        <w:t xml:space="preserve">share pipes, tanks and demand patterns and are not independent samples. Water age is a hydraulic</w:t>
      </w:r>
      <w:r>
        <w:t xml:space="preserve"> </w:t>
      </w:r>
      <w:r>
        <w:t xml:space="preserve">diagnostic from the same model rather than an independent measurement, and its absolute values</w:t>
      </w:r>
      <w:r>
        <w:t xml:space="preserve"> </w:t>
      </w:r>
      <w:r>
        <w:t xml:space="preserve">remain horizon-dependent (Section 3.1.2), so the association is descriptive only.</w:t>
      </w:r>
    </w:p>
    <w:bookmarkEnd w:id="89"/>
    <w:bookmarkStart w:id="90" w:name="X3a08c32d7c1101b1d19e1780508082b9c9c373b"/>
    <w:p>
      <w:pPr>
        <w:pStyle w:val="Heading3"/>
      </w:pPr>
      <w:r>
        <w:t xml:space="preserve">3.6.2 Network-scale stability does not guarantee shortlist stability</w:t>
      </w:r>
    </w:p>
    <w:p>
      <w:pPr>
        <w:pStyle w:val="FirstParagraph"/>
      </w:pPr>
      <w:r>
        <w:t xml:space="preserve">The parameter displacements of Section 3.3 are large, but they do not propagate proportionately</w:t>
      </w:r>
      <w:r>
        <w:t xml:space="preserve"> </w:t>
      </w:r>
      <w:r>
        <w:t xml:space="preserve">(Table 4). Under a 20% error in bulk decay the whole-network rank correlation stays between 0.93</w:t>
      </w:r>
      <w:r>
        <w:t xml:space="preserve"> </w:t>
      </w:r>
      <w:r>
        <w:t xml:space="preserve">and 0.98 on both risk metrics, and under any of the 24 sensor-bias arms it never falls below</w:t>
      </w:r>
      <w:r>
        <w:t xml:space="preserve"> </w:t>
      </w:r>
      <w:r>
        <w:t xml:space="preserve">0.9993. On that evidence the whole-network ranking appears stable.</w:t>
      </w:r>
    </w:p>
    <w:p>
      <w:pPr>
        <w:pStyle w:val="BodyText"/>
      </w:pPr>
      <w:r>
        <w:t xml:space="preserve">The six-node shortlist an operator would act on behaves differently, and differently again by</w:t>
      </w:r>
      <w:r>
        <w:t xml:space="preserve"> </w:t>
      </w:r>
      <w:r>
        <w:t xml:space="preserve">metric. Ranked by time-averaged below-threshold probability, a 20% bulk-decay error retains only</w:t>
      </w:r>
      <w:r>
        <w:t xml:space="preserve"> </w:t>
      </w:r>
      <w:r>
        <w:t xml:space="preserve">four of the six leading nodes in either direction. Ranked by cumulative deficit, the same</w:t>
      </w:r>
      <w:r>
        <w:t xml:space="preserve"> </w:t>
      </w:r>
      <w:r>
        <w:t xml:space="preserve">perturbation leaves the shortlist unchanged when bulk decay is underestimated and exchanges one</w:t>
      </w:r>
      <w:r>
        <w:t xml:space="preserve"> </w:t>
      </w:r>
      <w:r>
        <w:t xml:space="preserve">boundary node when it is overestimated. Sensor bias is similar: nine of the 24 arms alter the</w:t>
      </w:r>
      <w:r>
        <w:t xml:space="preserve"> </w:t>
      </w:r>
      <w:r>
        <w:t xml:space="preserve">duration-based shortlist, all positive offsets, whereas the deficit-based one is unchanged in 23</w:t>
      </w:r>
      <w:r>
        <w:t xml:space="preserve"> </w:t>
      </w:r>
      <w:r>
        <w:t xml:space="preserve">of 24. Changing the weighting rule rather than the physics has comparable effect, the two</w:t>
      </w:r>
      <w:r>
        <w:t xml:space="preserve"> </w:t>
      </w:r>
      <w:r>
        <w:t xml:space="preserve">ensembles sharing nine of ten leading nodes.</w:t>
      </w:r>
    </w:p>
    <w:p>
      <w:pPr>
        <w:pStyle w:val="BodyText"/>
      </w:pPr>
      <w:r>
        <w:t xml:space="preserve">Two claims must therefore be kept apart: a high whole-network rank correlation does not license</w:t>
      </w:r>
      <w:r>
        <w:t xml:space="preserve"> </w:t>
      </w:r>
      <w:r>
        <w:t xml:space="preserve">the statement that the hot-spot list is stable, and any claim that hot spots did or did not</w:t>
      </w:r>
      <w:r>
        <w:t xml:space="preserve"> </w:t>
      </w:r>
      <w:r>
        <w:t xml:space="preserve">change is meaningless without naming the metric behind it. Part of the duration ranking’s</w:t>
      </w:r>
      <w:r>
        <w:t xml:space="preserve"> </w:t>
      </w:r>
      <w:r>
        <w:t xml:space="preserve">volatility comes from near-ties at the shortlist boundary, where three nodes lie within 0.001 of</w:t>
      </w:r>
      <w:r>
        <w:t xml:space="preserve"> </w:t>
      </w:r>
      <w:r>
        <w:t xml:space="preserve">one another in expected breach fraction, but bulk-decay misspecification also produces deeper reordering. One node moves from third to eighth and another from fourth to twentieth when bulk</w:t>
      </w:r>
      <w:r>
        <w:t xml:space="preserve"> </w:t>
      </w:r>
      <w:r>
        <w:t xml:space="preserve">decay is underestimated, and a node ranked twelfth rises to second when it is overestimated. The</w:t>
      </w:r>
      <w:r>
        <w:t xml:space="preserve"> </w:t>
      </w:r>
      <w:r>
        <w:t xml:space="preserve">deficit ranking retains a more clearly separated leading core.</w:t>
      </w:r>
    </w:p>
    <w:bookmarkEnd w:id="90"/>
    <w:bookmarkStart w:id="94" w:name="X79e5c6cb393dc55fde9a2ae77dfa24eab8355c3"/>
    <w:p>
      <w:pPr>
        <w:pStyle w:val="Heading3"/>
      </w:pPr>
      <w:r>
        <w:t xml:space="preserve">3.6.3 Temperature, ageing and dosing stress tests</w:t>
      </w:r>
    </w:p>
    <w:p>
      <w:pPr>
        <w:pStyle w:val="FirstParagraph"/>
      </w:pPr>
      <w:r>
        <w:t xml:space="preserve">Propagating the same ensemble through warmer conditions illustrates the machinery under</w:t>
      </w:r>
      <w:r>
        <w:t xml:space="preserve"> </w:t>
      </w:r>
      <w:r>
        <w:t xml:space="preserve">illustrative stress-test assumptions. Adding the prescribed temperature uncertainty at the 12</w:t>
      </w:r>
      <w:r>
        <w:t xml:space="preserve"> </w:t>
      </w:r>
      <w:r>
        <w:t xml:space="preserve">degree Celsius baseline moves the network-mean cumulative deficit only from 0.218 to</w:t>
      </w:r>
      <w:r>
        <w:t xml:space="preserve"> </w:t>
      </w:r>
      <w:r>
        <w:t xml:space="preserve">0.222 mg L</w:t>
      </w:r>
      <w:r>
        <w:rPr>
          <w:vertAlign w:val="superscript"/>
        </w:rPr>
        <w:t xml:space="preserve">-1</w:t>
      </w:r>
      <w:r>
        <w:t xml:space="preserve"> </w:t>
      </w:r>
      <w:r>
        <w:t xml:space="preserve">h, leaving the breach count and demand at risk unchanged.</w:t>
      </w:r>
    </w:p>
    <w:p>
      <w:pPr>
        <w:pStyle w:val="BodyText"/>
      </w:pPr>
      <w:r>
        <w:t xml:space="preserve">Raising the water temperature to 16 and then 20 degrees Celsius with Arrhenius scaling increases</w:t>
      </w:r>
      <w:r>
        <w:t xml:space="preserve"> </w:t>
      </w:r>
      <w:r>
        <w:t xml:space="preserve">the number of junctions more likely than not to breach from 21 to 28 and 29. The demand they</w:t>
      </w:r>
      <w:r>
        <w:t xml:space="preserve"> </w:t>
      </w:r>
      <w:r>
        <w:t xml:space="preserve">serve rises from 55.4 to 64.7 and 67.8 L s</w:t>
      </w:r>
      <w:r>
        <w:rPr>
          <w:vertAlign w:val="superscript"/>
        </w:rPr>
        <w:t xml:space="preserve">-1</w:t>
      </w:r>
      <w:r>
        <w:t xml:space="preserve">, and the network-mean cumulative deficit from</w:t>
      </w:r>
      <w:r>
        <w:t xml:space="preserve"> </w:t>
      </w:r>
      <w:r>
        <w:t xml:space="preserve">0.222 to 0.365 and 0.522 mg L</w:t>
      </w:r>
      <w:r>
        <w:rPr>
          <w:vertAlign w:val="superscript"/>
        </w:rPr>
        <w:t xml:space="preserve">-1</w:t>
      </w:r>
      <w:r>
        <w:t xml:space="preserve"> </w:t>
      </w:r>
      <w:r>
        <w:t xml:space="preserve">h. Adding illustrative zone-specific ageing multipliers at 20 degrees, 1.35 for the average zone and 1.85 for the old zone with the new zone unchanged, raises these to 31 junctions, 69.4 L s</w:t>
      </w:r>
      <w:r>
        <w:rPr>
          <w:vertAlign w:val="superscript"/>
        </w:rPr>
        <w:t xml:space="preserve">-1</w:t>
      </w:r>
      <w:r>
        <w:t xml:space="preserve"> </w:t>
      </w:r>
      <w:r>
        <w:t xml:space="preserve">and 0.579 mg L</w:t>
      </w:r>
      <w:r>
        <w:rPr>
          <w:vertAlign w:val="superscript"/>
        </w:rPr>
        <w:t xml:space="preserve">-1</w:t>
      </w:r>
      <w:r>
        <w:t xml:space="preserve"> </w:t>
      </w:r>
      <w:r>
        <w:t xml:space="preserve">h. The continuous severity measures respond</w:t>
      </w:r>
      <w:r>
        <w:t xml:space="preserve"> </w:t>
      </w:r>
      <w:r>
        <w:t xml:space="preserve">more smoothly than the binary count, which is threshold-sensitive by construction.</w:t>
      </w:r>
    </w:p>
    <w:p>
      <w:pPr>
        <w:pStyle w:val="BodyText"/>
      </w:pPr>
      <w:r>
        <w:t xml:space="preserve">Raising the source dose by 15% and 30% under the heatwave reduces the network-mean expected</w:t>
      </w:r>
      <w:r>
        <w:t xml:space="preserve"> </w:t>
      </w:r>
      <w:r>
        <w:t xml:space="preserve">duration from 5.22 to 4.63 and 4.29 h and the deficit from 0.522 to 0.453 and 0.396 mg L</w:t>
      </w:r>
      <w:r>
        <w:rPr>
          <w:vertAlign w:val="superscript"/>
        </w:rPr>
        <w:t xml:space="preserve">-1</w:t>
      </w:r>
      <w:r>
        <w:t xml:space="preserve"> </w:t>
      </w:r>
      <w:r>
        <w:t xml:space="preserve">h.</w:t>
      </w:r>
      <w:r>
        <w:t xml:space="preserve"> </w:t>
      </w:r>
      <w:r>
        <w:t xml:space="preserve">The dose scales the reservoir boundary concentration and the tank initial concentration together,</w:t>
      </w:r>
      <w:r>
        <w:t xml:space="preserve"> </w:t>
      </w:r>
      <w:r>
        <w:t xml:space="preserve">so the whole source regime moves consistently. Demand at risk falls only to 64.7 L s</w:t>
      </w:r>
      <w:r>
        <w:rPr>
          <w:vertAlign w:val="superscript"/>
        </w:rPr>
        <w:t xml:space="preserve">-1</w:t>
      </w:r>
      <w:r>
        <w:t xml:space="preserve"> </w:t>
      </w:r>
      <w:r>
        <w:t xml:space="preserve">at both</w:t>
      </w:r>
      <w:r>
        <w:t xml:space="preserve"> </w:t>
      </w:r>
      <w:r>
        <w:t xml:space="preserve">doses, however, and never returns to the baseline 55.4. The identical figure at both doses is a plateau of the binary classification, not evidence</w:t>
      </w:r>
      <w:r>
        <w:t xml:space="preserve"> </w:t>
      </w:r>
      <w:r>
        <w:t xml:space="preserve">that the extra 15% achieved nothing. The ageing multipliers are illustrative, no by-product, taste or booster constraint is represented, and absolute severities inherit the horizon dependence of Section 3.1.2. Maps</w:t>
      </w:r>
      <w:r>
        <w:t xml:space="preserve"> </w:t>
      </w:r>
      <w:r>
        <w:t xml:space="preserve">and the full register are in Appendix H.</w:t>
      </w:r>
    </w:p>
    <w:p>
      <w:pPr>
        <w:pStyle w:val="CaptionedFigure"/>
      </w:pPr>
      <w:r>
        <w:drawing>
          <wp:inline>
            <wp:extent cx="5720156" cy="2126724"/>
            <wp:effectExtent b="0" l="0" r="0" t="0"/>
            <wp:docPr descr="Figure 7. Risk robustness is metric-specific. (A) Rank of the leading nodes under \bar{P} = E[D]/48 against cumulative deficit E[A]. (B) Top-six overlap with the reference ranking under three selected perturbations, each over 30 noise realisations, both metrics. (C) Expected duration against deficit for all 92 junctions." title="" id="92" name="Picture"/>
            <a:graphic>
              <a:graphicData uri="http://schemas.openxmlformats.org/drawingml/2006/picture">
                <pic:pic>
                  <pic:nvPicPr>
                    <pic:cNvPr descr="figures/paper/fig7_metric_specific_risk.png" id="93" name="Picture"/>
                    <pic:cNvPicPr>
                      <a:picLocks noChangeArrowheads="1" noChangeAspect="1"/>
                    </pic:cNvPicPr>
                  </pic:nvPicPr>
                  <pic:blipFill>
                    <a:blip r:embed="rId91"/>
                    <a:stretch>
                      <a:fillRect/>
                    </a:stretch>
                  </pic:blipFill>
                  <pic:spPr bwMode="auto">
                    <a:xfrm>
                      <a:off x="0" y="0"/>
                      <a:ext cx="5720156" cy="2126724"/>
                    </a:xfrm>
                    <a:prstGeom prst="rect">
                      <a:avLst/>
                    </a:prstGeom>
                    <a:noFill/>
                    <a:ln w="9525">
                      <a:noFill/>
                      <a:headEnd/>
                      <a:tailEnd/>
                    </a:ln>
                  </pic:spPr>
                </pic:pic>
              </a:graphicData>
            </a:graphic>
          </wp:inline>
        </w:drawing>
      </w:r>
    </w:p>
    <w:p>
      <w:pPr>
        <w:pStyle w:val="ImageCaption"/>
      </w:pPr>
      <w:r>
        <w:t xml:space="preserve">Figure 7.</w:t>
      </w:r>
      <w:r>
        <w:t xml:space="preserve"> </w:t>
      </w:r>
      <w:r>
        <w:rPr>
          <w:b/>
          <w:bCs/>
        </w:rPr>
        <w:t xml:space="preserve">Risk robustness is metric-specific.</w:t>
      </w:r>
      <w:r>
        <w:t xml:space="preserve"> </w:t>
      </w:r>
      <w:r>
        <w:t xml:space="preserve">(A) Rank of the leading nodes under</w:t>
      </w:r>
      <w:r>
        <w:t xml:space="preserve"> </w:t>
      </w:r>
      <m:oMath>
        <m:acc>
          <m:accPr>
            <m:chr m:val="‾"/>
          </m:accPr>
          <m:e>
            <m:r>
              <m:t>P</m:t>
            </m:r>
          </m:e>
        </m:acc>
        <m:r>
          <m:rPr>
            <m:sty m:val="p"/>
          </m:rPr>
          <m:t>=</m:t>
        </m:r>
        <m:r>
          <m:t>E</m:t>
        </m:r>
        <m:r>
          <m:rPr>
            <m:sty m:val="p"/>
          </m:rPr>
          <m:t>[</m:t>
        </m:r>
        <m:r>
          <m:t>D</m:t>
        </m:r>
        <m:r>
          <m:rPr>
            <m:sty m:val="p"/>
          </m:rPr>
          <m:t>]</m:t>
        </m:r>
        <m:r>
          <m:rPr>
            <m:sty m:val="p"/>
          </m:rPr>
          <m:t>/</m:t>
        </m:r>
        <m:r>
          <m:t>48</m:t>
        </m:r>
      </m:oMath>
      <w:r>
        <w:t xml:space="preserve"> </w:t>
      </w:r>
      <w:r>
        <w:t xml:space="preserve">against cumulative deficit</w:t>
      </w:r>
      <w:r>
        <w:t xml:space="preserve"> </w:t>
      </w:r>
      <m:oMath>
        <m:r>
          <m:t>E</m:t>
        </m:r>
        <m:r>
          <m:rPr>
            <m:sty m:val="p"/>
          </m:rPr>
          <m:t>[</m:t>
        </m:r>
        <m:r>
          <m:t>A</m:t>
        </m:r>
        <m:r>
          <m:rPr>
            <m:sty m:val="p"/>
          </m:rPr>
          <m:t>]</m:t>
        </m:r>
      </m:oMath>
      <w:r>
        <w:t xml:space="preserve">. (B) Top-six overlap with the reference ranking under three selected perturbations, each over 30 noise realisations, both metrics. (C) Expected duration against deficit for all 92 junctions.</w:t>
      </w:r>
    </w:p>
    <w:bookmarkEnd w:id="94"/>
    <w:bookmarkEnd w:id="95"/>
    <w:bookmarkStart w:id="100" w:name="X7aae9a29c0c924fb0cf7cb400610c1dd13a5f2e"/>
    <w:p>
      <w:pPr>
        <w:pStyle w:val="Heading2"/>
      </w:pPr>
      <w:r>
        <w:t xml:space="preserve">3.7 Integrated implications, limitations and future work</w:t>
      </w:r>
    </w:p>
    <w:p>
      <w:pPr>
        <w:pStyle w:val="FirstParagraph"/>
      </w:pPr>
      <w:r>
        <w:t xml:space="preserve">Four qualifications recur across the results and are stated once here rather than repeated at</w:t>
      </w:r>
      <w:r>
        <w:t xml:space="preserve"> </w:t>
      </w:r>
      <w:r>
        <w:t xml:space="preserve">each occurrence. Intervals from different diagnostics carry different nominal levels and are not</w:t>
      </w:r>
      <w:r>
        <w:t xml:space="preserve"> </w:t>
      </w:r>
      <w:r>
        <w:t xml:space="preserve">a nested comparison. Interval widening and displacement answer different questions and are not</w:t>
      </w:r>
      <w:r>
        <w:t xml:space="preserve"> </w:t>
      </w:r>
      <w:r>
        <w:t xml:space="preserve">on a common scale. The length-weighted value is a directional comparator, not an estimand, a</w:t>
      </w:r>
      <w:r>
        <w:t xml:space="preserve"> </w:t>
      </w:r>
      <w:r>
        <w:t xml:space="preserve">common endpoint or a bound. The temperature, ageing and dosing results are</w:t>
      </w:r>
      <w:r>
        <w:t xml:space="preserve"> </w:t>
      </w:r>
      <w:r>
        <w:t xml:space="preserve">calibration-conditioned stress tests under the stated assumptions, not forecasts, and the</w:t>
      </w:r>
      <w:r>
        <w:t xml:space="preserve"> </w:t>
      </w:r>
      <w:r>
        <w:t xml:space="preserve">water-age association is descriptive rather than a significance test.</w:t>
      </w:r>
    </w:p>
    <w:bookmarkStart w:id="96" w:name="Xc77ad706d56c4a70aa95b40c985d4b02f5b072a"/>
    <w:p>
      <w:pPr>
        <w:pStyle w:val="Heading3"/>
      </w:pPr>
      <w:r>
        <w:t xml:space="preserve">3.7.1 Parameter, prediction and decision robustness are distinct</w:t>
      </w:r>
    </w:p>
    <w:p>
      <w:pPr>
        <w:pStyle w:val="FirstParagraph"/>
      </w:pPr>
      <w:r>
        <w:t xml:space="preserve">Three findings sit at different levels and should not substitute for one another. At the level</w:t>
      </w:r>
      <w:r>
        <w:t xml:space="preserve"> </w:t>
      </w:r>
      <w:r>
        <w:t xml:space="preserve">of the parameters, six monitors do carry identifiable information about all three coefficients</w:t>
      </w:r>
      <w:r>
        <w:t xml:space="preserve"> </w:t>
      </w:r>
      <w:r>
        <w:t xml:space="preserve">under the controlled baseline; the contrary appearance in the original analysis arose from its</w:t>
      </w:r>
      <w:r>
        <w:t xml:space="preserve"> </w:t>
      </w:r>
      <w:r>
        <w:t xml:space="preserve">specific informal weighting rather than from an absence of information in the monitored series.</w:t>
      </w:r>
    </w:p>
    <w:p>
      <w:pPr>
        <w:pStyle w:val="BodyText"/>
      </w:pPr>
      <w:r>
        <w:t xml:space="preserve">At the level of robustness the error sources act in three ways, and a single verdict would</w:t>
      </w:r>
      <w:r>
        <w:t xml:space="preserve"> </w:t>
      </w:r>
      <w:r>
        <w:t xml:space="preserve">mislead. Larger random error and an assumed AR(1) correlation mainly reduce precision.</w:t>
      </w:r>
      <w:r>
        <w:t xml:space="preserve"> </w:t>
      </w:r>
      <w:r>
        <w:t xml:space="preserve">Systematic sensor error and structured heterogeneity instead introduce potentially large bias</w:t>
      </w:r>
      <w:r>
        <w:t xml:space="preserve"> </w:t>
      </w:r>
      <w:r>
        <w:t xml:space="preserve">while leaving two separate things intact: the posterior stays narrow, and the aggregate residual</w:t>
      </w:r>
      <w:r>
        <w:t xml:space="preserve"> </w:t>
      </w:r>
      <w:r>
        <w:t xml:space="preserve">stays near the noise level. Neither is evidence about the other, and neither reveals the bias. Bulk-decay uncertainty does both, disproportionately</w:t>
      </w:r>
      <w:r>
        <w:t xml:space="preserve"> </w:t>
      </w:r>
      <w:r>
        <w:t xml:space="preserve">for the average and new coefficients; once it and six monitor offsets are all unknown, the</w:t>
      </w:r>
      <w:r>
        <w:t xml:space="preserve"> </w:t>
      </w:r>
      <w:r>
        <w:t xml:space="preserve">Fisher analysis no longer supports practical identification of those two from this design.</w:t>
      </w:r>
    </w:p>
    <w:p>
      <w:pPr>
        <w:pStyle w:val="BodyText"/>
      </w:pPr>
      <w:r>
        <w:t xml:space="preserve">At the level of decisions, neither predictive accuracy nor the whole-network risk pattern tracks</w:t>
      </w:r>
      <w:r>
        <w:t xml:space="preserve"> </w:t>
      </w:r>
      <w:r>
        <w:t xml:space="preserve">parameter error reliably. Coefficients can become effectively prior-dominated while held-out prediction errors stay close</w:t>
      </w:r>
      <w:r>
        <w:t xml:space="preserve"> </w:t>
      </w:r>
      <w:r>
        <w:t xml:space="preserve">to the observation-noise scale. Under bulk-decay misspecification and sensor bias, displacements</w:t>
      </w:r>
      <w:r>
        <w:t xml:space="preserve"> </w:t>
      </w:r>
      <w:r>
        <w:t xml:space="preserve">of several posterior standard deviations often left the leading set ranked by cumulative deficit</w:t>
      </w:r>
      <w:r>
        <w:t xml:space="preserve"> </w:t>
      </w:r>
      <w:r>
        <w:t xml:space="preserve">unchanged, while the ranking by time-averaged breach probability was considerably more</w:t>
      </w:r>
      <w:r>
        <w:t xml:space="preserve"> </w:t>
      </w:r>
      <w:r>
        <w:t xml:space="preserve">sensitive.</w:t>
      </w:r>
    </w:p>
    <w:p>
      <w:pPr>
        <w:pStyle w:val="BodyText"/>
      </w:pPr>
      <w:r>
        <w:t xml:space="preserve">A study reporting only a fit statistic, a held-out prediction error or a rank correlation cannot</w:t>
      </w:r>
      <w:r>
        <w:t xml:space="preserve"> </w:t>
      </w:r>
      <w:r>
        <w:t xml:space="preserve">distinguish a calibration that has learned its parameters from one that has learned to predict</w:t>
      </w:r>
      <w:r>
        <w:t xml:space="preserve"> </w:t>
      </w:r>
      <w:r>
        <w:t xml:space="preserve">without them, or one whose broad ranking is stable while its shortlist is not.</w:t>
      </w:r>
    </w:p>
    <w:bookmarkEnd w:id="96"/>
    <w:bookmarkStart w:id="97" w:name="methodological-implications"/>
    <w:p>
      <w:pPr>
        <w:pStyle w:val="Heading3"/>
      </w:pPr>
      <w:r>
        <w:t xml:space="preserve">3.7.2 Methodological implications</w:t>
      </w:r>
    </w:p>
    <w:p>
      <w:pPr>
        <w:pStyle w:val="FirstParagraph"/>
      </w:pPr>
      <w:r>
        <w:t xml:space="preserve">Four safeguards were necessary in these experiments, each following from a result above rather</w:t>
      </w:r>
      <w:r>
        <w:t xml:space="preserve"> </w:t>
      </w:r>
      <w:r>
        <w:t xml:space="preserve">than from general good practice.</w:t>
      </w:r>
      <w:r>
        <w:t xml:space="preserve"> </w:t>
      </w:r>
      <w:r>
        <w:rPr>
          <w:i/>
          <w:iCs/>
        </w:rPr>
        <w:t xml:space="preserve">Paired controls</w:t>
      </w:r>
      <w:r>
        <w:t xml:space="preserve">: a structural increment is interpretable only against a</w:t>
      </w:r>
      <w:r>
        <w:t xml:space="preserve"> </w:t>
      </w:r>
      <w:r>
        <w:t xml:space="preserve">homogeneous run sharing the same noise, since part of any apparent shift is the inference rule’s</w:t>
      </w:r>
      <w:r>
        <w:t xml:space="preserve"> </w:t>
      </w:r>
      <w:r>
        <w:t xml:space="preserve">own offset.</w:t>
      </w:r>
      <w:r>
        <w:t xml:space="preserve"> </w:t>
      </w:r>
      <w:r>
        <w:rPr>
          <w:i/>
          <w:iCs/>
        </w:rPr>
        <w:t xml:space="preserve">Replication</w:t>
      </w:r>
      <w:r>
        <w:t xml:space="preserve">: the structural increment in one heterogeneity field reversed sign</w:t>
      </w:r>
      <w:r>
        <w:t xml:space="preserve"> </w:t>
      </w:r>
      <w:r>
        <w:t xml:space="preserve">relative to the 25-field mean, and an apparent overshoot past the length-weighted comparator in</w:t>
      </w:r>
      <w:r>
        <w:t xml:space="preserve"> </w:t>
      </w:r>
      <w:r>
        <w:t xml:space="preserve">one noise draw did not survive 30 realisations.</w:t>
      </w:r>
      <w:r>
        <w:t xml:space="preserve"> </w:t>
      </w:r>
      <w:r>
        <w:rPr>
          <w:i/>
          <w:iCs/>
        </w:rPr>
        <w:t xml:space="preserve">Triangulation</w:t>
      </w:r>
      <w:r>
        <w:t xml:space="preserve">: prior contraction, a displaced</w:t>
      </w:r>
      <w:r>
        <w:t xml:space="preserve"> </w:t>
      </w:r>
      <w:r>
        <w:t xml:space="preserve">prior, a curvature bound, a profile interval and a repeated-sampling experiment fail</w:t>
      </w:r>
      <w:r>
        <w:t xml:space="preserve"> </w:t>
      </w:r>
      <w:r>
        <w:t xml:space="preserve">differently, so their agreement is far stronger than any one alone.</w:t>
      </w:r>
      <w:r>
        <w:t xml:space="preserve"> </w:t>
      </w:r>
      <w:r>
        <w:rPr>
          <w:i/>
          <w:iCs/>
        </w:rPr>
        <w:t xml:space="preserve">Matching the metric to the</w:t>
      </w:r>
      <w:r>
        <w:rPr>
          <w:i/>
          <w:iCs/>
        </w:rPr>
        <w:t xml:space="preserve"> </w:t>
      </w:r>
      <w:r>
        <w:rPr>
          <w:i/>
          <w:iCs/>
        </w:rPr>
        <w:t xml:space="preserve">claim</w:t>
      </w:r>
      <w:r>
        <w:t xml:space="preserve">: predictive RMSE does not test identification, a rank correlation does not test shortlist</w:t>
      </w:r>
      <w:r>
        <w:t xml:space="preserve"> </w:t>
      </w:r>
      <w:r>
        <w:t xml:space="preserve">stability, and the low-chlorine metrics are not interchangeable.</w:t>
      </w:r>
    </w:p>
    <w:bookmarkEnd w:id="97"/>
    <w:bookmarkStart w:id="98" w:name="limitations"/>
    <w:p>
      <w:pPr>
        <w:pStyle w:val="Heading3"/>
      </w:pPr>
      <w:r>
        <w:t xml:space="preserve">3.7.3 Limitations</w:t>
      </w:r>
    </w:p>
    <w:p>
      <w:pPr>
        <w:pStyle w:val="FirstParagraph"/>
      </w:pPr>
      <w:r>
        <w:rPr>
          <w:i/>
          <w:iCs/>
        </w:rPr>
        <w:t xml:space="preserve">Synthetic and internally validated.</w:t>
      </w:r>
      <w:r>
        <w:t xml:space="preserve"> </w:t>
      </w:r>
      <w:r>
        <w:t xml:space="preserve">Truth and calibration share the same hydraulics, reaction</w:t>
      </w:r>
      <w:r>
        <w:t xml:space="preserve"> </w:t>
      </w:r>
      <w:r>
        <w:t xml:space="preserve">family and solver, and no field data are used. The priors were chosen to contain the synthetic</w:t>
      </w:r>
      <w:r>
        <w:t xml:space="preserve"> </w:t>
      </w:r>
      <w:r>
        <w:t xml:space="preserve">truths and lie reasonably close to them; this suits a controlled experiment but makes</w:t>
      </w:r>
      <w:r>
        <w:t xml:space="preserve"> </w:t>
      </w:r>
      <w:r>
        <w:t xml:space="preserve">prior-dominated predictions less damaging than under a poorly centred field prior, which bounds</w:t>
      </w:r>
      <w:r>
        <w:t xml:space="preserve"> </w:t>
      </w:r>
      <w:r>
        <w:t xml:space="preserve">the generality of the leave-one-zone-out result in particular.</w:t>
      </w:r>
    </w:p>
    <w:p>
      <w:pPr>
        <w:pStyle w:val="BodyText"/>
      </w:pPr>
      <w:r>
        <w:rPr>
          <w:i/>
          <w:iCs/>
        </w:rPr>
        <w:t xml:space="preserve">Idealised uncertainty representation.</w:t>
      </w:r>
      <w:r>
        <w:t xml:space="preserve"> </w:t>
      </w:r>
      <w:r>
        <w:t xml:space="preserve">The observation standard deviation is known, baseline</w:t>
      </w:r>
      <w:r>
        <w:t xml:space="preserve"> </w:t>
      </w:r>
      <w:r>
        <w:t xml:space="preserve">errors are independent, the autocorrelation coefficient is assumed rather than estimated, drift</w:t>
      </w:r>
      <w:r>
        <w:t xml:space="preserve"> </w:t>
      </w:r>
      <w:r>
        <w:t xml:space="preserve">is a linear ramp, sensor offsets are imposed one at a time, and bulk decay is varied as a fixed</w:t>
      </w:r>
      <w:r>
        <w:t xml:space="preserve"> </w:t>
      </w:r>
      <w:r>
        <w:t xml:space="preserve">sensitivity rather than inferred.</w:t>
      </w:r>
    </w:p>
    <w:p>
      <w:pPr>
        <w:pStyle w:val="BodyText"/>
      </w:pPr>
      <w:r>
        <w:rPr>
          <w:i/>
          <w:iCs/>
        </w:rPr>
        <w:t xml:space="preserve">Fixed structure and hydraulics.</w:t>
      </w:r>
      <w:r>
        <w:t xml:space="preserve"> </w:t>
      </w:r>
      <w:r>
        <w:t xml:space="preserve">The zones are synthetic, only one structured design was</w:t>
      </w:r>
      <w:r>
        <w:t xml:space="preserve"> </w:t>
      </w:r>
      <w:r>
        <w:t xml:space="preserve">tested, and the effective weighting the fit estimates was not identified. Hydraulic uncertainty was not propagated at all, because demands, roughness, controls and the flow field were treated as known. The identifiability reported here is therefore likely optimistic relative to a field</w:t>
      </w:r>
      <w:r>
        <w:t xml:space="preserve"> </w:t>
      </w:r>
      <w:r>
        <w:t xml:space="preserve">application where hydraulic and reaction parameters are uncertain together.</w:t>
      </w:r>
    </w:p>
    <w:p>
      <w:pPr>
        <w:pStyle w:val="BodyText"/>
      </w:pPr>
      <w:r>
        <w:rPr>
          <w:i/>
          <w:iCs/>
        </w:rPr>
        <w:t xml:space="preserve">Bounded numerical and operational scope.</w:t>
      </w:r>
      <w:r>
        <w:t xml:space="preserve"> </w:t>
      </w:r>
      <w:r>
        <w:t xml:space="preserve">The 120 h warm-up satisfies the chlorine-concentration criteria but not the water-age or</w:t>
      </w:r>
      <w:r>
        <w:t xml:space="preserve"> </w:t>
      </w:r>
      <w:r>
        <w:t xml:space="preserve">cumulative-deficit criteria within the 168 h horizon. Absolute water-age and severity magnitudes</w:t>
      </w:r>
      <w:r>
        <w:t xml:space="preserve"> </w:t>
      </w:r>
      <w:r>
        <w:t xml:space="preserve">therefore remain horizon-dependent, even though the concentration field underlying the inference</w:t>
      </w:r>
      <w:r>
        <w:t xml:space="preserve"> </w:t>
      </w:r>
      <w:r>
        <w:t xml:space="preserve">results is stable. The baseline weighted</w:t>
      </w:r>
      <w:r>
        <w:t xml:space="preserve"> </w:t>
      </w:r>
      <w:r>
        <w:t xml:space="preserve">ensemble has an effective sample size of about 157, and the sigma &lt;= 0.05 mg L</w:t>
      </w:r>
      <w:r>
        <w:rPr>
          <w:vertAlign w:val="superscript"/>
        </w:rPr>
        <w:t xml:space="preserve">-1</w:t>
      </w:r>
      <w:r>
        <w:t xml:space="preserve"> </w:t>
      </w:r>
      <w:r>
        <w:t xml:space="preserve">rows are</w:t>
      </w:r>
      <w:r>
        <w:t xml:space="preserve"> </w:t>
      </w:r>
      <w:r>
        <w:t xml:space="preserve">sampling-limited. Scenario inputs are illustrative, and 0.2 mg L</w:t>
      </w:r>
      <w:r>
        <w:rPr>
          <w:vertAlign w:val="superscript"/>
        </w:rPr>
        <w:t xml:space="preserve">-1</w:t>
      </w:r>
      <w:r>
        <w:t xml:space="preserve"> </w:t>
      </w:r>
      <w:r>
        <w:t xml:space="preserve">is a representative</w:t>
      </w:r>
      <w:r>
        <w:t xml:space="preserve"> </w:t>
      </w:r>
      <w:r>
        <w:t xml:space="preserve">operational threshold, not a compliance limit.</w:t>
      </w:r>
    </w:p>
    <w:bookmarkEnd w:id="98"/>
    <w:bookmarkStart w:id="99" w:name="future-work"/>
    <w:p>
      <w:pPr>
        <w:pStyle w:val="Heading3"/>
      </w:pPr>
      <w:r>
        <w:t xml:space="preserve">3.7.4 Future work</w:t>
      </w:r>
    </w:p>
    <w:p>
      <w:pPr>
        <w:pStyle w:val="FirstParagraph"/>
      </w:pPr>
      <w:r>
        <w:t xml:space="preserve">Each extension addresses a failure mode identified above. The inference model should absorb what</w:t>
      </w:r>
      <w:r>
        <w:t xml:space="preserve"> </w:t>
      </w:r>
      <w:r>
        <w:t xml:space="preserve">is currently fixed: bulk decay inferred jointly with the wall coefficients, monitor bias and</w:t>
      </w:r>
      <w:r>
        <w:t xml:space="preserve"> </w:t>
      </w:r>
      <w:r>
        <w:t xml:space="preserve">drift as hierarchical nuisance parameters, and an estimated rather than assumed error covariance, which is costly in precision but honest about it. A likelihood-adapted sampler would remove the</w:t>
      </w:r>
      <w:r>
        <w:t xml:space="preserve"> </w:t>
      </w:r>
      <w:r>
        <w:t xml:space="preserve">effective-sample-size collapse that made the low-noise cases uninformative. A</w:t>
      </w:r>
      <w:r>
        <w:t xml:space="preserve"> </w:t>
      </w:r>
      <w:r>
        <w:t xml:space="preserve">sensitivity-weighted effective coefficient would establish what a grouped fit estimates, and</w:t>
      </w:r>
      <w:r>
        <w:t xml:space="preserve"> </w:t>
      </w:r>
      <w:r>
        <w:t xml:space="preserve">siting monitors on the marginal Fisher information after nuisance adjustment, rather than on</w:t>
      </w:r>
      <w:r>
        <w:t xml:space="preserve"> </w:t>
      </w:r>
      <w:r>
        <w:t xml:space="preserve">spatial coverage, addresses the Case C result directly. External validity requires both</w:t>
      </w:r>
      <w:r>
        <w:t xml:space="preserve"> </w:t>
      </w:r>
      <w:r>
        <w:t xml:space="preserve">propagating hydraulic uncertainty and a real network with independent observations.</w:t>
      </w:r>
    </w:p>
    <w:bookmarkEnd w:id="99"/>
    <w:bookmarkEnd w:id="100"/>
    <w:bookmarkEnd w:id="101"/>
    <w:bookmarkStart w:id="102" w:name="conclusions"/>
    <w:p>
      <w:pPr>
        <w:pStyle w:val="Heading1"/>
      </w:pPr>
      <w:r>
        <w:t xml:space="preserve">4. Conclusions</w:t>
      </w:r>
    </w:p>
    <w:p>
      <w:pPr>
        <w:pStyle w:val="FirstParagraph"/>
      </w:pPr>
      <w:r>
        <w:t xml:space="preserve">Under the controlled baseline assumptions, six monitored chlorine series carry identifiable</w:t>
      </w:r>
      <w:r>
        <w:t xml:space="preserve"> </w:t>
      </w:r>
      <w:r>
        <w:t xml:space="preserve">information about all three grouped wall-decay coefficients. The formal censored likelihood</w:t>
      </w:r>
      <w:r>
        <w:t xml:space="preserve"> </w:t>
      </w:r>
      <w:r>
        <w:t xml:space="preserve">contracted each coefficient to roughly a quarter to a third of its prior standard deviation,</w:t>
      </w:r>
      <w:r>
        <w:t xml:space="preserve"> </w:t>
      </w:r>
      <w:r>
        <w:t xml:space="preserve">recovered a displaced prior, and agreed with a separately computed local Fisher bound, a</w:t>
      </w:r>
      <w:r>
        <w:t xml:space="preserve"> </w:t>
      </w:r>
      <w:r>
        <w:t xml:space="preserve">continuous profile likelihood and a repeated-noise experiment. The much wider distributions obtained previously on</w:t>
      </w:r>
      <w:r>
        <w:t xml:space="preserve"> </w:t>
      </w:r>
      <w:r>
        <w:t xml:space="preserve">the same system reflect the specific informal weighting used rather than an absence of</w:t>
      </w:r>
      <w:r>
        <w:t xml:space="preserve"> </w:t>
      </w:r>
      <w:r>
        <w:t xml:space="preserve">information in the observations, and tightening its behavioural threshold does not close the</w:t>
      </w:r>
      <w:r>
        <w:t xml:space="preserve"> </w:t>
      </w:r>
      <w:r>
        <w:t xml:space="preserve">gap, because a threshold cannot restore an omitted information factor.</w:t>
      </w:r>
    </w:p>
    <w:p>
      <w:pPr>
        <w:pStyle w:val="BodyText"/>
      </w:pPr>
      <w:r>
        <w:t xml:space="preserve">That baseline result is conditional, and the conditions matter unequally. Larger random</w:t>
      </w:r>
      <w:r>
        <w:t xml:space="preserve"> </w:t>
      </w:r>
      <w:r>
        <w:t xml:space="preserve">measurement error and an assumed temporal correlation mainly cost precision. Systematic sensor</w:t>
      </w:r>
      <w:r>
        <w:t xml:space="preserve"> </w:t>
      </w:r>
      <w:r>
        <w:t xml:space="preserve">error, bulk-decay misspecification and structured within-zone heterogeneity instead displace the</w:t>
      </w:r>
      <w:r>
        <w:t xml:space="preserve"> </w:t>
      </w:r>
      <w:r>
        <w:t xml:space="preserve">estimate by several posterior standard deviations while leaving the aggregate residual near the</w:t>
      </w:r>
      <w:r>
        <w:t xml:space="preserve"> </w:t>
      </w:r>
      <w:r>
        <w:t xml:space="preserve">noise level, so in the cases tested here none of the three was revealed by that statistic.</w:t>
      </w:r>
      <w:r>
        <w:t xml:space="preserve"> </w:t>
      </w:r>
      <w:r>
        <w:t xml:space="preserve">Bulk-decay uncertainty costs precision as well, disproportionately for the two weakly decaying</w:t>
      </w:r>
      <w:r>
        <w:t xml:space="preserve"> </w:t>
      </w:r>
      <w:r>
        <w:t xml:space="preserve">zones. Under the local Fisher analysis, and the study-specific criterion that the Cramér–Rao</w:t>
      </w:r>
      <w:r>
        <w:t xml:space="preserve"> </w:t>
      </w:r>
      <w:r>
        <w:t xml:space="preserve">bound stay below the prior standard deviation, those two coefficients cease to be practically</w:t>
      </w:r>
      <w:r>
        <w:t xml:space="preserve"> </w:t>
      </w:r>
      <w:r>
        <w:t xml:space="preserve">identifiable from this six-monitor design once bulk decay and monitor-specific offsets are</w:t>
      </w:r>
      <w:r>
        <w:t xml:space="preserve"> </w:t>
      </w:r>
      <w:r>
        <w:t xml:space="preserve">treated as unknown together.</w:t>
      </w:r>
    </w:p>
    <w:p>
      <w:pPr>
        <w:pStyle w:val="BodyText"/>
      </w:pPr>
      <w:r>
        <w:t xml:space="preserve">Neither predictive accuracy nor the whole-network risk pattern is a reliable proxy for parameter</w:t>
      </w:r>
      <w:r>
        <w:t xml:space="preserve"> </w:t>
      </w:r>
      <w:r>
        <w:t xml:space="preserve">recovery. When a zone’s monitors were withheld, the old- and average-zone coefficients returned</w:t>
      </w:r>
      <w:r>
        <w:t xml:space="preserve"> </w:t>
      </w:r>
      <w:r>
        <w:t xml:space="preserve">to their prior midpoints and retained essentially the whole prior standard deviation, yet held-out</w:t>
      </w:r>
      <w:r>
        <w:t xml:space="preserve"> </w:t>
      </w:r>
      <w:r>
        <w:t xml:space="preserve">prediction at those same monitors stayed at the observation-noise scale. Parameter displacements</w:t>
      </w:r>
      <w:r>
        <w:t xml:space="preserve"> </w:t>
      </w:r>
      <w:r>
        <w:t xml:space="preserve">of several standard deviations left whole-network rank correlations high, but the six-node</w:t>
      </w:r>
      <w:r>
        <w:t xml:space="preserve"> </w:t>
      </w:r>
      <w:r>
        <w:t xml:space="preserve">shortlist an operator would act on changed under some perturbations and not others, and which it</w:t>
      </w:r>
      <w:r>
        <w:t xml:space="preserve"> </w:t>
      </w:r>
      <w:r>
        <w:t xml:space="preserve">was depended on whether the ranking used expected duration or cumulative deficit.</w:t>
      </w:r>
    </w:p>
    <w:p>
      <w:pPr>
        <w:pStyle w:val="BodyText"/>
      </w:pPr>
      <w:r>
        <w:t xml:space="preserve">Three practical conclusions follow for calibration practice. The inference rule should be</w:t>
      </w:r>
      <w:r>
        <w:t xml:space="preserve"> </w:t>
      </w:r>
      <w:r>
        <w:t xml:space="preserve">audited before a wide parameter distribution is read as evidence about the monitoring array.</w:t>
      </w:r>
      <w:r>
        <w:t xml:space="preserve"> </w:t>
      </w:r>
      <w:r>
        <w:t xml:space="preserve">Systematic instrument error and model aggregation deserve at least the attention usually given</w:t>
      </w:r>
      <w:r>
        <w:t xml:space="preserve"> </w:t>
      </w:r>
      <w:r>
        <w:t xml:space="preserve">to sensor precision, since they bias rather than merely blur. And parameter identification,</w:t>
      </w:r>
      <w:r>
        <w:t xml:space="preserve"> </w:t>
      </w:r>
      <w:r>
        <w:t xml:space="preserve">predictive adequacy and decision stability should be reported separately, because a study that</w:t>
      </w:r>
      <w:r>
        <w:t xml:space="preserve"> </w:t>
      </w:r>
      <w:r>
        <w:t xml:space="preserve">reports only one of them cannot show that the other two hold. These conclusions are established</w:t>
      </w:r>
      <w:r>
        <w:t xml:space="preserve"> </w:t>
      </w:r>
      <w:r>
        <w:t xml:space="preserve">within a controlled synthetic experiment with known truth, fixed hydraulics and no field data,</w:t>
      </w:r>
      <w:r>
        <w:t xml:space="preserve"> </w:t>
      </w:r>
      <w:r>
        <w:t xml:space="preserve">and their transfer to a real network remains to be tested.</w:t>
      </w:r>
    </w:p>
    <w:bookmarkEnd w:id="102"/>
    <w:bookmarkStart w:id="103" w:name="acknowledgements"/>
    <w:p>
      <w:pPr>
        <w:pStyle w:val="Heading1"/>
      </w:pPr>
      <w:r>
        <w:t xml:space="preserve">Acknowledgements</w:t>
      </w:r>
    </w:p>
    <w:p>
      <w:pPr>
        <w:pStyle w:val="FirstParagraph"/>
      </w:pPr>
      <w:r>
        <w:t xml:space="preserve">The author thanks the supervisory team for guidance throughout the project. The EPANET Net3</w:t>
      </w:r>
      <w:r>
        <w:t xml:space="preserve"> </w:t>
      </w:r>
      <w:r>
        <w:t xml:space="preserve">example network is distributed with EPANET; all simulations were run through WNTR.</w:t>
      </w:r>
    </w:p>
    <w:bookmarkEnd w:id="103"/>
    <w:bookmarkStart w:id="157" w:name="references"/>
    <w:p>
      <w:pPr>
        <w:pStyle w:val="Heading1"/>
      </w:pPr>
      <w:r>
        <w:t xml:space="preserve">References</w:t>
      </w:r>
    </w:p>
    <w:bookmarkStart w:id="156" w:name="refs"/>
    <w:bookmarkStart w:id="105" w:name="ref-Aisopou2024"/>
    <w:p>
      <w:pPr>
        <w:pStyle w:val="Bibliography"/>
      </w:pPr>
      <w:r>
        <w:t xml:space="preserve">Aisopou, A. &amp; Stoianov, I. (2024) Evaluation of free-chlorine data from online sensors in a water supply network.</w:t>
      </w:r>
      <w:r>
        <w:t xml:space="preserve"> </w:t>
      </w:r>
      <w:r>
        <w:rPr>
          <w:i/>
          <w:iCs/>
        </w:rPr>
        <w:t xml:space="preserve">Engineering Proceedings</w:t>
      </w:r>
      <w:r>
        <w:t xml:space="preserve">. 69(1), 144.</w:t>
      </w:r>
      <w:r>
        <w:t xml:space="preserve"> </w:t>
      </w:r>
      <w:hyperlink r:id="rId104">
        <w:r>
          <w:rPr>
            <w:rStyle w:val="Hyperlink"/>
          </w:rPr>
          <w:t xml:space="preserve">10.3390/engproc2024069144</w:t>
        </w:r>
      </w:hyperlink>
      <w:r>
        <w:t xml:space="preserve">.</w:t>
      </w:r>
    </w:p>
    <w:bookmarkEnd w:id="105"/>
    <w:bookmarkStart w:id="107" w:name="ref-Anthropic2026Claude"/>
    <w:p>
      <w:pPr>
        <w:pStyle w:val="Bibliography"/>
      </w:pPr>
      <w:r>
        <w:t xml:space="preserve">Anthropic (2026)</w:t>
      </w:r>
      <w:r>
        <w:t xml:space="preserve"> </w:t>
      </w:r>
      <w:r>
        <w:t xml:space="preserve">Claude Opus 5</w:t>
      </w:r>
      <w:r>
        <w:t xml:space="preserve">. Large language model. Available at:</w:t>
      </w:r>
      <w:r>
        <w:t xml:space="preserve"> </w:t>
      </w:r>
      <w:hyperlink r:id="rId106">
        <w:r>
          <w:rPr>
            <w:rStyle w:val="Hyperlink"/>
          </w:rPr>
          <w:t xml:space="preserve">https://claude.ai</w:t>
        </w:r>
      </w:hyperlink>
      <w:r>
        <w:t xml:space="preserve"> </w:t>
      </w:r>
      <w:r>
        <w:t xml:space="preserve">(Accessed: 12 August 2026).</w:t>
      </w:r>
    </w:p>
    <w:bookmarkEnd w:id="107"/>
    <w:bookmarkStart w:id="109" w:name="ref-BevenBinley1992"/>
    <w:p>
      <w:pPr>
        <w:pStyle w:val="Bibliography"/>
      </w:pPr>
      <w:r>
        <w:t xml:space="preserve">Beven, K. &amp; Binley, A. (1992) The future of distributed models: Model calibration and uncertainty prediction.</w:t>
      </w:r>
      <w:r>
        <w:t xml:space="preserve"> </w:t>
      </w:r>
      <w:r>
        <w:rPr>
          <w:i/>
          <w:iCs/>
        </w:rPr>
        <w:t xml:space="preserve">Hydrological Processes</w:t>
      </w:r>
      <w:r>
        <w:t xml:space="preserve">. 6(3), 279–298.</w:t>
      </w:r>
      <w:r>
        <w:t xml:space="preserve"> </w:t>
      </w:r>
      <w:hyperlink r:id="rId108">
        <w:r>
          <w:rPr>
            <w:rStyle w:val="Hyperlink"/>
          </w:rPr>
          <w:t xml:space="preserve">10.1002/hyp.3360060305</w:t>
        </w:r>
      </w:hyperlink>
      <w:r>
        <w:t xml:space="preserve">.</w:t>
      </w:r>
    </w:p>
    <w:bookmarkEnd w:id="109"/>
    <w:bookmarkStart w:id="111" w:name="ref-BevenBinley2014"/>
    <w:p>
      <w:pPr>
        <w:pStyle w:val="Bibliography"/>
      </w:pPr>
      <w:r>
        <w:t xml:space="preserve">Beven, K. &amp; Binley, A. (2014)</w:t>
      </w:r>
      <w:r>
        <w:t xml:space="preserve"> </w:t>
      </w:r>
      <w:r>
        <w:t xml:space="preserve">GLUE</w:t>
      </w:r>
      <w:r>
        <w:t xml:space="preserve">: 20 years on.</w:t>
      </w:r>
      <w:r>
        <w:t xml:space="preserve"> </w:t>
      </w:r>
      <w:r>
        <w:rPr>
          <w:i/>
          <w:iCs/>
        </w:rPr>
        <w:t xml:space="preserve">Hydrological Processes</w:t>
      </w:r>
      <w:r>
        <w:t xml:space="preserve">. 28(24), 5897–5918.</w:t>
      </w:r>
      <w:r>
        <w:t xml:space="preserve"> </w:t>
      </w:r>
      <w:hyperlink r:id="rId110">
        <w:r>
          <w:rPr>
            <w:rStyle w:val="Hyperlink"/>
          </w:rPr>
          <w:t xml:space="preserve">10.1002/hyp.10082</w:t>
        </w:r>
      </w:hyperlink>
      <w:r>
        <w:t xml:space="preserve">.</w:t>
      </w:r>
    </w:p>
    <w:bookmarkEnd w:id="111"/>
    <w:bookmarkStart w:id="113" w:name="ref-Brun2001"/>
    <w:p>
      <w:pPr>
        <w:pStyle w:val="Bibliography"/>
      </w:pPr>
      <w:r>
        <w:t xml:space="preserve">Brun, R., Reichert, P. &amp; Künsch, H.R. (2001) Practical identifiability analysis of large environmental simulation models.</w:t>
      </w:r>
      <w:r>
        <w:t xml:space="preserve"> </w:t>
      </w:r>
      <w:r>
        <w:rPr>
          <w:i/>
          <w:iCs/>
        </w:rPr>
        <w:t xml:space="preserve">Water Resources Research</w:t>
      </w:r>
      <w:r>
        <w:t xml:space="preserve">. 37(4), 1015–1030.</w:t>
      </w:r>
      <w:r>
        <w:t xml:space="preserve"> </w:t>
      </w:r>
      <w:hyperlink r:id="rId112">
        <w:r>
          <w:rPr>
            <w:rStyle w:val="Hyperlink"/>
          </w:rPr>
          <w:t xml:space="preserve">10.1029/2000WR900350</w:t>
        </w:r>
      </w:hyperlink>
      <w:r>
        <w:t xml:space="preserve">.</w:t>
      </w:r>
    </w:p>
    <w:bookmarkEnd w:id="113"/>
    <w:bookmarkStart w:id="115" w:name="ref-GomezCoronel2023GAChlorine"/>
    <w:p>
      <w:pPr>
        <w:pStyle w:val="Bibliography"/>
      </w:pPr>
      <w:r>
        <w:t xml:space="preserve">Gómez-Coronel, L., Delgado-Aguiñaga, J.A., Santos-Ruiz, I. &amp; Navarro-Díaz, A. (2023) Estimation of chlorine concentration in water distribution systems based on a genetic algorithm.</w:t>
      </w:r>
      <w:r>
        <w:t xml:space="preserve"> </w:t>
      </w:r>
      <w:r>
        <w:rPr>
          <w:i/>
          <w:iCs/>
        </w:rPr>
        <w:t xml:space="preserve">Processes</w:t>
      </w:r>
      <w:r>
        <w:t xml:space="preserve">. 11(3), 676.</w:t>
      </w:r>
      <w:r>
        <w:t xml:space="preserve"> </w:t>
      </w:r>
      <w:hyperlink r:id="rId114">
        <w:r>
          <w:rPr>
            <w:rStyle w:val="Hyperlink"/>
          </w:rPr>
          <w:t xml:space="preserve">10.3390/pr11030676</w:t>
        </w:r>
      </w:hyperlink>
      <w:r>
        <w:t xml:space="preserve">.</w:t>
      </w:r>
    </w:p>
    <w:bookmarkEnd w:id="115"/>
    <w:bookmarkStart w:id="117" w:name="ref-Hallam2002"/>
    <w:p>
      <w:pPr>
        <w:pStyle w:val="Bibliography"/>
      </w:pPr>
      <w:r>
        <w:t xml:space="preserve">Hallam, N.B., West, J.R., Forster, C.F., Powell, J.C. &amp; Spencer, I. (2002) The decay of chlorine associated with the pipe wall in water distribution systems.</w:t>
      </w:r>
      <w:r>
        <w:t xml:space="preserve"> </w:t>
      </w:r>
      <w:r>
        <w:rPr>
          <w:i/>
          <w:iCs/>
        </w:rPr>
        <w:t xml:space="preserve">Water Research</w:t>
      </w:r>
      <w:r>
        <w:t xml:space="preserve">. 36(14), 3479–3488.</w:t>
      </w:r>
      <w:r>
        <w:t xml:space="preserve"> </w:t>
      </w:r>
      <w:hyperlink r:id="rId116">
        <w:r>
          <w:rPr>
            <w:rStyle w:val="Hyperlink"/>
          </w:rPr>
          <w:t xml:space="preserve">10.1016/S0043-1354(02)00056-8</w:t>
        </w:r>
      </w:hyperlink>
      <w:r>
        <w:t xml:space="preserve">.</w:t>
      </w:r>
    </w:p>
    <w:bookmarkEnd w:id="117"/>
    <w:bookmarkStart w:id="119" w:name="ref-Hua1999"/>
    <w:p>
      <w:pPr>
        <w:pStyle w:val="Bibliography"/>
      </w:pPr>
      <w:r>
        <w:t xml:space="preserve">Hua, F., West, J.R., Barker, R.A. &amp; Forster, C.F. (1999) Modelling of chlorine decay in municipal water supplies.</w:t>
      </w:r>
      <w:r>
        <w:t xml:space="preserve"> </w:t>
      </w:r>
      <w:r>
        <w:rPr>
          <w:i/>
          <w:iCs/>
        </w:rPr>
        <w:t xml:space="preserve">Water Research</w:t>
      </w:r>
      <w:r>
        <w:t xml:space="preserve">. 33(12), 2735–2746.</w:t>
      </w:r>
      <w:r>
        <w:t xml:space="preserve"> </w:t>
      </w:r>
      <w:hyperlink r:id="rId118">
        <w:r>
          <w:rPr>
            <w:rStyle w:val="Hyperlink"/>
          </w:rPr>
          <w:t xml:space="preserve">10.1016/S0043-1354(98)00519-3</w:t>
        </w:r>
      </w:hyperlink>
      <w:r>
        <w:t xml:space="preserve">.</w:t>
      </w:r>
    </w:p>
    <w:bookmarkEnd w:id="119"/>
    <w:bookmarkStart w:id="121" w:name="ref-Hutton2014Uncertainty"/>
    <w:p>
      <w:pPr>
        <w:pStyle w:val="Bibliography"/>
      </w:pPr>
      <w:r>
        <w:t xml:space="preserve">Hutton, C.J., Kapelan, Z., Vamvakeridou-Lyroudia, L. &amp; Savić, D.A. (2014) Dealing with uncertainty in water distribution system models: A framework for real-time modeling and data assimilation.</w:t>
      </w:r>
      <w:r>
        <w:t xml:space="preserve"> </w:t>
      </w:r>
      <w:r>
        <w:rPr>
          <w:i/>
          <w:iCs/>
        </w:rPr>
        <w:t xml:space="preserve">Journal of Water Resources Planning and Management</w:t>
      </w:r>
      <w:r>
        <w:t xml:space="preserve">. 140(2), 169–183.</w:t>
      </w:r>
      <w:r>
        <w:t xml:space="preserve"> </w:t>
      </w:r>
      <w:hyperlink r:id="rId120">
        <w:r>
          <w:rPr>
            <w:rStyle w:val="Hyperlink"/>
          </w:rPr>
          <w:t xml:space="preserve">10.1061/(ASCE)WR.1943-5452.0000325</w:t>
        </w:r>
      </w:hyperlink>
      <w:r>
        <w:t xml:space="preserve">.</w:t>
      </w:r>
    </w:p>
    <w:bookmarkEnd w:id="121"/>
    <w:bookmarkStart w:id="123" w:name="ref-Jenks2025BayesianDisinfectant"/>
    <w:p>
      <w:pPr>
        <w:pStyle w:val="Bibliography"/>
      </w:pPr>
      <w:r>
        <w:t xml:space="preserve">Jenks, B., Ulusoy, A.-J. &amp; Stoianov, I. (2025) Bayesian inference for quantifying parameter uncertainty in disinfectant decay models.</w:t>
      </w:r>
      <w:r>
        <w:t xml:space="preserve"> </w:t>
      </w:r>
      <w:r>
        <w:rPr>
          <w:i/>
          <w:iCs/>
        </w:rPr>
        <w:t xml:space="preserve">Proceedings of the 21st</w:t>
      </w:r>
      <w:r>
        <w:rPr>
          <w:i/>
          <w:iCs/>
        </w:rPr>
        <w:t xml:space="preserve"> </w:t>
      </w:r>
      <w:r>
        <w:rPr>
          <w:i/>
          <w:iCs/>
        </w:rPr>
        <w:t xml:space="preserve">Computing and Control for the Water Industry Conference</w:t>
      </w:r>
      <w:r>
        <w:rPr>
          <w:i/>
          <w:iCs/>
        </w:rPr>
        <w:t xml:space="preserve"> </w:t>
      </w:r>
      <w:r>
        <w:rPr>
          <w:i/>
          <w:iCs/>
        </w:rPr>
        <w:t xml:space="preserve">(CCWI 2025)</w:t>
      </w:r>
      <w:r>
        <w:t xml:space="preserve">. Sheffield, UK: The University of Sheffield.</w:t>
      </w:r>
      <w:r>
        <w:t xml:space="preserve"> </w:t>
      </w:r>
      <w:hyperlink r:id="rId122">
        <w:r>
          <w:rPr>
            <w:rStyle w:val="Hyperlink"/>
          </w:rPr>
          <w:t xml:space="preserve">10.15131/shef.data.29921225</w:t>
        </w:r>
      </w:hyperlink>
      <w:r>
        <w:t xml:space="preserve">.</w:t>
      </w:r>
    </w:p>
    <w:bookmarkEnd w:id="123"/>
    <w:bookmarkStart w:id="125" w:name="ref-Klise2017WNTR"/>
    <w:p>
      <w:pPr>
        <w:pStyle w:val="Bibliography"/>
      </w:pPr>
      <w:r>
        <w:t xml:space="preserve">Klise, K.A., Bynum, M., Moriarty, D. &amp; Murray, R. (2017) A software framework for assessing the resilience of drinking water systems to disasters with an example earthquake case study.</w:t>
      </w:r>
      <w:r>
        <w:t xml:space="preserve"> </w:t>
      </w:r>
      <w:r>
        <w:rPr>
          <w:i/>
          <w:iCs/>
        </w:rPr>
        <w:t xml:space="preserve">Environmental Modelling &amp; Software</w:t>
      </w:r>
      <w:r>
        <w:t xml:space="preserve">. 95, 420–431.</w:t>
      </w:r>
      <w:r>
        <w:t xml:space="preserve"> </w:t>
      </w:r>
      <w:hyperlink r:id="rId124">
        <w:r>
          <w:rPr>
            <w:rStyle w:val="Hyperlink"/>
          </w:rPr>
          <w:t xml:space="preserve">10.1016/j.envsoft.2017.06.022</w:t>
        </w:r>
      </w:hyperlink>
      <w:r>
        <w:t xml:space="preserve">.</w:t>
      </w:r>
    </w:p>
    <w:bookmarkEnd w:id="125"/>
    <w:bookmarkStart w:id="127" w:name="ref-MantovanTodini2006"/>
    <w:p>
      <w:pPr>
        <w:pStyle w:val="Bibliography"/>
      </w:pPr>
      <w:r>
        <w:t xml:space="preserve">Mantovan, P. &amp; Todini, E. (2006) Hydrological forecasting uncertainty assessment: Incoherence of the</w:t>
      </w:r>
      <w:r>
        <w:t xml:space="preserve"> </w:t>
      </w:r>
      <w:r>
        <w:t xml:space="preserve">GLUE</w:t>
      </w:r>
      <w:r>
        <w:t xml:space="preserve"> </w:t>
      </w:r>
      <w:r>
        <w:t xml:space="preserve">methodology.</w:t>
      </w:r>
      <w:r>
        <w:t xml:space="preserve"> </w:t>
      </w:r>
      <w:r>
        <w:rPr>
          <w:i/>
          <w:iCs/>
        </w:rPr>
        <w:t xml:space="preserve">Journal of Hydrology</w:t>
      </w:r>
      <w:r>
        <w:t xml:space="preserve">. 330(1–2), 368–381.</w:t>
      </w:r>
      <w:r>
        <w:t xml:space="preserve"> </w:t>
      </w:r>
      <w:hyperlink r:id="rId126">
        <w:r>
          <w:rPr>
            <w:rStyle w:val="Hyperlink"/>
          </w:rPr>
          <w:t xml:space="preserve">10.1016/j.jhydrol.2006.04.046</w:t>
        </w:r>
      </w:hyperlink>
      <w:r>
        <w:t xml:space="preserve">.</w:t>
      </w:r>
    </w:p>
    <w:bookmarkEnd w:id="127"/>
    <w:bookmarkStart w:id="129" w:name="ref-Munavalli2003SteadyState"/>
    <w:p>
      <w:pPr>
        <w:pStyle w:val="Bibliography"/>
      </w:pPr>
      <w:r>
        <w:t xml:space="preserve">Munavalli, G.R. &amp; Mohan Kumar, M.S. (2003) Water quality parameter estimation in steady-state distribution system.</w:t>
      </w:r>
      <w:r>
        <w:t xml:space="preserve"> </w:t>
      </w:r>
      <w:r>
        <w:rPr>
          <w:i/>
          <w:iCs/>
        </w:rPr>
        <w:t xml:space="preserve">Journal of Water Resources Planning and Management</w:t>
      </w:r>
      <w:r>
        <w:t xml:space="preserve">. 129(2), 124–134.</w:t>
      </w:r>
      <w:r>
        <w:t xml:space="preserve"> </w:t>
      </w:r>
      <w:hyperlink r:id="rId128">
        <w:r>
          <w:rPr>
            <w:rStyle w:val="Hyperlink"/>
          </w:rPr>
          <w:t xml:space="preserve">10.1061/(ASCE)0733-9496(2003)129:2(124)</w:t>
        </w:r>
      </w:hyperlink>
      <w:r>
        <w:t xml:space="preserve">.</w:t>
      </w:r>
    </w:p>
    <w:bookmarkEnd w:id="129"/>
    <w:bookmarkStart w:id="131" w:name="ref-Nejjari2014ChlorineCalibration"/>
    <w:p>
      <w:pPr>
        <w:pStyle w:val="Bibliography"/>
      </w:pPr>
      <w:r>
        <w:t xml:space="preserve">Nejjari, F., Puig, V., Pérez, R., Quevedo, J., Cugueró, M.A., Sanz, G. &amp; Mirats, J.M. (2014) Chlorine decay model calibration and comparison: Application to a real water network.</w:t>
      </w:r>
      <w:r>
        <w:t xml:space="preserve"> </w:t>
      </w:r>
      <w:r>
        <w:rPr>
          <w:i/>
          <w:iCs/>
        </w:rPr>
        <w:t xml:space="preserve">Procedia Engineering</w:t>
      </w:r>
      <w:r>
        <w:t xml:space="preserve">. 70, 1221–1230.</w:t>
      </w:r>
      <w:r>
        <w:t xml:space="preserve"> </w:t>
      </w:r>
      <w:hyperlink r:id="rId130">
        <w:r>
          <w:rPr>
            <w:rStyle w:val="Hyperlink"/>
          </w:rPr>
          <w:t xml:space="preserve">10.1016/j.proeng.2014.02.135</w:t>
        </w:r>
      </w:hyperlink>
      <w:r>
        <w:t xml:space="preserve">.</w:t>
      </w:r>
    </w:p>
    <w:bookmarkEnd w:id="131"/>
    <w:bookmarkStart w:id="133" w:name="ref-Owen1998"/>
    <w:p>
      <w:pPr>
        <w:pStyle w:val="Bibliography"/>
      </w:pPr>
      <w:r>
        <w:t xml:space="preserve">Owen, A.B. (1998) Scrambling</w:t>
      </w:r>
      <w:r>
        <w:t xml:space="preserve"> </w:t>
      </w:r>
      <w:r>
        <w:t xml:space="preserve">Sobol’</w:t>
      </w:r>
      <w:r>
        <w:t xml:space="preserve"> </w:t>
      </w:r>
      <w:r>
        <w:t xml:space="preserve">and</w:t>
      </w:r>
      <w:r>
        <w:t xml:space="preserve"> </w:t>
      </w:r>
      <w:r>
        <w:t xml:space="preserve">Niederreiter–Xing</w:t>
      </w:r>
      <w:r>
        <w:t xml:space="preserve"> </w:t>
      </w:r>
      <w:r>
        <w:t xml:space="preserve">points.</w:t>
      </w:r>
      <w:r>
        <w:t xml:space="preserve"> </w:t>
      </w:r>
      <w:r>
        <w:rPr>
          <w:i/>
          <w:iCs/>
        </w:rPr>
        <w:t xml:space="preserve">Journal of Complexity</w:t>
      </w:r>
      <w:r>
        <w:t xml:space="preserve">. 14(4), 466–489.</w:t>
      </w:r>
      <w:r>
        <w:t xml:space="preserve"> </w:t>
      </w:r>
      <w:hyperlink r:id="rId132">
        <w:r>
          <w:rPr>
            <w:rStyle w:val="Hyperlink"/>
          </w:rPr>
          <w:t xml:space="preserve">10.1006/jcom.1998.0487</w:t>
        </w:r>
      </w:hyperlink>
      <w:r>
        <w:t xml:space="preserve">.</w:t>
      </w:r>
    </w:p>
    <w:bookmarkEnd w:id="133"/>
    <w:bookmarkStart w:id="135" w:name="ref-PeiroviMinaee2019GAPSO"/>
    <w:p>
      <w:pPr>
        <w:pStyle w:val="Bibliography"/>
      </w:pPr>
      <w:r>
        <w:t xml:space="preserve">Peirovi Minaee, R., Afsharnia, M., Moghaddam, A., Ebrahimi, A.A., Askarishahi, M. &amp; Mokhtari, M. (2019) Calibration of water quality model for distribution networks using genetic algorithm, particle swarm optimization, and hybrid methods.</w:t>
      </w:r>
      <w:r>
        <w:t xml:space="preserve"> </w:t>
      </w:r>
      <w:r>
        <w:rPr>
          <w:i/>
          <w:iCs/>
        </w:rPr>
        <w:t xml:space="preserve">MethodsX</w:t>
      </w:r>
      <w:r>
        <w:t xml:space="preserve">. 6, 540–548.</w:t>
      </w:r>
      <w:r>
        <w:t xml:space="preserve"> </w:t>
      </w:r>
      <w:hyperlink r:id="rId134">
        <w:r>
          <w:rPr>
            <w:rStyle w:val="Hyperlink"/>
          </w:rPr>
          <w:t xml:space="preserve">10.1016/j.mex.2019.03.008</w:t>
        </w:r>
      </w:hyperlink>
      <w:r>
        <w:t xml:space="preserve">.</w:t>
      </w:r>
    </w:p>
    <w:bookmarkEnd w:id="135"/>
    <w:bookmarkStart w:id="137" w:name="ref-Powell2000"/>
    <w:p>
      <w:pPr>
        <w:pStyle w:val="Bibliography"/>
      </w:pPr>
      <w:r>
        <w:t xml:space="preserve">Powell, J.C., Hallam, N.B., West, J.R., Forster, C.F. &amp; Simms, J. (2000) Factors which control bulk chlorine decay rates.</w:t>
      </w:r>
      <w:r>
        <w:t xml:space="preserve"> </w:t>
      </w:r>
      <w:r>
        <w:rPr>
          <w:i/>
          <w:iCs/>
        </w:rPr>
        <w:t xml:space="preserve">Water Research</w:t>
      </w:r>
      <w:r>
        <w:t xml:space="preserve">. 34(1), 117–126.</w:t>
      </w:r>
      <w:r>
        <w:t xml:space="preserve"> </w:t>
      </w:r>
      <w:hyperlink r:id="rId136">
        <w:r>
          <w:rPr>
            <w:rStyle w:val="Hyperlink"/>
          </w:rPr>
          <w:t xml:space="preserve">10.1016/S0043-1354(99)00097-4</w:t>
        </w:r>
      </w:hyperlink>
      <w:r>
        <w:t xml:space="preserve">.</w:t>
      </w:r>
    </w:p>
    <w:bookmarkEnd w:id="137"/>
    <w:bookmarkStart w:id="139" w:name="ref-Rajakumar2019EnKF"/>
    <w:p>
      <w:pPr>
        <w:pStyle w:val="Bibliography"/>
      </w:pPr>
      <w:r>
        <w:t xml:space="preserve">Rajakumar, A.G., Mohan Kumar, M.S., Amrutur, B. &amp; Kapelan, Z. (2019) Real-time water quality modeling with ensemble</w:t>
      </w:r>
      <w:r>
        <w:t xml:space="preserve"> </w:t>
      </w:r>
      <w:r>
        <w:t xml:space="preserve">Kalman</w:t>
      </w:r>
      <w:r>
        <w:t xml:space="preserve"> </w:t>
      </w:r>
      <w:r>
        <w:t xml:space="preserve">filter for state and parameter estimation in water distribution networks.</w:t>
      </w:r>
      <w:r>
        <w:t xml:space="preserve"> </w:t>
      </w:r>
      <w:r>
        <w:rPr>
          <w:i/>
          <w:iCs/>
        </w:rPr>
        <w:t xml:space="preserve">Journal of Water Resources Planning and Management</w:t>
      </w:r>
      <w:r>
        <w:t xml:space="preserve">. 145(11), 04019049.</w:t>
      </w:r>
      <w:r>
        <w:t xml:space="preserve"> </w:t>
      </w:r>
      <w:hyperlink r:id="rId138">
        <w:r>
          <w:rPr>
            <w:rStyle w:val="Hyperlink"/>
          </w:rPr>
          <w:t xml:space="preserve">10.1061/(ASCE)WR.1943-5452.0001118</w:t>
        </w:r>
      </w:hyperlink>
      <w:r>
        <w:t xml:space="preserve">.</w:t>
      </w:r>
    </w:p>
    <w:bookmarkEnd w:id="139"/>
    <w:bookmarkStart w:id="141" w:name="ref-Raue2009"/>
    <w:p>
      <w:pPr>
        <w:pStyle w:val="Bibliography"/>
      </w:pPr>
      <w:r>
        <w:t xml:space="preserve">Raue, A., Kreutz, C., Maiwald, T., Bachmann, J., Schilling, M., Klingmüller, U. &amp; Timmer, J. (2009) Structural and practical identifiability analysis of partially observed dynamical models by exploiting the profile likelihood.</w:t>
      </w:r>
      <w:r>
        <w:t xml:space="preserve"> </w:t>
      </w:r>
      <w:r>
        <w:rPr>
          <w:i/>
          <w:iCs/>
        </w:rPr>
        <w:t xml:space="preserve">Bioinformatics</w:t>
      </w:r>
      <w:r>
        <w:t xml:space="preserve">. 25(15), 1923–1929.</w:t>
      </w:r>
      <w:r>
        <w:t xml:space="preserve"> </w:t>
      </w:r>
      <w:hyperlink r:id="rId140">
        <w:r>
          <w:rPr>
            <w:rStyle w:val="Hyperlink"/>
          </w:rPr>
          <w:t xml:space="preserve">10.1093/bioinformatics/btp358</w:t>
        </w:r>
      </w:hyperlink>
      <w:r>
        <w:t xml:space="preserve">.</w:t>
      </w:r>
    </w:p>
    <w:bookmarkEnd w:id="141"/>
    <w:bookmarkStart w:id="142" w:name="ref-Rossman2000"/>
    <w:p>
      <w:pPr>
        <w:pStyle w:val="Bibliography"/>
      </w:pPr>
      <w:r>
        <w:t xml:space="preserve">Rossman, L.A. (2000)</w:t>
      </w:r>
      <w:r>
        <w:t xml:space="preserve"> </w:t>
      </w:r>
      <w:r>
        <w:rPr>
          <w:i/>
          <w:iCs/>
        </w:rPr>
        <w:t xml:space="preserve">EPANET</w:t>
      </w:r>
      <w:r>
        <w:rPr>
          <w:i/>
          <w:iCs/>
        </w:rPr>
        <w:t xml:space="preserve"> </w:t>
      </w:r>
      <w:r>
        <w:rPr>
          <w:i/>
          <w:iCs/>
        </w:rPr>
        <w:t xml:space="preserve">2 users manual</w:t>
      </w:r>
      <w:r>
        <w:t xml:space="preserve">. Cincinnati, OH: U.S. Environmental Protection Agency.</w:t>
      </w:r>
    </w:p>
    <w:bookmarkEnd w:id="142"/>
    <w:bookmarkStart w:id="144" w:name="ref-Rossman1994"/>
    <w:p>
      <w:pPr>
        <w:pStyle w:val="Bibliography"/>
      </w:pPr>
      <w:r>
        <w:t xml:space="preserve">Rossman, L.A., Clark, R.M. &amp; Grayman, W.M. (1994) Modeling chlorine residuals in drinking-water distribution systems.</w:t>
      </w:r>
      <w:r>
        <w:t xml:space="preserve"> </w:t>
      </w:r>
      <w:r>
        <w:rPr>
          <w:i/>
          <w:iCs/>
        </w:rPr>
        <w:t xml:space="preserve">Journal of Environmental Engineering</w:t>
      </w:r>
      <w:r>
        <w:t xml:space="preserve">. 120(4), 803–820.</w:t>
      </w:r>
      <w:r>
        <w:t xml:space="preserve"> </w:t>
      </w:r>
      <w:hyperlink r:id="rId143">
        <w:r>
          <w:rPr>
            <w:rStyle w:val="Hyperlink"/>
          </w:rPr>
          <w:t xml:space="preserve">10.1061/(ASCE)0733-9372(1994)120:4(803)</w:t>
        </w:r>
      </w:hyperlink>
      <w:r>
        <w:t xml:space="preserve">.</w:t>
      </w:r>
    </w:p>
    <w:bookmarkEnd w:id="144"/>
    <w:bookmarkStart w:id="145" w:name="ref-Rossman2020"/>
    <w:p>
      <w:pPr>
        <w:pStyle w:val="Bibliography"/>
      </w:pPr>
      <w:r>
        <w:t xml:space="preserve">Rossman, L.A., Woo, H., Tryby, M., Shang, F., Janke, R. &amp; Haxton, T. (2020)</w:t>
      </w:r>
      <w:r>
        <w:t xml:space="preserve"> </w:t>
      </w:r>
      <w:r>
        <w:rPr>
          <w:i/>
          <w:iCs/>
        </w:rPr>
        <w:t xml:space="preserve">EPANET</w:t>
      </w:r>
      <w:r>
        <w:rPr>
          <w:i/>
          <w:iCs/>
        </w:rPr>
        <w:t xml:space="preserve"> </w:t>
      </w:r>
      <w:r>
        <w:rPr>
          <w:i/>
          <w:iCs/>
        </w:rPr>
        <w:t xml:space="preserve">2.2 user manual</w:t>
      </w:r>
      <w:r>
        <w:t xml:space="preserve">. Cincinnati, OH: U.S. Environmental Protection Agency.</w:t>
      </w:r>
    </w:p>
    <w:bookmarkEnd w:id="145"/>
    <w:bookmarkStart w:id="147" w:name="ref-Sobol1967"/>
    <w:p>
      <w:pPr>
        <w:pStyle w:val="Bibliography"/>
      </w:pPr>
      <w:r>
        <w:t xml:space="preserve">Sobol’, I.M. (1967) On the distribution of points in a cube and the approximate evaluation of integrals.</w:t>
      </w:r>
      <w:r>
        <w:t xml:space="preserve"> </w:t>
      </w:r>
      <w:r>
        <w:rPr>
          <w:i/>
          <w:iCs/>
        </w:rPr>
        <w:t xml:space="preserve">USSR Computational Mathematics and Mathematical Physics</w:t>
      </w:r>
      <w:r>
        <w:t xml:space="preserve">. 7(4), 86–112.</w:t>
      </w:r>
      <w:r>
        <w:t xml:space="preserve"> </w:t>
      </w:r>
      <w:hyperlink r:id="rId146">
        <w:r>
          <w:rPr>
            <w:rStyle w:val="Hyperlink"/>
          </w:rPr>
          <w:t xml:space="preserve">10.1016/0041-5553(67)90144-9</w:t>
        </w:r>
      </w:hyperlink>
      <w:r>
        <w:t xml:space="preserve">.</w:t>
      </w:r>
    </w:p>
    <w:bookmarkEnd w:id="147"/>
    <w:bookmarkStart w:id="149" w:name="ref-Stedinger2008"/>
    <w:p>
      <w:pPr>
        <w:pStyle w:val="Bibliography"/>
      </w:pPr>
      <w:r>
        <w:t xml:space="preserve">Stedinger, J.R., Vogel, R.M., Lee, S.U. &amp; Batchelder, R. (2008) Appraisal of the generalized likelihood uncertainty estimation (</w:t>
      </w:r>
      <w:r>
        <w:t xml:space="preserve">GLUE</w:t>
      </w:r>
      <w:r>
        <w:t xml:space="preserve">) method.</w:t>
      </w:r>
      <w:r>
        <w:t xml:space="preserve"> </w:t>
      </w:r>
      <w:r>
        <w:rPr>
          <w:i/>
          <w:iCs/>
        </w:rPr>
        <w:t xml:space="preserve">Water Resources Research</w:t>
      </w:r>
      <w:r>
        <w:t xml:space="preserve">. 44(12), W00B06.</w:t>
      </w:r>
      <w:r>
        <w:t xml:space="preserve"> </w:t>
      </w:r>
      <w:hyperlink r:id="rId148">
        <w:r>
          <w:rPr>
            <w:rStyle w:val="Hyperlink"/>
          </w:rPr>
          <w:t xml:space="preserve">10.1029/2008WR006822</w:t>
        </w:r>
      </w:hyperlink>
      <w:r>
        <w:t xml:space="preserve">.</w:t>
      </w:r>
    </w:p>
    <w:bookmarkEnd w:id="149"/>
    <w:bookmarkStart w:id="151" w:name="ref-Vasconcelos1997"/>
    <w:p>
      <w:pPr>
        <w:pStyle w:val="Bibliography"/>
      </w:pPr>
      <w:r>
        <w:t xml:space="preserve">Vasconcelos, J.J., Rossman, L.A., Grayman, W.M., Boulos, P.F. &amp; Clark, R.M. (1997) Kinetics of chlorine decay.</w:t>
      </w:r>
      <w:r>
        <w:t xml:space="preserve"> </w:t>
      </w:r>
      <w:r>
        <w:rPr>
          <w:i/>
          <w:iCs/>
        </w:rPr>
        <w:t xml:space="preserve">Journal AWWA</w:t>
      </w:r>
      <w:r>
        <w:t xml:space="preserve">. 89(7), 54–65.</w:t>
      </w:r>
      <w:r>
        <w:t xml:space="preserve"> </w:t>
      </w:r>
      <w:hyperlink r:id="rId150">
        <w:r>
          <w:rPr>
            <w:rStyle w:val="Hyperlink"/>
          </w:rPr>
          <w:t xml:space="preserve">10.1002/j.1551-8833.1997.tb08259.x</w:t>
        </w:r>
      </w:hyperlink>
      <w:r>
        <w:t xml:space="preserve">.</w:t>
      </w:r>
    </w:p>
    <w:bookmarkEnd w:id="151"/>
    <w:bookmarkStart w:id="153" w:name="ref-WNTRdocs"/>
    <w:p>
      <w:pPr>
        <w:pStyle w:val="Bibliography"/>
      </w:pPr>
      <w:r>
        <w:t xml:space="preserve">WNTR Development Team (2026)</w:t>
      </w:r>
      <w:r>
        <w:t xml:space="preserve"> </w:t>
      </w:r>
      <w:r>
        <w:t xml:space="preserve">WNTR</w:t>
      </w:r>
      <w:r>
        <w:t xml:space="preserve"> </w:t>
      </w:r>
      <w:r>
        <w:t xml:space="preserve">documentation: units. Available at:</w:t>
      </w:r>
      <w:r>
        <w:t xml:space="preserve"> </w:t>
      </w:r>
      <w:hyperlink r:id="rId152">
        <w:r>
          <w:rPr>
            <w:rStyle w:val="Hyperlink"/>
          </w:rPr>
          <w:t xml:space="preserve">https://usepa.github.io/WNTR/units.html</w:t>
        </w:r>
      </w:hyperlink>
      <w:r>
        <w:t xml:space="preserve"> </w:t>
      </w:r>
      <w:r>
        <w:t xml:space="preserve">(Accessed: 11 August 2026).</w:t>
      </w:r>
    </w:p>
    <w:bookmarkEnd w:id="153"/>
    <w:bookmarkStart w:id="155" w:name="ref-Wu2022BEAR"/>
    <w:p>
      <w:pPr>
        <w:pStyle w:val="Bibliography"/>
      </w:pPr>
      <w:r>
        <w:t xml:space="preserve">Wu, X., Marshall, L. &amp; Sharma, A. (2022) Quantifying input uncertainty in the calibration of water quality models: Reordering errors via the secant method.</w:t>
      </w:r>
      <w:r>
        <w:t xml:space="preserve"> </w:t>
      </w:r>
      <w:r>
        <w:rPr>
          <w:i/>
          <w:iCs/>
        </w:rPr>
        <w:t xml:space="preserve">Hydrology and Earth System Sciences</w:t>
      </w:r>
      <w:r>
        <w:t xml:space="preserve">. 26(5), 1203–1221.</w:t>
      </w:r>
      <w:r>
        <w:t xml:space="preserve"> </w:t>
      </w:r>
      <w:hyperlink r:id="rId154">
        <w:r>
          <w:rPr>
            <w:rStyle w:val="Hyperlink"/>
          </w:rPr>
          <w:t xml:space="preserve">10.5194/hess-26-1203-2022</w:t>
        </w:r>
      </w:hyperlink>
      <w:r>
        <w:t xml:space="preserve">.</w:t>
      </w:r>
    </w:p>
    <w:bookmarkEnd w:id="155"/>
    <w:bookmarkEnd w:id="156"/>
    <w:bookmarkEnd w:id="157"/>
    <w:bookmarkStart w:id="158" w:name="statement-on-the-use-of-generative-ai"/>
    <w:p>
      <w:pPr>
        <w:pStyle w:val="Heading1"/>
      </w:pPr>
      <w:r>
        <w:t xml:space="preserve">Statement on the use of generative AI</w:t>
      </w:r>
    </w:p>
    <w:p>
      <w:pPr>
        <w:pStyle w:val="FirstParagraph"/>
      </w:pPr>
      <w:r>
        <w:t xml:space="preserve">I acknowledge the use of Claude Opus 5 (Anthropic, https://claude.ai), accessed through the</w:t>
      </w:r>
      <w:r>
        <w:t xml:space="preserve"> </w:t>
      </w:r>
      <w:r>
        <w:t xml:space="preserve">Claude Code command-line interface (https://claude.com/claude-code), to restructure the</w:t>
      </w:r>
      <w:r>
        <w:t xml:space="preserve"> </w:t>
      </w:r>
      <w:r>
        <w:t xml:space="preserve">manuscript, to write the figure and table generation code, and to cross-check the manuscript</w:t>
      </w:r>
      <w:r>
        <w:t xml:space="preserve"> </w:t>
      </w:r>
      <w:r>
        <w:t xml:space="preserve">against the stored numerical results</w:t>
      </w:r>
      <w:r>
        <w:t xml:space="preserve"> </w:t>
      </w:r>
      <w:r>
        <w:t xml:space="preserve">(Anthropic, 2026)</w:t>
      </w:r>
      <w:r>
        <w:t xml:space="preserve">. I confirm that no content generated</w:t>
      </w:r>
      <w:r>
        <w:t xml:space="preserve"> </w:t>
      </w:r>
      <w:r>
        <w:t xml:space="preserve">by AI has been presented as my own work.</w:t>
      </w:r>
    </w:p>
    <w:p>
      <w:pPr>
        <w:pStyle w:val="BodyText"/>
      </w:pPr>
      <w:r>
        <w:t xml:space="preserve">The departmental policy treats AI-generated text, ideas and computer code as third-party</w:t>
      </w:r>
      <w:r>
        <w:t xml:space="preserve"> </w:t>
      </w:r>
      <w:r>
        <w:t xml:space="preserve">material requiring citation, so the tool is cited above and the code it wrote is identified by</w:t>
      </w:r>
      <w:r>
        <w:t xml:space="preserve"> </w:t>
      </w:r>
      <w:r>
        <w:t xml:space="preserve">file below. The paragraphs that follow give the expanded description.</w:t>
      </w:r>
    </w:p>
    <w:p>
      <w:pPr>
        <w:pStyle w:val="BodyText"/>
      </w:pPr>
      <w:r>
        <w:rPr>
          <w:b/>
          <w:bCs/>
        </w:rPr>
        <w:t xml:space="preserve">Where AI led and the author reviewed.</w:t>
      </w:r>
      <w:r>
        <w:t xml:space="preserve"> </w:t>
      </w:r>
      <w:r>
        <w:t xml:space="preserve">The restructuring of the paper into its present</w:t>
      </w:r>
      <w:r>
        <w:t xml:space="preserve"> </w:t>
      </w:r>
      <w:r>
        <w:t xml:space="preserve">four-section layout, and the whole of</w:t>
      </w:r>
      <w:r>
        <w:t xml:space="preserve"> </w:t>
      </w:r>
      <w:r>
        <w:rPr>
          <w:rStyle w:val="VerbatimChar"/>
        </w:rPr>
        <w:t xml:space="preserve">Net3/paper_figs.py</w:t>
      </w:r>
      <w:r>
        <w:t xml:space="preserve">, which renders the seven figures and</w:t>
      </w:r>
      <w:r>
        <w:t xml:space="preserve"> </w:t>
      </w:r>
      <w:r>
        <w:t xml:space="preserve">the table bodies from values already computed and stored in</w:t>
      </w:r>
      <w:r>
        <w:t xml:space="preserve"> </w:t>
      </w:r>
      <w:r>
        <w:rPr>
          <w:rStyle w:val="VerbatimChar"/>
        </w:rPr>
        <w:t xml:space="preserve">Net3/baseline_cache/</w:t>
      </w:r>
      <w:r>
        <w:t xml:space="preserve">. It reads</w:t>
      </w:r>
      <w:r>
        <w:t xml:space="preserve"> </w:t>
      </w:r>
      <w:r>
        <w:t xml:space="preserve">those artifacts and plots them; it computes no result. Every output was read and accepted or</w:t>
      </w:r>
      <w:r>
        <w:t xml:space="preserve"> </w:t>
      </w:r>
      <w:r>
        <w:t xml:space="preserve">rejected by the author.</w:t>
      </w:r>
    </w:p>
    <w:p>
      <w:pPr>
        <w:pStyle w:val="BodyText"/>
      </w:pPr>
      <w:r>
        <w:rPr>
          <w:b/>
          <w:bCs/>
        </w:rPr>
        <w:t xml:space="preserve">Where AI executed and the author verified independently.</w:t>
      </w:r>
      <w:r>
        <w:t xml:space="preserve"> </w:t>
      </w:r>
      <w:r>
        <w:t xml:space="preserve">Numerical cross-checking of the</w:t>
      </w:r>
      <w:r>
        <w:t xml:space="preserve"> </w:t>
      </w:r>
      <w:r>
        <w:t xml:space="preserve">manuscript and its figures against the stored artifacts, one registered comparison per quoted</w:t>
      </w:r>
      <w:r>
        <w:t xml:space="preserve"> </w:t>
      </w:r>
      <w:r>
        <w:t xml:space="preserve">figure, run by</w:t>
      </w:r>
      <w:r>
        <w:t xml:space="preserve"> </w:t>
      </w:r>
      <w:r>
        <w:rPr>
          <w:rStyle w:val="VerbatimChar"/>
        </w:rPr>
        <w:t xml:space="preserve">Net3/validate_artifacts.py</w:t>
      </w:r>
      <w:r>
        <w:t xml:space="preserve">. That checking found places where a result was</w:t>
      </w:r>
      <w:r>
        <w:t xml:space="preserve"> </w:t>
      </w:r>
      <w:r>
        <w:t xml:space="preserve">described inaccurately, and they were corrected before submission.</w:t>
      </w:r>
    </w:p>
    <w:p>
      <w:pPr>
        <w:pStyle w:val="BodyText"/>
      </w:pPr>
      <w:r>
        <w:rPr>
          <w:b/>
          <w:bCs/>
        </w:rPr>
        <w:t xml:space="preserve">Where the author worked without AI.</w:t>
      </w:r>
      <w:r>
        <w:t xml:space="preserve"> </w:t>
      </w:r>
      <w:r>
        <w:t xml:space="preserve">The whole experimental design; every</w:t>
      </w:r>
      <w:r>
        <w:t xml:space="preserve"> </w:t>
      </w:r>
      <w:r>
        <w:rPr>
          <w:rStyle w:val="VerbatimChar"/>
        </w:rPr>
        <w:t xml:space="preserve">step*.py</w:t>
      </w:r>
      <w:r>
        <w:t xml:space="preserve"> </w:t>
      </w:r>
      <w:r>
        <w:t xml:space="preserve">computation script; and all scientific judgements, including which results to report and how</w:t>
      </w:r>
      <w:r>
        <w:t xml:space="preserve"> </w:t>
      </w:r>
      <w:r>
        <w:t xml:space="preserve">strongly to state them.</w:t>
      </w:r>
    </w:p>
    <w:p>
      <w:pPr>
        <w:pStyle w:val="BodyText"/>
      </w:pPr>
      <w:r>
        <w:rPr>
          <w:b/>
          <w:bCs/>
        </w:rPr>
        <w:t xml:space="preserve">Where AI was not used at all.</w:t>
      </w:r>
      <w:r>
        <w:t xml:space="preserve"> </w:t>
      </w:r>
      <w:r>
        <w:t xml:space="preserve">The EPANET/WNTR simulations themselves and the generation of</w:t>
      </w:r>
      <w:r>
        <w:t xml:space="preserve"> </w:t>
      </w:r>
      <w:r>
        <w:t xml:space="preserve">any numerical result.</w:t>
      </w:r>
    </w:p>
    <w:p>
      <w:pPr>
        <w:pStyle w:val="BodyText"/>
      </w:pPr>
      <w:r>
        <w:t xml:space="preserve">Every number in this paper is the output of a deterministic computation stored under</w:t>
      </w:r>
      <w:r>
        <w:t xml:space="preserve"> </w:t>
      </w:r>
      <w:r>
        <w:rPr>
          <w:rStyle w:val="VerbatimChar"/>
        </w:rPr>
        <w:t xml:space="preserve">Net3/baseline_cache/</w:t>
      </w:r>
      <w:r>
        <w:t xml:space="preserve">. No numerical result was generated by an AI tool.</w:t>
      </w:r>
    </w:p>
    <w:bookmarkEnd w:id="158"/>
    <w:bookmarkStart w:id="168" w:name="appendices"/>
    <w:p>
      <w:pPr>
        <w:pStyle w:val="Heading1"/>
      </w:pPr>
      <w:r>
        <w:t xml:space="preserve">Appendices</w:t>
      </w:r>
    </w:p>
    <w:p>
      <w:pPr>
        <w:pStyle w:val="FirstParagraph"/>
      </w:pPr>
      <w:r>
        <w:t xml:space="preserve">Every table below is generated directly from the cached result artifacts by</w:t>
      </w:r>
      <w:r>
        <w:t xml:space="preserve"> </w:t>
      </w:r>
      <w:r>
        <w:rPr>
          <w:rStyle w:val="VerbatimChar"/>
        </w:rPr>
        <w:t xml:space="preserve">Net3/appendix_tables.py</w:t>
      </w:r>
      <w:r>
        <w:t xml:space="preserve">, so no appendix value can drift from the one the main text quotes.</w:t>
      </w:r>
      <w:r>
        <w:t xml:space="preserve"> </w:t>
      </w:r>
      <w:r>
        <w:t xml:space="preserve">Appendix I maps each section of the paper to the script that produced its numbers.</w:t>
      </w:r>
    </w:p>
    <w:bookmarkStart w:id="159" w:name="Xb23e304d159119e7df644cc02d3033fc484721a"/>
    <w:p>
      <w:pPr>
        <w:pStyle w:val="Heading2"/>
      </w:pPr>
      <w:r>
        <w:t xml:space="preserve">Appendix A. Warm-up length and the model horizon</w:t>
      </w:r>
    </w:p>
    <w:p>
      <w:pPr>
        <w:pStyle w:val="FirstParagraph"/>
      </w:pPr>
      <w:r>
        <w:t xml:space="preserve">Six cyclostationarity criteria were declared before the values were seen, each comparing a 24 h</w:t>
      </w:r>
      <w:r>
        <w:t xml:space="preserve"> </w:t>
      </w:r>
      <w:r>
        <w:t xml:space="preserve">cycle with its successor across the truth and both corners of the prior box. Table A1 gives the</w:t>
      </w:r>
      <w:r>
        <w:t xml:space="preserve"> </w:t>
      </w:r>
      <w:r>
        <w:t xml:space="preserve">worst value for each criterion at each cycle pair.</w:t>
      </w:r>
    </w:p>
    <w:p>
      <w:pPr>
        <w:pStyle w:val="BodyText"/>
      </w:pPr>
      <w:r>
        <w:t xml:space="preserve">Three of the six are met at a 120 h warm-up and two are not. The horizon cannot be extended to</w:t>
      </w:r>
      <w:r>
        <w:t xml:space="preserve"> </w:t>
      </w:r>
      <w:r>
        <w:t xml:space="preserve">settle them: pump 10 is driven by absolute-time controls enumerated only to 159 h against a model</w:t>
      </w:r>
      <w:r>
        <w:t xml:space="preserve"> </w:t>
      </w:r>
      <w:r>
        <w:t xml:space="preserve">duration of 168 h, so a longer run is a different system rather than a longer warm-up. The</w:t>
      </w:r>
      <w:r>
        <w:t xml:space="preserve"> </w:t>
      </w:r>
      <w:r>
        <w:t xml:space="preserve">integrated severity is still drifting at the horizon, and water age is horizon-dependent by</w:t>
      </w:r>
      <w:r>
        <w:t xml:space="preserve"> </w:t>
      </w:r>
      <w:r>
        <w:t xml:space="preserve">construction in this network. Table A2 shows why the severity criterion fails, with the</w:t>
      </w:r>
      <w:r>
        <w:t xml:space="preserve"> </w:t>
      </w:r>
      <w:r>
        <w:t xml:space="preserve">network-mean deficit falling after the start-up transient and then rising monotonically.</w:t>
      </w:r>
    </w:p>
    <w:p>
      <w:pPr>
        <w:pStyle w:val="BodyText"/>
      </w:pPr>
      <w:r>
        <w:t xml:space="preserve">Table A1. Cyclostationarity diagnostics. Worst value across the truth and both corners of the prior box, for each pair of successive 24 h cycles. Tolerances were declared before the values were seen.</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Criterion</w:t>
            </w:r>
          </w:p>
        </w:tc>
        <w:tc>
          <w:tcPr/>
          <w:p>
            <w:pPr>
              <w:pStyle w:val="Compact"/>
            </w:pPr>
            <w:r>
              <w:t xml:space="preserve">Tolerance</w:t>
            </w:r>
          </w:p>
        </w:tc>
        <w:tc>
          <w:tcPr/>
          <w:p>
            <w:pPr>
              <w:pStyle w:val="Compact"/>
            </w:pPr>
            <w:r>
              <w:t xml:space="preserve">0-24</w:t>
            </w:r>
          </w:p>
        </w:tc>
        <w:tc>
          <w:tcPr/>
          <w:p>
            <w:pPr>
              <w:pStyle w:val="Compact"/>
            </w:pPr>
            <w:r>
              <w:t xml:space="preserve">24-48</w:t>
            </w:r>
          </w:p>
        </w:tc>
        <w:tc>
          <w:tcPr/>
          <w:p>
            <w:pPr>
              <w:pStyle w:val="Compact"/>
            </w:pPr>
            <w:r>
              <w:t xml:space="preserve">48-72</w:t>
            </w:r>
          </w:p>
        </w:tc>
        <w:tc>
          <w:tcPr/>
          <w:p>
            <w:pPr>
              <w:pStyle w:val="Compact"/>
            </w:pPr>
            <w:r>
              <w:t xml:space="preserve">72-96</w:t>
            </w:r>
          </w:p>
        </w:tc>
        <w:tc>
          <w:tcPr/>
          <w:p>
            <w:pPr>
              <w:pStyle w:val="Compact"/>
            </w:pPr>
            <w:r>
              <w:t xml:space="preserve">96-120</w:t>
            </w:r>
          </w:p>
        </w:tc>
        <w:tc>
          <w:tcPr/>
          <w:p>
            <w:pPr>
              <w:pStyle w:val="Compact"/>
            </w:pPr>
            <w:r>
              <w:t xml:space="preserve">120-144</w:t>
            </w:r>
          </w:p>
        </w:tc>
        <w:tc>
          <w:tcPr/>
          <w:p>
            <w:pPr>
              <w:pStyle w:val="Compact"/>
            </w:pPr>
            <w:r>
              <w:t xml:space="preserve">Earliest warm-up satisfying it</w:t>
            </w:r>
          </w:p>
        </w:tc>
      </w:tr>
      <w:tr>
        <w:tc>
          <w:tcPr/>
          <w:p>
            <w:pPr>
              <w:pStyle w:val="Compact"/>
            </w:pPr>
            <w:r>
              <w:t xml:space="preserve">Tank level (m)</w:t>
            </w:r>
          </w:p>
        </w:tc>
        <w:tc>
          <w:tcPr/>
          <w:p>
            <w:pPr>
              <w:pStyle w:val="Compact"/>
            </w:pPr>
            <w:r>
              <w:t xml:space="preserve">0.05</w:t>
            </w:r>
          </w:p>
        </w:tc>
        <w:tc>
          <w:tcPr/>
          <w:p>
            <w:pPr>
              <w:pStyle w:val="Compact"/>
            </w:pPr>
            <w:r>
              <w:t xml:space="preserve">0.8185</w:t>
            </w:r>
          </w:p>
        </w:tc>
        <w:tc>
          <w:tcPr/>
          <w:p>
            <w:pPr>
              <w:pStyle w:val="Compact"/>
            </w:pPr>
            <w:r>
              <w:t xml:space="preserve">0.0496</w:t>
            </w:r>
          </w:p>
        </w:tc>
        <w:tc>
          <w:tcPr/>
          <w:p>
            <w:pPr>
              <w:pStyle w:val="Compact"/>
            </w:pPr>
            <w:r>
              <w:t xml:space="preserve">0.0070</w:t>
            </w:r>
          </w:p>
        </w:tc>
        <w:tc>
          <w:tcPr/>
          <w:p>
            <w:pPr>
              <w:pStyle w:val="Compact"/>
            </w:pPr>
            <w:r>
              <w:t xml:space="preserve">0.0009</w:t>
            </w:r>
          </w:p>
        </w:tc>
        <w:tc>
          <w:tcPr/>
          <w:p>
            <w:pPr>
              <w:pStyle w:val="Compact"/>
            </w:pPr>
            <w:r>
              <w:t xml:space="preserve">8.8e-05</w:t>
            </w:r>
          </w:p>
        </w:tc>
        <w:tc>
          <w:tcPr/>
          <w:p>
            <w:pPr>
              <w:pStyle w:val="Compact"/>
            </w:pPr>
            <w:r>
              <w:t xml:space="preserve">8.4e-05</w:t>
            </w:r>
          </w:p>
        </w:tc>
        <w:tc>
          <w:tcPr/>
          <w:p>
            <w:pPr>
              <w:pStyle w:val="Compact"/>
            </w:pPr>
            <w:r>
              <w:t xml:space="preserve">24 h (verified)</w:t>
            </w:r>
          </w:p>
        </w:tc>
      </w:tr>
      <w:tr>
        <w:tc>
          <w:tcPr/>
          <w:p>
            <w:pPr>
              <w:pStyle w:val="Compact"/>
            </w:pPr>
            <w:r>
              <w:t xml:space="preserve">Monitor chlorine (mg L-1)</w:t>
            </w:r>
          </w:p>
        </w:tc>
        <w:tc>
          <w:tcPr/>
          <w:p>
            <w:pPr>
              <w:pStyle w:val="Compact"/>
            </w:pPr>
            <w:r>
              <w:t xml:space="preserve">0.005</w:t>
            </w:r>
          </w:p>
        </w:tc>
        <w:tc>
          <w:tcPr/>
          <w:p>
            <w:pPr>
              <w:pStyle w:val="Compact"/>
            </w:pPr>
            <w:r>
              <w:t xml:space="preserve">0.9209</w:t>
            </w:r>
          </w:p>
        </w:tc>
        <w:tc>
          <w:tcPr/>
          <w:p>
            <w:pPr>
              <w:pStyle w:val="Compact"/>
            </w:pPr>
            <w:r>
              <w:t xml:space="preserve">0.0437</w:t>
            </w:r>
          </w:p>
        </w:tc>
        <w:tc>
          <w:tcPr/>
          <w:p>
            <w:pPr>
              <w:pStyle w:val="Compact"/>
            </w:pPr>
            <w:r>
              <w:t xml:space="preserve">0.0234</w:t>
            </w:r>
          </w:p>
        </w:tc>
        <w:tc>
          <w:tcPr/>
          <w:p>
            <w:pPr>
              <w:pStyle w:val="Compact"/>
            </w:pPr>
            <w:r>
              <w:t xml:space="preserve">0.0122</w:t>
            </w:r>
          </w:p>
        </w:tc>
        <w:tc>
          <w:tcPr/>
          <w:p>
            <w:pPr>
              <w:pStyle w:val="Compact"/>
            </w:pPr>
            <w:r>
              <w:t xml:space="preserve">0.0064</w:t>
            </w:r>
          </w:p>
        </w:tc>
        <w:tc>
          <w:tcPr/>
          <w:p>
            <w:pPr>
              <w:pStyle w:val="Compact"/>
            </w:pPr>
            <w:r>
              <w:t xml:space="preserve">0.0034</w:t>
            </w:r>
          </w:p>
        </w:tc>
        <w:tc>
          <w:tcPr/>
          <w:p>
            <w:pPr>
              <w:pStyle w:val="Compact"/>
            </w:pPr>
            <w:r>
              <w:t xml:space="preserve">120 h (verified)</w:t>
            </w:r>
          </w:p>
        </w:tc>
      </w:tr>
      <w:tr>
        <w:tc>
          <w:tcPr/>
          <w:p>
            <w:pPr>
              <w:pStyle w:val="Compact"/>
            </w:pPr>
            <w:r>
              <w:t xml:space="preserve">Network 95th-percentile chlorine (mg L-1)</w:t>
            </w:r>
          </w:p>
        </w:tc>
        <w:tc>
          <w:tcPr/>
          <w:p>
            <w:pPr>
              <w:pStyle w:val="Compact"/>
            </w:pPr>
            <w:r>
              <w:t xml:space="preserve">0.01</w:t>
            </w:r>
          </w:p>
        </w:tc>
        <w:tc>
          <w:tcPr/>
          <w:p>
            <w:pPr>
              <w:pStyle w:val="Compact"/>
            </w:pPr>
            <w:r>
              <w:t xml:space="preserve">0.9511</w:t>
            </w:r>
          </w:p>
        </w:tc>
        <w:tc>
          <w:tcPr/>
          <w:p>
            <w:pPr>
              <w:pStyle w:val="Compact"/>
            </w:pPr>
            <w:r>
              <w:t xml:space="preserve">0.1061</w:t>
            </w:r>
          </w:p>
        </w:tc>
        <w:tc>
          <w:tcPr/>
          <w:p>
            <w:pPr>
              <w:pStyle w:val="Compact"/>
            </w:pPr>
            <w:r>
              <w:t xml:space="preserve">0.0396</w:t>
            </w:r>
          </w:p>
        </w:tc>
        <w:tc>
          <w:tcPr/>
          <w:p>
            <w:pPr>
              <w:pStyle w:val="Compact"/>
            </w:pPr>
            <w:r>
              <w:t xml:space="preserve">0.0201</w:t>
            </w:r>
          </w:p>
        </w:tc>
        <w:tc>
          <w:tcPr/>
          <w:p>
            <w:pPr>
              <w:pStyle w:val="Compact"/>
            </w:pPr>
            <w:r>
              <w:t xml:space="preserve">0.0103</w:t>
            </w:r>
          </w:p>
        </w:tc>
        <w:tc>
          <w:tcPr/>
          <w:p>
            <w:pPr>
              <w:pStyle w:val="Compact"/>
            </w:pPr>
            <w:r>
              <w:t xml:space="preserve">0.0054</w:t>
            </w:r>
          </w:p>
        </w:tc>
        <w:tc>
          <w:tcPr/>
          <w:p>
            <w:pPr>
              <w:pStyle w:val="Compact"/>
            </w:pPr>
            <w:r>
              <w:t xml:space="preserve">120 h (verified)</w:t>
            </w:r>
          </w:p>
        </w:tc>
      </w:tr>
      <w:tr>
        <w:tc>
          <w:tcPr/>
          <w:p>
            <w:pPr>
              <w:pStyle w:val="Compact"/>
            </w:pPr>
            <w:r>
              <w:t xml:space="preserve">Tank chlorine (mg L-1)</w:t>
            </w:r>
          </w:p>
        </w:tc>
        <w:tc>
          <w:tcPr/>
          <w:p>
            <w:pPr>
              <w:pStyle w:val="Compact"/>
            </w:pPr>
            <w:r>
              <w:t xml:space="preserve">0.01</w:t>
            </w:r>
          </w:p>
        </w:tc>
        <w:tc>
          <w:tcPr/>
          <w:p>
            <w:pPr>
              <w:pStyle w:val="Compact"/>
            </w:pPr>
            <w:r>
              <w:t xml:space="preserve">0.2457</w:t>
            </w:r>
          </w:p>
        </w:tc>
        <w:tc>
          <w:tcPr/>
          <w:p>
            <w:pPr>
              <w:pStyle w:val="Compact"/>
            </w:pPr>
            <w:r>
              <w:t xml:space="preserve">0.0787</w:t>
            </w:r>
          </w:p>
        </w:tc>
        <w:tc>
          <w:tcPr/>
          <w:p>
            <w:pPr>
              <w:pStyle w:val="Compact"/>
            </w:pPr>
            <w:r>
              <w:t xml:space="preserve">0.0416</w:t>
            </w:r>
          </w:p>
        </w:tc>
        <w:tc>
          <w:tcPr/>
          <w:p>
            <w:pPr>
              <w:pStyle w:val="Compact"/>
            </w:pPr>
            <w:r>
              <w:t xml:space="preserve">0.0219</w:t>
            </w:r>
          </w:p>
        </w:tc>
        <w:tc>
          <w:tcPr/>
          <w:p>
            <w:pPr>
              <w:pStyle w:val="Compact"/>
            </w:pPr>
            <w:r>
              <w:t xml:space="preserve">0.0115</w:t>
            </w:r>
          </w:p>
        </w:tc>
        <w:tc>
          <w:tcPr/>
          <w:p>
            <w:pPr>
              <w:pStyle w:val="Compact"/>
            </w:pPr>
            <w:r>
              <w:t xml:space="preserve">0.0061</w:t>
            </w:r>
          </w:p>
        </w:tc>
        <w:tc>
          <w:tcPr/>
          <w:p>
            <w:pPr>
              <w:pStyle w:val="Compact"/>
            </w:pPr>
            <w:r>
              <w:t xml:space="preserve">120 h (verified)</w:t>
            </w:r>
          </w:p>
        </w:tc>
      </w:tr>
      <w:tr>
        <w:tc>
          <w:tcPr/>
          <w:p>
            <w:pPr>
              <w:pStyle w:val="Compact"/>
            </w:pPr>
            <w:r>
              <w:t xml:space="preserve">Risk severity, relative change in E[A]</w:t>
            </w:r>
          </w:p>
        </w:tc>
        <w:tc>
          <w:tcPr/>
          <w:p>
            <w:pPr>
              <w:pStyle w:val="Compact"/>
            </w:pPr>
            <w:r>
              <w:t xml:space="preserve">0.02</w:t>
            </w:r>
          </w:p>
        </w:tc>
        <w:tc>
          <w:tcPr/>
          <w:p>
            <w:pPr>
              <w:pStyle w:val="Compact"/>
            </w:pPr>
            <w:r>
              <w:t xml:space="preserve">0.8983</w:t>
            </w:r>
          </w:p>
        </w:tc>
        <w:tc>
          <w:tcPr/>
          <w:p>
            <w:pPr>
              <w:pStyle w:val="Compact"/>
            </w:pPr>
            <w:r>
              <w:t xml:space="preserve">0.6104</w:t>
            </w:r>
          </w:p>
        </w:tc>
        <w:tc>
          <w:tcPr/>
          <w:p>
            <w:pPr>
              <w:pStyle w:val="Compact"/>
            </w:pPr>
            <w:r>
              <w:t xml:space="preserve">0.1206</w:t>
            </w:r>
          </w:p>
        </w:tc>
        <w:tc>
          <w:tcPr/>
          <w:p>
            <w:pPr>
              <w:pStyle w:val="Compact"/>
            </w:pPr>
            <w:r>
              <w:t xml:space="preserve">0.1897</w:t>
            </w:r>
          </w:p>
        </w:tc>
        <w:tc>
          <w:tcPr/>
          <w:p>
            <w:pPr>
              <w:pStyle w:val="Compact"/>
            </w:pPr>
            <w:r>
              <w:t xml:space="preserve">0.0978</w:t>
            </w:r>
          </w:p>
        </w:tc>
        <w:tc>
          <w:tcPr/>
          <w:p>
            <w:pPr>
              <w:pStyle w:val="Compact"/>
            </w:pPr>
            <w:r>
              <w:t xml:space="preserve">0.0509</w:t>
            </w:r>
          </w:p>
        </w:tc>
        <w:tc>
          <w:tcPr/>
          <w:p>
            <w:pPr>
              <w:pStyle w:val="Compact"/>
            </w:pPr>
            <w:r>
              <w:t xml:space="preserve">not met within 168 h; extrapolates to ~168 h (unverified)</w:t>
            </w:r>
          </w:p>
        </w:tc>
      </w:tr>
      <w:tr>
        <w:tc>
          <w:tcPr/>
          <w:p>
            <w:pPr>
              <w:pStyle w:val="Compact"/>
            </w:pPr>
            <w:r>
              <w:t xml:space="preserve">Water age, 95th percentile (h)</w:t>
            </w:r>
          </w:p>
        </w:tc>
        <w:tc>
          <w:tcPr/>
          <w:p>
            <w:pPr>
              <w:pStyle w:val="Compact"/>
            </w:pPr>
            <w:r>
              <w:t xml:space="preserve">1.0</w:t>
            </w:r>
          </w:p>
        </w:tc>
        <w:tc>
          <w:tcPr/>
          <w:p>
            <w:pPr>
              <w:pStyle w:val="Compact"/>
            </w:pPr>
            <w:r>
              <w:t xml:space="preserve">23.9990</w:t>
            </w:r>
          </w:p>
        </w:tc>
        <w:tc>
          <w:tcPr/>
          <w:p>
            <w:pPr>
              <w:pStyle w:val="Compact"/>
            </w:pPr>
            <w:r>
              <w:t xml:space="preserve">21.6756</w:t>
            </w:r>
          </w:p>
        </w:tc>
        <w:tc>
          <w:tcPr/>
          <w:p>
            <w:pPr>
              <w:pStyle w:val="Compact"/>
            </w:pPr>
            <w:r>
              <w:t xml:space="preserve">19.0425</w:t>
            </w:r>
          </w:p>
        </w:tc>
        <w:tc>
          <w:tcPr/>
          <w:p>
            <w:pPr>
              <w:pStyle w:val="Compact"/>
            </w:pPr>
            <w:r>
              <w:t xml:space="preserve">16.6924</w:t>
            </w:r>
          </w:p>
        </w:tc>
        <w:tc>
          <w:tcPr/>
          <w:p>
            <w:pPr>
              <w:pStyle w:val="Compact"/>
            </w:pPr>
            <w:r>
              <w:t xml:space="preserve">14.6298</w:t>
            </w:r>
          </w:p>
        </w:tc>
        <w:tc>
          <w:tcPr/>
          <w:p>
            <w:pPr>
              <w:pStyle w:val="Compact"/>
            </w:pPr>
            <w:r>
              <w:t xml:space="preserve">12.8149</w:t>
            </w:r>
          </w:p>
        </w:tc>
        <w:tc>
          <w:tcPr/>
          <w:p>
            <w:pPr>
              <w:pStyle w:val="Compact"/>
            </w:pPr>
            <w:r>
              <w:t xml:space="preserve">not met within 168 h; extrapolates to ~600 h (unverified)</w:t>
            </w:r>
          </w:p>
        </w:tc>
      </w:tr>
    </w:tbl>
    <w:p>
      <w:pPr>
        <w:pStyle w:val="BodyText"/>
      </w:pPr>
      <w:r>
        <w:t xml:space="preserve">Table A2. Network-mean cumulative deficit for the truth, by cycle. The integrated severity falls after the start-up transient and then rises monotonically, which is why the 2% criterion is not met inside the model horizon.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Cycle</w:t>
            </w:r>
          </w:p>
        </w:tc>
        <w:tc>
          <w:tcPr/>
          <w:p>
            <w:pPr>
              <w:pStyle w:val="Compact"/>
            </w:pPr>
            <w:r>
              <w:t xml:space="preserve">Net-mean deficit (mg L-1 h)</w:t>
            </w:r>
          </w:p>
        </w:tc>
        <w:tc>
          <w:tcPr/>
          <w:p>
            <w:pPr>
              <w:pStyle w:val="Compact"/>
            </w:pPr>
            <w:r>
              <w:t xml:space="preserve">Relative change</w:t>
            </w:r>
          </w:p>
        </w:tc>
      </w:tr>
      <w:tr>
        <w:tc>
          <w:tcPr/>
          <w:p>
            <w:pPr>
              <w:pStyle w:val="Compact"/>
            </w:pPr>
            <w:r>
              <w:t xml:space="preserve">0-24 h</w:t>
            </w:r>
          </w:p>
        </w:tc>
        <w:tc>
          <w:tcPr/>
          <w:p>
            <w:pPr>
              <w:pStyle w:val="Compact"/>
            </w:pPr>
            <w:r>
              <w:t xml:space="preserve">1.0050</w:t>
            </w:r>
          </w:p>
        </w:tc>
        <w:tc>
          <w:tcPr/>
          <w:p>
            <w:pPr>
              <w:pStyle w:val="Compact"/>
            </w:pPr>
            <w:r>
              <w:t xml:space="preserve">0.8659</w:t>
            </w:r>
          </w:p>
        </w:tc>
      </w:tr>
      <w:tr>
        <w:tc>
          <w:tcPr/>
          <w:p>
            <w:pPr>
              <w:pStyle w:val="Compact"/>
            </w:pPr>
            <w:r>
              <w:t xml:space="preserve">24-48 h</w:t>
            </w:r>
          </w:p>
        </w:tc>
        <w:tc>
          <w:tcPr/>
          <w:p>
            <w:pPr>
              <w:pStyle w:val="Compact"/>
            </w:pPr>
            <w:r>
              <w:t xml:space="preserve">0.1348</w:t>
            </w:r>
          </w:p>
        </w:tc>
        <w:tc>
          <w:tcPr/>
          <w:p>
            <w:pPr>
              <w:pStyle w:val="Compact"/>
            </w:pPr>
            <w:r>
              <w:t xml:space="preserve">0.3911</w:t>
            </w:r>
          </w:p>
        </w:tc>
      </w:tr>
      <w:tr>
        <w:tc>
          <w:tcPr/>
          <w:p>
            <w:pPr>
              <w:pStyle w:val="Compact"/>
            </w:pPr>
            <w:r>
              <w:t xml:space="preserve">48-72 h</w:t>
            </w:r>
          </w:p>
        </w:tc>
        <w:tc>
          <w:tcPr/>
          <w:p>
            <w:pPr>
              <w:pStyle w:val="Compact"/>
            </w:pPr>
            <w:r>
              <w:t xml:space="preserve">0.0821</w:t>
            </w:r>
          </w:p>
        </w:tc>
        <w:tc>
          <w:tcPr/>
          <w:p>
            <w:pPr>
              <w:pStyle w:val="Compact"/>
            </w:pPr>
            <w:r>
              <w:t xml:space="preserve">0.1206</w:t>
            </w:r>
          </w:p>
        </w:tc>
      </w:tr>
      <w:tr>
        <w:tc>
          <w:tcPr/>
          <w:p>
            <w:pPr>
              <w:pStyle w:val="Compact"/>
            </w:pPr>
            <w:r>
              <w:t xml:space="preserve">72-96 h</w:t>
            </w:r>
          </w:p>
        </w:tc>
        <w:tc>
          <w:tcPr/>
          <w:p>
            <w:pPr>
              <w:pStyle w:val="Compact"/>
            </w:pPr>
            <w:r>
              <w:t xml:space="preserve">0.0920</w:t>
            </w:r>
          </w:p>
        </w:tc>
        <w:tc>
          <w:tcPr/>
          <w:p>
            <w:pPr>
              <w:pStyle w:val="Compact"/>
            </w:pPr>
            <w:r>
              <w:t xml:space="preserve">0.1194</w:t>
            </w:r>
          </w:p>
        </w:tc>
      </w:tr>
      <w:tr>
        <w:tc>
          <w:tcPr/>
          <w:p>
            <w:pPr>
              <w:pStyle w:val="Compact"/>
            </w:pPr>
            <w:r>
              <w:t xml:space="preserve">96-120 h</w:t>
            </w:r>
          </w:p>
        </w:tc>
        <w:tc>
          <w:tcPr/>
          <w:p>
            <w:pPr>
              <w:pStyle w:val="Compact"/>
            </w:pPr>
            <w:r>
              <w:t xml:space="preserve">0.1029</w:t>
            </w:r>
          </w:p>
        </w:tc>
        <w:tc>
          <w:tcPr/>
          <w:p>
            <w:pPr>
              <w:pStyle w:val="Compact"/>
            </w:pPr>
            <w:r>
              <w:t xml:space="preserve">0.0607</w:t>
            </w:r>
          </w:p>
        </w:tc>
      </w:tr>
      <w:tr>
        <w:tc>
          <w:tcPr/>
          <w:p>
            <w:pPr>
              <w:pStyle w:val="Compact"/>
            </w:pPr>
            <w:r>
              <w:t xml:space="preserve">120-144 h</w:t>
            </w:r>
          </w:p>
        </w:tc>
        <w:tc>
          <w:tcPr/>
          <w:p>
            <w:pPr>
              <w:pStyle w:val="Compact"/>
            </w:pPr>
            <w:r>
              <w:t xml:space="preserve">0.1092</w:t>
            </w:r>
          </w:p>
        </w:tc>
        <w:tc>
          <w:tcPr/>
          <w:p>
            <w:pPr>
              <w:pStyle w:val="Compact"/>
            </w:pPr>
            <w:r>
              <w:t xml:space="preserve">0.0308</w:t>
            </w:r>
          </w:p>
        </w:tc>
      </w:tr>
    </w:tbl>
    <w:bookmarkEnd w:id="159"/>
    <w:bookmarkStart w:id="160" w:name="Xe02d61a32b764c6b297a8c29969b13a7581353f"/>
    <w:p>
      <w:pPr>
        <w:pStyle w:val="Heading2"/>
      </w:pPr>
      <w:r>
        <w:t xml:space="preserve">Appendix B. Numerical and unit verification</w:t>
      </w:r>
    </w:p>
    <w:p>
      <w:pPr>
        <w:pStyle w:val="FirstParagraph"/>
      </w:pPr>
      <w:r>
        <w:t xml:space="preserve">Table B1. Bulk-decay arm of the known-answer test against the analytic first-order solution at the far end of a single pipe. The relative error grows with the amount of decay, which is the signature of the quality solver’s time discretisation; a wrong conversion factor would instead give a constant relative offset.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k_b (1/day)</w:t>
            </w:r>
          </w:p>
        </w:tc>
        <w:tc>
          <w:tcPr/>
          <w:p>
            <w:pPr>
              <w:pStyle w:val="Compact"/>
            </w:pPr>
            <w:r>
              <w:t xml:space="preserve">Residence time (h)</w:t>
            </w:r>
          </w:p>
        </w:tc>
        <w:tc>
          <w:tcPr/>
          <w:p>
            <w:pPr>
              <w:pStyle w:val="Compact"/>
            </w:pPr>
            <w:r>
              <w:t xml:space="preserve">EPANET C</w:t>
            </w:r>
          </w:p>
        </w:tc>
        <w:tc>
          <w:tcPr/>
          <w:p>
            <w:pPr>
              <w:pStyle w:val="Compact"/>
            </w:pPr>
            <w:r>
              <w:t xml:space="preserve">Analytic C</w:t>
            </w:r>
          </w:p>
        </w:tc>
        <w:tc>
          <w:tcPr/>
          <w:p>
            <w:pPr>
              <w:pStyle w:val="Compact"/>
            </w:pPr>
            <w:r>
              <w:t xml:space="preserve">Relative error</w:t>
            </w:r>
          </w:p>
        </w:tc>
      </w:tr>
      <w:tr>
        <w:tc>
          <w:tcPr/>
          <w:p>
            <w:pPr>
              <w:pStyle w:val="Compact"/>
            </w:pPr>
            <w:r>
              <w:t xml:space="preserve">-0.50</w:t>
            </w:r>
          </w:p>
        </w:tc>
        <w:tc>
          <w:tcPr/>
          <w:p>
            <w:pPr>
              <w:pStyle w:val="Compact"/>
            </w:pPr>
            <w:r>
              <w:t xml:space="preserve">0.3927</w:t>
            </w:r>
          </w:p>
        </w:tc>
        <w:tc>
          <w:tcPr/>
          <w:p>
            <w:pPr>
              <w:pStyle w:val="Compact"/>
            </w:pPr>
            <w:r>
              <w:t xml:space="preserve">0.991846</w:t>
            </w:r>
          </w:p>
        </w:tc>
        <w:tc>
          <w:tcPr/>
          <w:p>
            <w:pPr>
              <w:pStyle w:val="Compact"/>
            </w:pPr>
            <w:r>
              <w:t xml:space="preserve">0.991852</w:t>
            </w:r>
          </w:p>
        </w:tc>
        <w:tc>
          <w:tcPr/>
          <w:p>
            <w:pPr>
              <w:pStyle w:val="Compact"/>
            </w:pPr>
            <w:r>
              <w:t xml:space="preserve">6.7e-06</w:t>
            </w:r>
          </w:p>
        </w:tc>
      </w:tr>
      <w:tr>
        <w:tc>
          <w:tcPr/>
          <w:p>
            <w:pPr>
              <w:pStyle w:val="Compact"/>
            </w:pPr>
            <w:r>
              <w:t xml:space="preserve">-1.00</w:t>
            </w:r>
          </w:p>
        </w:tc>
        <w:tc>
          <w:tcPr/>
          <w:p>
            <w:pPr>
              <w:pStyle w:val="Compact"/>
            </w:pPr>
            <w:r>
              <w:t xml:space="preserve">0.3927</w:t>
            </w:r>
          </w:p>
        </w:tc>
        <w:tc>
          <w:tcPr/>
          <w:p>
            <w:pPr>
              <w:pStyle w:val="Compact"/>
            </w:pPr>
            <w:r>
              <w:t xml:space="preserve">0.983744</w:t>
            </w:r>
          </w:p>
        </w:tc>
        <w:tc>
          <w:tcPr/>
          <w:p>
            <w:pPr>
              <w:pStyle w:val="Compact"/>
            </w:pPr>
            <w:r>
              <w:t xml:space="preserve">0.983771</w:t>
            </w:r>
          </w:p>
        </w:tc>
        <w:tc>
          <w:tcPr/>
          <w:p>
            <w:pPr>
              <w:pStyle w:val="Compact"/>
            </w:pPr>
            <w:r>
              <w:t xml:space="preserve">2.7e-05</w:t>
            </w:r>
          </w:p>
        </w:tc>
      </w:tr>
      <w:tr>
        <w:tc>
          <w:tcPr/>
          <w:p>
            <w:pPr>
              <w:pStyle w:val="Compact"/>
            </w:pPr>
            <w:r>
              <w:t xml:space="preserve">-2.00</w:t>
            </w:r>
          </w:p>
        </w:tc>
        <w:tc>
          <w:tcPr/>
          <w:p>
            <w:pPr>
              <w:pStyle w:val="Compact"/>
            </w:pPr>
            <w:r>
              <w:t xml:space="preserve">0.3927</w:t>
            </w:r>
          </w:p>
        </w:tc>
        <w:tc>
          <w:tcPr/>
          <w:p>
            <w:pPr>
              <w:pStyle w:val="Compact"/>
            </w:pPr>
            <w:r>
              <w:t xml:space="preserve">0.967699</w:t>
            </w:r>
          </w:p>
        </w:tc>
        <w:tc>
          <w:tcPr/>
          <w:p>
            <w:pPr>
              <w:pStyle w:val="Compact"/>
            </w:pPr>
            <w:r>
              <w:t xml:space="preserve">0.967805</w:t>
            </w:r>
          </w:p>
        </w:tc>
        <w:tc>
          <w:tcPr/>
          <w:p>
            <w:pPr>
              <w:pStyle w:val="Compact"/>
            </w:pPr>
            <w:r>
              <w:t xml:space="preserve">1.1e-04</w:t>
            </w:r>
          </w:p>
        </w:tc>
      </w:tr>
    </w:tbl>
    <w:p>
      <w:pPr>
        <w:pStyle w:val="BodyText"/>
      </w:pPr>
      <w:r>
        <w:t xml:space="preserve">Table B2. Wall-decay arm. The exact concentration cannot be predicted from the wall coefficient alone because EPANET’s first-order wall reaction is also limited by mass transfer, so what is asserted is the sign, monotonicity, and that the result stays above the mass-transfer-free limit.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k_w (m/day)</w:t>
            </w:r>
          </w:p>
        </w:tc>
        <w:tc>
          <w:tcPr/>
          <w:p>
            <w:pPr>
              <w:pStyle w:val="Compact"/>
            </w:pPr>
            <w:r>
              <w:t xml:space="preserve">EPANET C</w:t>
            </w:r>
          </w:p>
        </w:tc>
        <w:tc>
          <w:tcPr/>
          <w:p>
            <w:pPr>
              <w:pStyle w:val="Compact"/>
            </w:pPr>
            <w:r>
              <w:t xml:space="preserve">Extra decay vs k_w=0</w:t>
            </w:r>
          </w:p>
        </w:tc>
        <w:tc>
          <w:tcPr/>
          <w:p>
            <w:pPr>
              <w:pStyle w:val="Compact"/>
            </w:pPr>
            <w:r>
              <w:t xml:space="preserve">Mass-transfer-free bound</w:t>
            </w:r>
          </w:p>
        </w:tc>
        <w:tc>
          <w:tcPr/>
          <w:p>
            <w:pPr>
              <w:pStyle w:val="Compact"/>
            </w:pPr>
            <w:r>
              <w:t xml:space="preserve">Above bound</w:t>
            </w:r>
          </w:p>
        </w:tc>
      </w:tr>
      <w:tr>
        <w:tc>
          <w:tcPr/>
          <w:p>
            <w:pPr>
              <w:pStyle w:val="Compact"/>
            </w:pPr>
            <w:r>
              <w:t xml:space="preserve">0.00</w:t>
            </w:r>
          </w:p>
        </w:tc>
        <w:tc>
          <w:tcPr/>
          <w:p>
            <w:pPr>
              <w:pStyle w:val="Compact"/>
            </w:pPr>
            <w:r>
              <w:t xml:space="preserve">0.991846</w:t>
            </w:r>
          </w:p>
        </w:tc>
        <w:tc>
          <w:tcPr/>
          <w:p>
            <w:pPr>
              <w:pStyle w:val="Compact"/>
            </w:pPr>
            <w:r>
              <w:t xml:space="preserve">0.000000</w:t>
            </w:r>
          </w:p>
        </w:tc>
        <w:tc>
          <w:tcPr/>
          <w:p>
            <w:pPr>
              <w:pStyle w:val="Compact"/>
            </w:pPr>
            <w:r>
              <w:t xml:space="preserve">0.991852</w:t>
            </w:r>
          </w:p>
        </w:tc>
        <w:tc>
          <w:tcPr/>
          <w:p>
            <w:pPr>
              <w:pStyle w:val="Compact"/>
            </w:pPr>
            <w:r>
              <w:t xml:space="preserve">n/a</w:t>
            </w:r>
          </w:p>
        </w:tc>
      </w:tr>
      <w:tr>
        <w:tc>
          <w:tcPr/>
          <w:p>
            <w:pPr>
              <w:pStyle w:val="Compact"/>
            </w:pPr>
            <w:r>
              <w:t xml:space="preserve">-0.10</w:t>
            </w:r>
          </w:p>
        </w:tc>
        <w:tc>
          <w:tcPr/>
          <w:p>
            <w:pPr>
              <w:pStyle w:val="Compact"/>
            </w:pPr>
            <w:r>
              <w:t xml:space="preserve">0.971232</w:t>
            </w:r>
          </w:p>
        </w:tc>
        <w:tc>
          <w:tcPr/>
          <w:p>
            <w:pPr>
              <w:pStyle w:val="Compact"/>
            </w:pPr>
            <w:r>
              <w:t xml:space="preserve">0.020613</w:t>
            </w:r>
          </w:p>
        </w:tc>
        <w:tc>
          <w:tcPr/>
          <w:p>
            <w:pPr>
              <w:pStyle w:val="Compact"/>
            </w:pPr>
            <w:r>
              <w:t xml:space="preserve">0.970448</w:t>
            </w:r>
          </w:p>
        </w:tc>
        <w:tc>
          <w:tcPr/>
          <w:p>
            <w:pPr>
              <w:pStyle w:val="Compact"/>
            </w:pPr>
            <w:r>
              <w:t xml:space="preserve">yes</w:t>
            </w:r>
          </w:p>
        </w:tc>
      </w:tr>
      <w:tr>
        <w:tc>
          <w:tcPr/>
          <w:p>
            <w:pPr>
              <w:pStyle w:val="Compact"/>
            </w:pPr>
            <w:r>
              <w:t xml:space="preserve">-0.50</w:t>
            </w:r>
          </w:p>
        </w:tc>
        <w:tc>
          <w:tcPr/>
          <w:p>
            <w:pPr>
              <w:pStyle w:val="Compact"/>
            </w:pPr>
            <w:r>
              <w:t xml:space="preserve">0.905719</w:t>
            </w:r>
          </w:p>
        </w:tc>
        <w:tc>
          <w:tcPr/>
          <w:p>
            <w:pPr>
              <w:pStyle w:val="Compact"/>
            </w:pPr>
            <w:r>
              <w:t xml:space="preserve">0.086127</w:t>
            </w:r>
          </w:p>
        </w:tc>
        <w:tc>
          <w:tcPr/>
          <w:p>
            <w:pPr>
              <w:pStyle w:val="Compact"/>
            </w:pPr>
            <w:r>
              <w:t xml:space="preserve">0.889350</w:t>
            </w:r>
          </w:p>
        </w:tc>
        <w:tc>
          <w:tcPr/>
          <w:p>
            <w:pPr>
              <w:pStyle w:val="Compact"/>
            </w:pPr>
            <w:r>
              <w:t xml:space="preserve">yes</w:t>
            </w:r>
          </w:p>
        </w:tc>
      </w:tr>
      <w:tr>
        <w:tc>
          <w:tcPr/>
          <w:p>
            <w:pPr>
              <w:pStyle w:val="Compact"/>
            </w:pPr>
            <w:r>
              <w:t xml:space="preserve">-1.00</w:t>
            </w:r>
          </w:p>
        </w:tc>
        <w:tc>
          <w:tcPr/>
          <w:p>
            <w:pPr>
              <w:pStyle w:val="Compact"/>
            </w:pPr>
            <w:r>
              <w:t xml:space="preserve">0.849034</w:t>
            </w:r>
          </w:p>
        </w:tc>
        <w:tc>
          <w:tcPr/>
          <w:p>
            <w:pPr>
              <w:pStyle w:val="Compact"/>
            </w:pPr>
            <w:r>
              <w:t xml:space="preserve">0.142812</w:t>
            </w:r>
          </w:p>
        </w:tc>
        <w:tc>
          <w:tcPr/>
          <w:p>
            <w:pPr>
              <w:pStyle w:val="Compact"/>
            </w:pPr>
            <w:r>
              <w:t xml:space="preserve">0.797441</w:t>
            </w:r>
          </w:p>
        </w:tc>
        <w:tc>
          <w:tcPr/>
          <w:p>
            <w:pPr>
              <w:pStyle w:val="Compact"/>
            </w:pPr>
            <w:r>
              <w:t xml:space="preserve">yes</w:t>
            </w:r>
          </w:p>
        </w:tc>
      </w:tr>
      <w:tr>
        <w:tc>
          <w:tcPr/>
          <w:p>
            <w:pPr>
              <w:pStyle w:val="Compact"/>
            </w:pPr>
            <w:r>
              <w:t xml:space="preserve">-2.00</w:t>
            </w:r>
          </w:p>
        </w:tc>
        <w:tc>
          <w:tcPr/>
          <w:p>
            <w:pPr>
              <w:pStyle w:val="Compact"/>
            </w:pPr>
            <w:r>
              <w:t xml:space="preserve">0.779180</w:t>
            </w:r>
          </w:p>
        </w:tc>
        <w:tc>
          <w:tcPr/>
          <w:p>
            <w:pPr>
              <w:pStyle w:val="Compact"/>
            </w:pPr>
            <w:r>
              <w:t xml:space="preserve">0.212665</w:t>
            </w:r>
          </w:p>
        </w:tc>
        <w:tc>
          <w:tcPr/>
          <w:p>
            <w:pPr>
              <w:pStyle w:val="Compact"/>
            </w:pPr>
            <w:r>
              <w:t xml:space="preserve">0.641136</w:t>
            </w:r>
          </w:p>
        </w:tc>
        <w:tc>
          <w:tcPr/>
          <w:p>
            <w:pPr>
              <w:pStyle w:val="Compact"/>
            </w:pPr>
            <w:r>
              <w:t xml:space="preserve">yes</w:t>
            </w:r>
          </w:p>
        </w:tc>
      </w:tr>
    </w:tbl>
    <w:p>
      <w:pPr>
        <w:pStyle w:val="BodyText"/>
      </w:pPr>
      <w:r>
        <w:t xml:space="preserve">Table B3. Unit-equivalence test over 256 leading Sobol candidates. The corrected implementation reproduces the superseded one to floating-point precision. The units-only arm shows what correcting the concentrations while leaving the solver tolerance at the EPANET default would have cost.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Comparison</w:t>
            </w:r>
          </w:p>
        </w:tc>
        <w:tc>
          <w:tcPr/>
          <w:p>
            <w:pPr>
              <w:pStyle w:val="Compact"/>
            </w:pPr>
            <w:r>
              <w:t xml:space="preserve">Max absolute difference (mg L-1)</w:t>
            </w:r>
          </w:p>
        </w:tc>
        <w:tc>
          <w:tcPr/>
          <w:p>
            <w:pPr>
              <w:pStyle w:val="Compact"/>
            </w:pPr>
            <w:r>
              <w:t xml:space="preserve">Max relative difference</w:t>
            </w:r>
          </w:p>
        </w:tc>
        <w:tc>
          <w:tcPr/>
          <w:p>
            <w:pPr>
              <w:pStyle w:val="Compact"/>
            </w:pPr>
            <w:r>
              <w:t xml:space="preserve">Points below threshold</w:t>
            </w:r>
          </w:p>
        </w:tc>
        <w:tc>
          <w:tcPr/>
          <w:p>
            <w:pPr>
              <w:pStyle w:val="Compact"/>
            </w:pPr>
            <w:r>
              <w:t xml:space="preserve">Duration cells that differ</w:t>
            </w:r>
          </w:p>
        </w:tc>
      </w:tr>
      <w:tr>
        <w:tc>
          <w:tcPr/>
          <w:p>
            <w:pPr>
              <w:pStyle w:val="Compact"/>
            </w:pPr>
            <w:r>
              <w:t xml:space="preserve">corrected vs legacy</w:t>
            </w:r>
          </w:p>
        </w:tc>
        <w:tc>
          <w:tcPr/>
          <w:p>
            <w:pPr>
              <w:pStyle w:val="Compact"/>
            </w:pPr>
            <w:r>
              <w:t xml:space="preserve">1.19e-07</w:t>
            </w:r>
          </w:p>
        </w:tc>
        <w:tc>
          <w:tcPr/>
          <w:p>
            <w:pPr>
              <w:pStyle w:val="Compact"/>
            </w:pPr>
            <w:r>
              <w:t xml:space="preserve">2.33e-07</w:t>
            </w:r>
          </w:p>
        </w:tc>
        <w:tc>
          <w:tcPr/>
          <w:p>
            <w:pPr>
              <w:pStyle w:val="Compact"/>
            </w:pPr>
            <w:r>
              <w:t xml:space="preserve">79391 -&gt; 79391</w:t>
            </w:r>
          </w:p>
        </w:tc>
        <w:tc>
          <w:tcPr/>
          <w:p>
            <w:pPr>
              <w:pStyle w:val="Compact"/>
            </w:pPr>
            <w:r>
              <w:t xml:space="preserve">0 of 23552</w:t>
            </w:r>
          </w:p>
        </w:tc>
      </w:tr>
      <w:tr>
        <w:tc>
          <w:tcPr/>
          <w:p>
            <w:pPr>
              <w:pStyle w:val="Compact"/>
            </w:pPr>
            <w:r>
              <w:t xml:space="preserve">units only vs legacy</w:t>
            </w:r>
          </w:p>
        </w:tc>
        <w:tc>
          <w:tcPr/>
          <w:p>
            <w:pPr>
              <w:pStyle w:val="Compact"/>
            </w:pPr>
            <w:r>
              <w:t xml:space="preserve">2.09e-02</w:t>
            </w:r>
          </w:p>
        </w:tc>
        <w:tc>
          <w:tcPr/>
          <w:p>
            <w:pPr>
              <w:pStyle w:val="Compact"/>
            </w:pPr>
            <w:r>
              <w:t xml:space="preserve">1.78e-01</w:t>
            </w:r>
          </w:p>
        </w:tc>
        <w:tc>
          <w:tcPr/>
          <w:p>
            <w:pPr>
              <w:pStyle w:val="Compact"/>
            </w:pPr>
            <w:r>
              <w:t xml:space="preserve">79391 -&gt; 79301</w:t>
            </w:r>
          </w:p>
        </w:tc>
        <w:tc>
          <w:tcPr/>
          <w:p>
            <w:pPr>
              <w:pStyle w:val="Compact"/>
            </w:pPr>
            <w:r>
              <w:t xml:space="preserve">440 of 23552</w:t>
            </w:r>
          </w:p>
        </w:tc>
      </w:tr>
    </w:tbl>
    <w:p>
      <w:pPr>
        <w:pStyle w:val="BodyText"/>
      </w:pPr>
      <w:r>
        <w:t xml:space="preserve">The tolerance was set to</w:t>
      </w:r>
      <w:r>
        <w:t xml:space="preserve"> </w:t>
      </w:r>
      <m:oMath>
        <m:r>
          <m:t>1</m:t>
        </m:r>
        <m:r>
          <m:rPr>
            <m:sty m:val="p"/>
          </m:rPr>
          <m:t>×</m:t>
        </m:r>
        <m:sSup>
          <m:e>
            <m:r>
              <m:t>10</m:t>
            </m:r>
          </m:e>
          <m:sup>
            <m:r>
              <m:rPr>
                <m:sty m:val="p"/>
              </m:rPr>
              <m:t>−</m:t>
            </m:r>
            <m:r>
              <m:t>5</m:t>
            </m:r>
          </m:sup>
        </m:sSup>
      </m:oMath>
      <w:r>
        <w:t xml:space="preserve"> </w:t>
      </w:r>
      <w:r>
        <w:t xml:space="preserve">mg L</w:t>
      </w:r>
      <w:r>
        <w:rPr>
          <w:vertAlign w:val="superscript"/>
        </w:rPr>
        <w:t xml:space="preserve">-1</w:t>
      </w:r>
      <w:r>
        <w:t xml:space="preserve"> </w:t>
      </w:r>
      <w:r>
        <w:t xml:space="preserve">rather than left at the EPANET default of</w:t>
      </w:r>
      <w:r>
        <w:t xml:space="preserve"> </w:t>
      </w:r>
      <w:r>
        <w:t xml:space="preserve">0.01 mg L</w:t>
      </w:r>
      <w:r>
        <w:rPr>
          <w:vertAlign w:val="superscript"/>
        </w:rPr>
        <w:t xml:space="preserve">-1</w:t>
      </w:r>
      <w:r>
        <w:t xml:space="preserve">. This is a chosen numerical setting, not a unit conversion: WNTR writes the</w:t>
      </w:r>
      <w:r>
        <w:t xml:space="preserve"> </w:t>
      </w:r>
      <w:r>
        <w:t xml:space="preserve">tolerance into the input file verbatim while converting concentrations, so the file receives</w:t>
      </w:r>
      <w:r>
        <w:t xml:space="preserve"> </w:t>
      </w:r>
      <w:r>
        <w:rPr>
          <w:rStyle w:val="VerbatimChar"/>
        </w:rPr>
        <w:t xml:space="preserve">TOLERANCE 1e-05</w:t>
      </w:r>
      <w:r>
        <w:t xml:space="preserve"> </w:t>
      </w:r>
      <w:r>
        <w:t xml:space="preserve">and EPANET reads it in mg L</w:t>
      </w:r>
      <w:r>
        <w:rPr>
          <w:vertAlign w:val="superscript"/>
        </w:rPr>
        <w:t xml:space="preserve">-1</w:t>
      </w:r>
      <w:r>
        <w:t xml:space="preserve">. Holding the tolerance-to-source ratio fixed is</w:t>
      </w:r>
      <w:r>
        <w:t xml:space="preserve"> </w:t>
      </w:r>
      <w:r>
        <w:t xml:space="preserve">what allows the corrected and superseded implementations to be compared as the same numerical</w:t>
      </w:r>
      <w:r>
        <w:t xml:space="preserve"> </w:t>
      </w:r>
      <w:r>
        <w:t xml:space="preserve">experiment in Table B3.</w:t>
      </w:r>
    </w:p>
    <w:p>
      <w:pPr>
        <w:pStyle w:val="BodyText"/>
      </w:pPr>
      <w:r>
        <w:t xml:space="preserve">A related defect is worth recording for anyone reusing this toolchain. The same root cause, that</w:t>
      </w:r>
      <w:r>
        <w:t xml:space="preserve"> </w:t>
      </w:r>
      <w:r>
        <w:t xml:space="preserve">concentrations are converted on file write while some reaction coefficients are not, means a</w:t>
      </w:r>
      <w:r>
        <w:t xml:space="preserve"> </w:t>
      </w:r>
      <w:r>
        <w:t xml:space="preserve">zero-order bulk coefficient passed through the WNTR 1.4 API arrives at EPANET unscaled while the</w:t>
      </w:r>
      <w:r>
        <w:t xml:space="preserve"> </w:t>
      </w:r>
      <w:r>
        <w:t xml:space="preserve">concentrations around it have been scaled, giving reaction rates a thousand times smaller than</w:t>
      </w:r>
      <w:r>
        <w:t xml:space="preserve"> </w:t>
      </w:r>
      <w:r>
        <w:t xml:space="preserve">nominal. First-order coefficients carry no mass unit and are unaffected, which is why the checks</w:t>
      </w:r>
      <w:r>
        <w:t xml:space="preserve"> </w:t>
      </w:r>
      <w:r>
        <w:t xml:space="preserve">in Tables B1 and B2 pass either way.</w:t>
      </w:r>
    </w:p>
    <w:bookmarkEnd w:id="160"/>
    <w:bookmarkStart w:id="161" w:name="X27ef15b8fad7bb29a56bb09609875822f773d4e"/>
    <w:p>
      <w:pPr>
        <w:pStyle w:val="Heading2"/>
      </w:pPr>
      <w:r>
        <w:t xml:space="preserve">Appendix C. Threshold sweep and displaced-prior matrices</w:t>
      </w:r>
    </w:p>
    <w:p>
      <w:pPr>
        <w:pStyle w:val="FirstParagraph"/>
      </w:pPr>
      <w:r>
        <w:t xml:space="preserve">Table C1. Behavioural-threshold sweep for the informal comparator. Tightening the cut-off removes candidates but cannot restore the information factor the score omits, so the retained widths stay far above the formal values.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Threshold (mg L-1)</w:t>
            </w:r>
          </w:p>
        </w:tc>
        <w:tc>
          <w:tcPr/>
          <w:p>
            <w:pPr>
              <w:pStyle w:val="Compact"/>
            </w:pPr>
            <w:r>
              <w:t xml:space="preserve">Retained</w:t>
            </w:r>
          </w:p>
        </w:tc>
        <w:tc>
          <w:tcPr/>
          <w:p>
            <w:pPr>
              <w:pStyle w:val="Compact"/>
            </w:pPr>
            <w:r>
              <w:t xml:space="preserve">Retention</w:t>
            </w:r>
          </w:p>
        </w:tc>
        <w:tc>
          <w:tcPr/>
          <w:p>
            <w:pPr>
              <w:pStyle w:val="Compact"/>
            </w:pPr>
            <w:r>
              <w:t xml:space="preserve">SD above sigma</w:t>
            </w:r>
          </w:p>
        </w:tc>
        <w:tc>
          <w:tcPr/>
          <w:p>
            <w:pPr>
              <w:pStyle w:val="Compact"/>
            </w:pPr>
            <w:r>
              <w:t xml:space="preserve">old SD (retained)</w:t>
            </w:r>
          </w:p>
        </w:tc>
        <w:tc>
          <w:tcPr/>
          <w:p>
            <w:pPr>
              <w:pStyle w:val="Compact"/>
            </w:pPr>
            <w:r>
              <w:t xml:space="preserve">average SD (retained)</w:t>
            </w:r>
          </w:p>
        </w:tc>
        <w:tc>
          <w:tcPr/>
          <w:p>
            <w:pPr>
              <w:pStyle w:val="Compact"/>
            </w:pPr>
            <w:r>
              <w:t xml:space="preserve">new SD (retained)</w:t>
            </w:r>
          </w:p>
        </w:tc>
      </w:tr>
      <w:tr>
        <w:tc>
          <w:tcPr/>
          <w:p>
            <w:pPr>
              <w:pStyle w:val="Compact"/>
            </w:pPr>
            <w:r>
              <w:t xml:space="preserve">0.107</w:t>
            </w:r>
          </w:p>
        </w:tc>
        <w:tc>
          <w:tcPr/>
          <w:p>
            <w:pPr>
              <w:pStyle w:val="Compact"/>
            </w:pPr>
            <w:r>
              <w:t xml:space="preserve">4786</w:t>
            </w:r>
          </w:p>
        </w:tc>
        <w:tc>
          <w:tcPr/>
          <w:p>
            <w:pPr>
              <w:pStyle w:val="Compact"/>
            </w:pPr>
            <w:r>
              <w:t xml:space="preserve">58.4%</w:t>
            </w:r>
          </w:p>
        </w:tc>
        <w:tc>
          <w:tcPr/>
          <w:p>
            <w:pPr>
              <w:pStyle w:val="Compact"/>
            </w:pPr>
            <w:r>
              <w:t xml:space="preserve">1.70</w:t>
            </w:r>
          </w:p>
        </w:tc>
        <w:tc>
          <w:tcPr/>
          <w:p>
            <w:pPr>
              <w:pStyle w:val="Compact"/>
            </w:pPr>
            <w:r>
              <w:t xml:space="preserve">0.2668 (71.1%)</w:t>
            </w:r>
          </w:p>
        </w:tc>
        <w:tc>
          <w:tcPr/>
          <w:p>
            <w:pPr>
              <w:pStyle w:val="Compact"/>
            </w:pPr>
            <w:r>
              <w:t xml:space="preserve">0.0424 (91.8%)</w:t>
            </w:r>
          </w:p>
        </w:tc>
        <w:tc>
          <w:tcPr/>
          <w:p>
            <w:pPr>
              <w:pStyle w:val="Compact"/>
            </w:pPr>
            <w:r>
              <w:t xml:space="preserve">0.0242 (88.2%)</w:t>
            </w:r>
          </w:p>
        </w:tc>
      </w:tr>
      <w:tr>
        <w:tc>
          <w:tcPr/>
          <w:p>
            <w:pPr>
              <w:pStyle w:val="Compact"/>
            </w:pPr>
            <w:r>
              <w:t xml:space="preserve">0.110</w:t>
            </w:r>
          </w:p>
        </w:tc>
        <w:tc>
          <w:tcPr/>
          <w:p>
            <w:pPr>
              <w:pStyle w:val="Compact"/>
            </w:pPr>
            <w:r>
              <w:t xml:space="preserve">5668</w:t>
            </w:r>
          </w:p>
        </w:tc>
        <w:tc>
          <w:tcPr/>
          <w:p>
            <w:pPr>
              <w:pStyle w:val="Compact"/>
            </w:pPr>
            <w:r>
              <w:t xml:space="preserve">69.2%</w:t>
            </w:r>
          </w:p>
        </w:tc>
        <w:tc>
          <w:tcPr/>
          <w:p>
            <w:pPr>
              <w:pStyle w:val="Compact"/>
            </w:pPr>
            <w:r>
              <w:t xml:space="preserve">2.42</w:t>
            </w:r>
          </w:p>
        </w:tc>
        <w:tc>
          <w:tcPr/>
          <w:p>
            <w:pPr>
              <w:pStyle w:val="Compact"/>
            </w:pPr>
            <w:r>
              <w:t xml:space="preserve">0.2844 (75.8%)</w:t>
            </w:r>
          </w:p>
        </w:tc>
        <w:tc>
          <w:tcPr/>
          <w:p>
            <w:pPr>
              <w:pStyle w:val="Compact"/>
            </w:pPr>
            <w:r>
              <w:t xml:space="preserve">0.0437 (94.5%)</w:t>
            </w:r>
          </w:p>
        </w:tc>
        <w:tc>
          <w:tcPr/>
          <w:p>
            <w:pPr>
              <w:pStyle w:val="Compact"/>
            </w:pPr>
            <w:r>
              <w:t xml:space="preserve">0.0254 (92.7%)</w:t>
            </w:r>
          </w:p>
        </w:tc>
      </w:tr>
      <w:tr>
        <w:tc>
          <w:tcPr/>
          <w:p>
            <w:pPr>
              <w:pStyle w:val="Compact"/>
            </w:pPr>
            <w:r>
              <w:t xml:space="preserve">0.120</w:t>
            </w:r>
          </w:p>
        </w:tc>
        <w:tc>
          <w:tcPr/>
          <w:p>
            <w:pPr>
              <w:pStyle w:val="Compact"/>
            </w:pPr>
            <w:r>
              <w:t xml:space="preserve">7084</w:t>
            </w:r>
          </w:p>
        </w:tc>
        <w:tc>
          <w:tcPr/>
          <w:p>
            <w:pPr>
              <w:pStyle w:val="Compact"/>
            </w:pPr>
            <w:r>
              <w:t xml:space="preserve">86.5%</w:t>
            </w:r>
          </w:p>
        </w:tc>
        <w:tc>
          <w:tcPr/>
          <w:p>
            <w:pPr>
              <w:pStyle w:val="Compact"/>
            </w:pPr>
            <w:r>
              <w:t xml:space="preserve">4.85</w:t>
            </w:r>
          </w:p>
        </w:tc>
        <w:tc>
          <w:tcPr/>
          <w:p>
            <w:pPr>
              <w:pStyle w:val="Compact"/>
            </w:pPr>
            <w:r>
              <w:t xml:space="preserve">0.3220 (85.8%)</w:t>
            </w:r>
          </w:p>
        </w:tc>
        <w:tc>
          <w:tcPr/>
          <w:p>
            <w:pPr>
              <w:pStyle w:val="Compact"/>
            </w:pPr>
            <w:r>
              <w:t xml:space="preserve">0.0455 (98.4%)</w:t>
            </w:r>
          </w:p>
        </w:tc>
        <w:tc>
          <w:tcPr/>
          <w:p>
            <w:pPr>
              <w:pStyle w:val="Compact"/>
            </w:pPr>
            <w:r>
              <w:t xml:space="preserve">0.0269 (98.0%)</w:t>
            </w:r>
          </w:p>
        </w:tc>
      </w:tr>
    </w:tbl>
    <w:p>
      <w:pPr>
        <w:pStyle w:val="BodyText"/>
      </w:pPr>
      <w:r>
        <w:t xml:space="preserve">Table C2. Displaced-prior recovery over 30 noise realisations, as the median fraction of the imposed displacement recovered with its interquartile range, and the retained prior width. DOWN displaces every coefficient towards stronger decay; OLDUP displaces the old coefficient the other way.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Design</w:t>
            </w:r>
          </w:p>
        </w:tc>
        <w:tc>
          <w:tcPr/>
          <w:p>
            <w:pPr>
              <w:pStyle w:val="Compact"/>
            </w:pPr>
            <w:r>
              <w:t xml:space="preserve">Rule</w:t>
            </w:r>
          </w:p>
        </w:tc>
        <w:tc>
          <w:tcPr/>
          <w:p>
            <w:pPr>
              <w:pStyle w:val="Compact"/>
            </w:pPr>
            <w:r>
              <w:t xml:space="preserve">Coefficient</w:t>
            </w:r>
          </w:p>
        </w:tc>
        <w:tc>
          <w:tcPr/>
          <w:p>
            <w:pPr>
              <w:pStyle w:val="Compact"/>
            </w:pPr>
            <w:r>
              <w:t xml:space="preserve">Displacement recovered [IQR]</w:t>
            </w:r>
          </w:p>
        </w:tc>
        <w:tc>
          <w:tcPr/>
          <w:p>
            <w:pPr>
              <w:pStyle w:val="Compact"/>
            </w:pPr>
            <w:r>
              <w:t xml:space="preserve">Prior SD retained</w:t>
            </w:r>
          </w:p>
        </w:tc>
      </w:tr>
      <w:tr>
        <w:tc>
          <w:tcPr/>
          <w:p>
            <w:pPr>
              <w:pStyle w:val="Compact"/>
            </w:pPr>
            <w:r>
              <w:t xml:space="preserve">DOWN</w:t>
            </w:r>
          </w:p>
        </w:tc>
        <w:tc>
          <w:tcPr/>
          <w:p>
            <w:pPr>
              <w:pStyle w:val="Compact"/>
            </w:pPr>
            <w:r>
              <w:t xml:space="preserve">formal censored</w:t>
            </w:r>
          </w:p>
        </w:tc>
        <w:tc>
          <w:tcPr/>
          <w:p>
            <w:pPr>
              <w:pStyle w:val="Compact"/>
            </w:pPr>
            <w:r>
              <w:t xml:space="preserve">old</w:t>
            </w:r>
          </w:p>
        </w:tc>
        <w:tc>
          <w:tcPr/>
          <w:p>
            <w:pPr>
              <w:pStyle w:val="Compact"/>
            </w:pPr>
            <w:r>
              <w:t xml:space="preserve">88% [67-104]</w:t>
            </w:r>
          </w:p>
        </w:tc>
        <w:tc>
          <w:tcPr/>
          <w:p>
            <w:pPr>
              <w:pStyle w:val="Compact"/>
            </w:pPr>
            <w:r>
              <w:t xml:space="preserve">27%</w:t>
            </w:r>
          </w:p>
        </w:tc>
      </w:tr>
      <w:tr>
        <w:tc>
          <w:tcPr/>
          <w:p>
            <w:pPr>
              <w:pStyle w:val="Compact"/>
            </w:pPr>
            <w:r>
              <w:t xml:space="preserve">DOWN</w:t>
            </w:r>
          </w:p>
        </w:tc>
        <w:tc>
          <w:tcPr/>
          <w:p>
            <w:pPr>
              <w:pStyle w:val="Compact"/>
            </w:pPr>
            <w:r>
              <w:t xml:space="preserve">formal censored</w:t>
            </w:r>
          </w:p>
        </w:tc>
        <w:tc>
          <w:tcPr/>
          <w:p>
            <w:pPr>
              <w:pStyle w:val="Compact"/>
            </w:pPr>
            <w:r>
              <w:t xml:space="preserve">avg</w:t>
            </w:r>
          </w:p>
        </w:tc>
        <w:tc>
          <w:tcPr/>
          <w:p>
            <w:pPr>
              <w:pStyle w:val="Compact"/>
            </w:pPr>
            <w:r>
              <w:t xml:space="preserve">95% [75-110]</w:t>
            </w:r>
          </w:p>
        </w:tc>
        <w:tc>
          <w:tcPr/>
          <w:p>
            <w:pPr>
              <w:pStyle w:val="Compact"/>
            </w:pPr>
            <w:r>
              <w:t xml:space="preserve">29%</w:t>
            </w:r>
          </w:p>
        </w:tc>
      </w:tr>
      <w:tr>
        <w:tc>
          <w:tcPr/>
          <w:p>
            <w:pPr>
              <w:pStyle w:val="Compact"/>
            </w:pPr>
            <w:r>
              <w:t xml:space="preserve">DOWN</w:t>
            </w:r>
          </w:p>
        </w:tc>
        <w:tc>
          <w:tcPr/>
          <w:p>
            <w:pPr>
              <w:pStyle w:val="Compact"/>
            </w:pPr>
            <w:r>
              <w:t xml:space="preserve">formal censored</w:t>
            </w:r>
          </w:p>
        </w:tc>
        <w:tc>
          <w:tcPr/>
          <w:p>
            <w:pPr>
              <w:pStyle w:val="Compact"/>
            </w:pPr>
            <w:r>
              <w:t xml:space="preserve">new</w:t>
            </w:r>
          </w:p>
        </w:tc>
        <w:tc>
          <w:tcPr/>
          <w:p>
            <w:pPr>
              <w:pStyle w:val="Compact"/>
            </w:pPr>
            <w:r>
              <w:t xml:space="preserve">96% [80-122]</w:t>
            </w:r>
          </w:p>
        </w:tc>
        <w:tc>
          <w:tcPr/>
          <w:p>
            <w:pPr>
              <w:pStyle w:val="Compact"/>
            </w:pPr>
            <w:r>
              <w:t xml:space="preserve">28%</w:t>
            </w:r>
          </w:p>
        </w:tc>
      </w:tr>
      <w:tr>
        <w:tc>
          <w:tcPr/>
          <w:p>
            <w:pPr>
              <w:pStyle w:val="Compact"/>
            </w:pPr>
            <w:r>
              <w:t xml:space="preserve">DOWN</w:t>
            </w:r>
          </w:p>
        </w:tc>
        <w:tc>
          <w:tcPr/>
          <w:p>
            <w:pPr>
              <w:pStyle w:val="Compact"/>
            </w:pPr>
            <w:r>
              <w:t xml:space="preserve">informal glue@0.107</w:t>
            </w:r>
          </w:p>
        </w:tc>
        <w:tc>
          <w:tcPr/>
          <w:p>
            <w:pPr>
              <w:pStyle w:val="Compact"/>
            </w:pPr>
            <w:r>
              <w:t xml:space="preserve">old</w:t>
            </w:r>
          </w:p>
        </w:tc>
        <w:tc>
          <w:tcPr/>
          <w:p>
            <w:pPr>
              <w:pStyle w:val="Compact"/>
            </w:pPr>
            <w:r>
              <w:t xml:space="preserve">28% [14-55]</w:t>
            </w:r>
          </w:p>
        </w:tc>
        <w:tc>
          <w:tcPr/>
          <w:p>
            <w:pPr>
              <w:pStyle w:val="Compact"/>
            </w:pPr>
            <w:r>
              <w:t xml:space="preserve">92%</w:t>
            </w:r>
          </w:p>
        </w:tc>
      </w:tr>
      <w:tr>
        <w:tc>
          <w:tcPr/>
          <w:p>
            <w:pPr>
              <w:pStyle w:val="Compact"/>
            </w:pPr>
            <w:r>
              <w:t xml:space="preserve">DOWN</w:t>
            </w:r>
          </w:p>
        </w:tc>
        <w:tc>
          <w:tcPr/>
          <w:p>
            <w:pPr>
              <w:pStyle w:val="Compact"/>
            </w:pPr>
            <w:r>
              <w:t xml:space="preserve">informal glue@0.107</w:t>
            </w:r>
          </w:p>
        </w:tc>
        <w:tc>
          <w:tcPr/>
          <w:p>
            <w:pPr>
              <w:pStyle w:val="Compact"/>
            </w:pPr>
            <w:r>
              <w:t xml:space="preserve">avg</w:t>
            </w:r>
          </w:p>
        </w:tc>
        <w:tc>
          <w:tcPr/>
          <w:p>
            <w:pPr>
              <w:pStyle w:val="Compact"/>
            </w:pPr>
            <w:r>
              <w:t xml:space="preserve">43% [27-58]</w:t>
            </w:r>
          </w:p>
        </w:tc>
        <w:tc>
          <w:tcPr/>
          <w:p>
            <w:pPr>
              <w:pStyle w:val="Compact"/>
            </w:pPr>
            <w:r>
              <w:t xml:space="preserve">87%</w:t>
            </w:r>
          </w:p>
        </w:tc>
      </w:tr>
      <w:tr>
        <w:tc>
          <w:tcPr/>
          <w:p>
            <w:pPr>
              <w:pStyle w:val="Compact"/>
            </w:pPr>
            <w:r>
              <w:t xml:space="preserve">DOWN</w:t>
            </w:r>
          </w:p>
        </w:tc>
        <w:tc>
          <w:tcPr/>
          <w:p>
            <w:pPr>
              <w:pStyle w:val="Compact"/>
            </w:pPr>
            <w:r>
              <w:t xml:space="preserve">informal glue@0.107</w:t>
            </w:r>
          </w:p>
        </w:tc>
        <w:tc>
          <w:tcPr/>
          <w:p>
            <w:pPr>
              <w:pStyle w:val="Compact"/>
            </w:pPr>
            <w:r>
              <w:t xml:space="preserve">new</w:t>
            </w:r>
          </w:p>
        </w:tc>
        <w:tc>
          <w:tcPr/>
          <w:p>
            <w:pPr>
              <w:pStyle w:val="Compact"/>
            </w:pPr>
            <w:r>
              <w:t xml:space="preserve">78% [56-82]</w:t>
            </w:r>
          </w:p>
        </w:tc>
        <w:tc>
          <w:tcPr/>
          <w:p>
            <w:pPr>
              <w:pStyle w:val="Compact"/>
            </w:pPr>
            <w:r>
              <w:t xml:space="preserve">65%</w:t>
            </w:r>
          </w:p>
        </w:tc>
      </w:tr>
      <w:tr>
        <w:tc>
          <w:tcPr/>
          <w:p>
            <w:pPr>
              <w:pStyle w:val="Compact"/>
            </w:pPr>
            <w:r>
              <w:t xml:space="preserve">DOWN</w:t>
            </w:r>
          </w:p>
        </w:tc>
        <w:tc>
          <w:tcPr/>
          <w:p>
            <w:pPr>
              <w:pStyle w:val="Compact"/>
            </w:pPr>
            <w:r>
              <w:t xml:space="preserve">informal glue@0.12</w:t>
            </w:r>
          </w:p>
        </w:tc>
        <w:tc>
          <w:tcPr/>
          <w:p>
            <w:pPr>
              <w:pStyle w:val="Compact"/>
            </w:pPr>
            <w:r>
              <w:t xml:space="preserve">old</w:t>
            </w:r>
          </w:p>
        </w:tc>
        <w:tc>
          <w:tcPr/>
          <w:p>
            <w:pPr>
              <w:pStyle w:val="Compact"/>
            </w:pPr>
            <w:r>
              <w:t xml:space="preserve">9% [5-13]</w:t>
            </w:r>
          </w:p>
        </w:tc>
        <w:tc>
          <w:tcPr/>
          <w:p>
            <w:pPr>
              <w:pStyle w:val="Compact"/>
            </w:pPr>
            <w:r>
              <w:t xml:space="preserve">99%</w:t>
            </w:r>
          </w:p>
        </w:tc>
      </w:tr>
      <w:tr>
        <w:tc>
          <w:tcPr/>
          <w:p>
            <w:pPr>
              <w:pStyle w:val="Compact"/>
            </w:pPr>
            <w:r>
              <w:t xml:space="preserve">DOWN</w:t>
            </w:r>
          </w:p>
        </w:tc>
        <w:tc>
          <w:tcPr/>
          <w:p>
            <w:pPr>
              <w:pStyle w:val="Compact"/>
            </w:pPr>
            <w:r>
              <w:t xml:space="preserve">informal glue@0.12</w:t>
            </w:r>
          </w:p>
        </w:tc>
        <w:tc>
          <w:tcPr/>
          <w:p>
            <w:pPr>
              <w:pStyle w:val="Compact"/>
            </w:pPr>
            <w:r>
              <w:t xml:space="preserve">avg</w:t>
            </w:r>
          </w:p>
        </w:tc>
        <w:tc>
          <w:tcPr/>
          <w:p>
            <w:pPr>
              <w:pStyle w:val="Compact"/>
            </w:pPr>
            <w:r>
              <w:t xml:space="preserve">14% [10-19]</w:t>
            </w:r>
          </w:p>
        </w:tc>
        <w:tc>
          <w:tcPr/>
          <w:p>
            <w:pPr>
              <w:pStyle w:val="Compact"/>
            </w:pPr>
            <w:r>
              <w:t xml:space="preserve">97%</w:t>
            </w:r>
          </w:p>
        </w:tc>
      </w:tr>
      <w:tr>
        <w:tc>
          <w:tcPr/>
          <w:p>
            <w:pPr>
              <w:pStyle w:val="Compact"/>
            </w:pPr>
            <w:r>
              <w:t xml:space="preserve">DOWN</w:t>
            </w:r>
          </w:p>
        </w:tc>
        <w:tc>
          <w:tcPr/>
          <w:p>
            <w:pPr>
              <w:pStyle w:val="Compact"/>
            </w:pPr>
            <w:r>
              <w:t xml:space="preserve">informal glue@0.12</w:t>
            </w:r>
          </w:p>
        </w:tc>
        <w:tc>
          <w:tcPr/>
          <w:p>
            <w:pPr>
              <w:pStyle w:val="Compact"/>
            </w:pPr>
            <w:r>
              <w:t xml:space="preserve">new</w:t>
            </w:r>
          </w:p>
        </w:tc>
        <w:tc>
          <w:tcPr/>
          <w:p>
            <w:pPr>
              <w:pStyle w:val="Compact"/>
            </w:pPr>
            <w:r>
              <w:t xml:space="preserve">23% [14-32]</w:t>
            </w:r>
          </w:p>
        </w:tc>
        <w:tc>
          <w:tcPr/>
          <w:p>
            <w:pPr>
              <w:pStyle w:val="Compact"/>
            </w:pPr>
            <w:r>
              <w:t xml:space="preserve">92%</w:t>
            </w:r>
          </w:p>
        </w:tc>
      </w:tr>
      <w:tr>
        <w:tc>
          <w:tcPr/>
          <w:p>
            <w:pPr>
              <w:pStyle w:val="Compact"/>
            </w:pPr>
            <w:r>
              <w:t xml:space="preserve">OLDUP</w:t>
            </w:r>
          </w:p>
        </w:tc>
        <w:tc>
          <w:tcPr/>
          <w:p>
            <w:pPr>
              <w:pStyle w:val="Compact"/>
            </w:pPr>
            <w:r>
              <w:t xml:space="preserve">formal censored</w:t>
            </w:r>
          </w:p>
        </w:tc>
        <w:tc>
          <w:tcPr/>
          <w:p>
            <w:pPr>
              <w:pStyle w:val="Compact"/>
            </w:pPr>
            <w:r>
              <w:t xml:space="preserve">old</w:t>
            </w:r>
          </w:p>
        </w:tc>
        <w:tc>
          <w:tcPr/>
          <w:p>
            <w:pPr>
              <w:pStyle w:val="Compact"/>
            </w:pPr>
            <w:r>
              <w:t xml:space="preserve">112% [95-132]</w:t>
            </w:r>
          </w:p>
        </w:tc>
        <w:tc>
          <w:tcPr/>
          <w:p>
            <w:pPr>
              <w:pStyle w:val="Compact"/>
            </w:pPr>
            <w:r>
              <w:t xml:space="preserve">25%</w:t>
            </w:r>
          </w:p>
        </w:tc>
      </w:tr>
      <w:tr>
        <w:tc>
          <w:tcPr/>
          <w:p>
            <w:pPr>
              <w:pStyle w:val="Compact"/>
            </w:pPr>
            <w:r>
              <w:t xml:space="preserve">OLDUP</w:t>
            </w:r>
          </w:p>
        </w:tc>
        <w:tc>
          <w:tcPr/>
          <w:p>
            <w:pPr>
              <w:pStyle w:val="Compact"/>
            </w:pPr>
            <w:r>
              <w:t xml:space="preserve">formal censored</w:t>
            </w:r>
          </w:p>
        </w:tc>
        <w:tc>
          <w:tcPr/>
          <w:p>
            <w:pPr>
              <w:pStyle w:val="Compact"/>
            </w:pPr>
            <w:r>
              <w:t xml:space="preserve">avg</w:t>
            </w:r>
          </w:p>
        </w:tc>
        <w:tc>
          <w:tcPr/>
          <w:p>
            <w:pPr>
              <w:pStyle w:val="Compact"/>
            </w:pPr>
            <w:r>
              <w:t xml:space="preserve">95% [75-111]</w:t>
            </w:r>
          </w:p>
        </w:tc>
        <w:tc>
          <w:tcPr/>
          <w:p>
            <w:pPr>
              <w:pStyle w:val="Compact"/>
            </w:pPr>
            <w:r>
              <w:t xml:space="preserve">29%</w:t>
            </w:r>
          </w:p>
        </w:tc>
      </w:tr>
      <w:tr>
        <w:tc>
          <w:tcPr/>
          <w:p>
            <w:pPr>
              <w:pStyle w:val="Compact"/>
            </w:pPr>
            <w:r>
              <w:t xml:space="preserve">OLDUP</w:t>
            </w:r>
          </w:p>
        </w:tc>
        <w:tc>
          <w:tcPr/>
          <w:p>
            <w:pPr>
              <w:pStyle w:val="Compact"/>
            </w:pPr>
            <w:r>
              <w:t xml:space="preserve">formal censored</w:t>
            </w:r>
          </w:p>
        </w:tc>
        <w:tc>
          <w:tcPr/>
          <w:p>
            <w:pPr>
              <w:pStyle w:val="Compact"/>
            </w:pPr>
            <w:r>
              <w:t xml:space="preserve">new</w:t>
            </w:r>
          </w:p>
        </w:tc>
        <w:tc>
          <w:tcPr/>
          <w:p>
            <w:pPr>
              <w:pStyle w:val="Compact"/>
            </w:pPr>
            <w:r>
              <w:t xml:space="preserve">96% [80-122]</w:t>
            </w:r>
          </w:p>
        </w:tc>
        <w:tc>
          <w:tcPr/>
          <w:p>
            <w:pPr>
              <w:pStyle w:val="Compact"/>
            </w:pPr>
            <w:r>
              <w:t xml:space="preserve">29%</w:t>
            </w:r>
          </w:p>
        </w:tc>
      </w:tr>
      <w:tr>
        <w:tc>
          <w:tcPr/>
          <w:p>
            <w:pPr>
              <w:pStyle w:val="Compact"/>
            </w:pPr>
            <w:r>
              <w:t xml:space="preserve">OLDUP</w:t>
            </w:r>
          </w:p>
        </w:tc>
        <w:tc>
          <w:tcPr/>
          <w:p>
            <w:pPr>
              <w:pStyle w:val="Compact"/>
            </w:pPr>
            <w:r>
              <w:t xml:space="preserve">informal glue@0.107</w:t>
            </w:r>
          </w:p>
        </w:tc>
        <w:tc>
          <w:tcPr/>
          <w:p>
            <w:pPr>
              <w:pStyle w:val="Compact"/>
            </w:pPr>
            <w:r>
              <w:t xml:space="preserve">old</w:t>
            </w:r>
          </w:p>
        </w:tc>
        <w:tc>
          <w:tcPr/>
          <w:p>
            <w:pPr>
              <w:pStyle w:val="Compact"/>
            </w:pPr>
            <w:r>
              <w:t xml:space="preserve">85% [75-94]</w:t>
            </w:r>
          </w:p>
        </w:tc>
        <w:tc>
          <w:tcPr/>
          <w:p>
            <w:pPr>
              <w:pStyle w:val="Compact"/>
            </w:pPr>
            <w:r>
              <w:t xml:space="preserve">52%</w:t>
            </w:r>
          </w:p>
        </w:tc>
      </w:tr>
      <w:tr>
        <w:tc>
          <w:tcPr/>
          <w:p>
            <w:pPr>
              <w:pStyle w:val="Compact"/>
            </w:pPr>
            <w:r>
              <w:t xml:space="preserve">OLDUP</w:t>
            </w:r>
          </w:p>
        </w:tc>
        <w:tc>
          <w:tcPr/>
          <w:p>
            <w:pPr>
              <w:pStyle w:val="Compact"/>
            </w:pPr>
            <w:r>
              <w:t xml:space="preserve">informal glue@0.107</w:t>
            </w:r>
          </w:p>
        </w:tc>
        <w:tc>
          <w:tcPr/>
          <w:p>
            <w:pPr>
              <w:pStyle w:val="Compact"/>
            </w:pPr>
            <w:r>
              <w:t xml:space="preserve">avg</w:t>
            </w:r>
          </w:p>
        </w:tc>
        <w:tc>
          <w:tcPr/>
          <w:p>
            <w:pPr>
              <w:pStyle w:val="Compact"/>
            </w:pPr>
            <w:r>
              <w:t xml:space="preserve">43% [29-60]</w:t>
            </w:r>
          </w:p>
        </w:tc>
        <w:tc>
          <w:tcPr/>
          <w:p>
            <w:pPr>
              <w:pStyle w:val="Compact"/>
            </w:pPr>
            <w:r>
              <w:t xml:space="preserve">88%</w:t>
            </w:r>
          </w:p>
        </w:tc>
      </w:tr>
      <w:tr>
        <w:tc>
          <w:tcPr/>
          <w:p>
            <w:pPr>
              <w:pStyle w:val="Compact"/>
            </w:pPr>
            <w:r>
              <w:t xml:space="preserve">OLDUP</w:t>
            </w:r>
          </w:p>
        </w:tc>
        <w:tc>
          <w:tcPr/>
          <w:p>
            <w:pPr>
              <w:pStyle w:val="Compact"/>
            </w:pPr>
            <w:r>
              <w:t xml:space="preserve">informal glue@0.107</w:t>
            </w:r>
          </w:p>
        </w:tc>
        <w:tc>
          <w:tcPr/>
          <w:p>
            <w:pPr>
              <w:pStyle w:val="Compact"/>
            </w:pPr>
            <w:r>
              <w:t xml:space="preserve">new</w:t>
            </w:r>
          </w:p>
        </w:tc>
        <w:tc>
          <w:tcPr/>
          <w:p>
            <w:pPr>
              <w:pStyle w:val="Compact"/>
            </w:pPr>
            <w:r>
              <w:t xml:space="preserve">66% [42-71]</w:t>
            </w:r>
          </w:p>
        </w:tc>
        <w:tc>
          <w:tcPr/>
          <w:p>
            <w:pPr>
              <w:pStyle w:val="Compact"/>
            </w:pPr>
            <w:r>
              <w:t xml:space="preserve">69%</w:t>
            </w:r>
          </w:p>
        </w:tc>
      </w:tr>
      <w:tr>
        <w:tc>
          <w:tcPr/>
          <w:p>
            <w:pPr>
              <w:pStyle w:val="Compact"/>
            </w:pPr>
            <w:r>
              <w:t xml:space="preserve">OLDUP</w:t>
            </w:r>
          </w:p>
        </w:tc>
        <w:tc>
          <w:tcPr/>
          <w:p>
            <w:pPr>
              <w:pStyle w:val="Compact"/>
            </w:pPr>
            <w:r>
              <w:t xml:space="preserve">informal glue@0.12</w:t>
            </w:r>
          </w:p>
        </w:tc>
        <w:tc>
          <w:tcPr/>
          <w:p>
            <w:pPr>
              <w:pStyle w:val="Compact"/>
            </w:pPr>
            <w:r>
              <w:t xml:space="preserve">old</w:t>
            </w:r>
          </w:p>
        </w:tc>
        <w:tc>
          <w:tcPr/>
          <w:p>
            <w:pPr>
              <w:pStyle w:val="Compact"/>
            </w:pPr>
            <w:r>
              <w:t xml:space="preserve">61% [54-64]</w:t>
            </w:r>
          </w:p>
        </w:tc>
        <w:tc>
          <w:tcPr/>
          <w:p>
            <w:pPr>
              <w:pStyle w:val="Compact"/>
            </w:pPr>
            <w:r>
              <w:t xml:space="preserve">68%</w:t>
            </w:r>
          </w:p>
        </w:tc>
      </w:tr>
      <w:tr>
        <w:tc>
          <w:tcPr/>
          <w:p>
            <w:pPr>
              <w:pStyle w:val="Compact"/>
            </w:pPr>
            <w:r>
              <w:t xml:space="preserve">OLDUP</w:t>
            </w:r>
          </w:p>
        </w:tc>
        <w:tc>
          <w:tcPr/>
          <w:p>
            <w:pPr>
              <w:pStyle w:val="Compact"/>
            </w:pPr>
            <w:r>
              <w:t xml:space="preserve">informal glue@0.12</w:t>
            </w:r>
          </w:p>
        </w:tc>
        <w:tc>
          <w:tcPr/>
          <w:p>
            <w:pPr>
              <w:pStyle w:val="Compact"/>
            </w:pPr>
            <w:r>
              <w:t xml:space="preserve">avg</w:t>
            </w:r>
          </w:p>
        </w:tc>
        <w:tc>
          <w:tcPr/>
          <w:p>
            <w:pPr>
              <w:pStyle w:val="Compact"/>
            </w:pPr>
            <w:r>
              <w:t xml:space="preserve">15% [10-20]</w:t>
            </w:r>
          </w:p>
        </w:tc>
        <w:tc>
          <w:tcPr/>
          <w:p>
            <w:pPr>
              <w:pStyle w:val="Compact"/>
            </w:pPr>
            <w:r>
              <w:t xml:space="preserve">97%</w:t>
            </w:r>
          </w:p>
        </w:tc>
      </w:tr>
      <w:tr>
        <w:tc>
          <w:tcPr/>
          <w:p>
            <w:pPr>
              <w:pStyle w:val="Compact"/>
            </w:pPr>
            <w:r>
              <w:t xml:space="preserve">OLDUP</w:t>
            </w:r>
          </w:p>
        </w:tc>
        <w:tc>
          <w:tcPr/>
          <w:p>
            <w:pPr>
              <w:pStyle w:val="Compact"/>
            </w:pPr>
            <w:r>
              <w:t xml:space="preserve">informal glue@0.12</w:t>
            </w:r>
          </w:p>
        </w:tc>
        <w:tc>
          <w:tcPr/>
          <w:p>
            <w:pPr>
              <w:pStyle w:val="Compact"/>
            </w:pPr>
            <w:r>
              <w:t xml:space="preserve">new</w:t>
            </w:r>
          </w:p>
        </w:tc>
        <w:tc>
          <w:tcPr/>
          <w:p>
            <w:pPr>
              <w:pStyle w:val="Compact"/>
            </w:pPr>
            <w:r>
              <w:t xml:space="preserve">14% [9-21]</w:t>
            </w:r>
          </w:p>
        </w:tc>
        <w:tc>
          <w:tcPr/>
          <w:p>
            <w:pPr>
              <w:pStyle w:val="Compact"/>
            </w:pPr>
            <w:r>
              <w:t xml:space="preserve">95%</w:t>
            </w:r>
          </w:p>
        </w:tc>
      </w:tr>
    </w:tbl>
    <w:bookmarkEnd w:id="161"/>
    <w:bookmarkStart w:id="162" w:name="appendix-d.-fisher-information-mechanics"/>
    <w:p>
      <w:pPr>
        <w:pStyle w:val="Heading2"/>
      </w:pPr>
      <w:r>
        <w:t xml:space="preserve">Appendix D. Fisher information mechanics</w:t>
      </w:r>
    </w:p>
    <w:p>
      <w:pPr>
        <w:pStyle w:val="FirstParagraph"/>
      </w:pPr>
      <w:r>
        <w:t xml:space="preserve">Bounds for the three wall-decay coefficients under nested nuisance models are computed from the</w:t>
      </w:r>
      <w:r>
        <w:t xml:space="preserve"> </w:t>
      </w:r>
      <w:r>
        <w:t xml:space="preserve">marginal information, that is the Schur complement</w:t>
      </w:r>
      <w:r>
        <w:t xml:space="preserve"> </w:t>
      </w:r>
      <m:oMath>
        <m:sSub>
          <m:e>
            <m:r>
              <m:rPr>
                <m:sty m:val="bi"/>
              </m:rPr>
              <m:t>F</m:t>
            </m:r>
          </m:e>
          <m:sub>
            <m:r>
              <m:t>p</m:t>
            </m:r>
            <m:r>
              <m:t>p</m:t>
            </m:r>
          </m:sub>
        </m:sSub>
        <m:r>
          <m:rPr>
            <m:sty m:val="p"/>
          </m:rPr>
          <m:t>−</m:t>
        </m:r>
        <m:sSub>
          <m:e>
            <m:r>
              <m:rPr>
                <m:sty m:val="bi"/>
              </m:rPr>
              <m:t>F</m:t>
            </m:r>
          </m:e>
          <m:sub>
            <m:r>
              <m:t>p</m:t>
            </m:r>
            <m:r>
              <m:t>n</m:t>
            </m:r>
          </m:sub>
        </m:sSub>
        <m:sSubSup>
          <m:e>
            <m:r>
              <m:rPr>
                <m:sty m:val="bi"/>
              </m:rPr>
              <m:t>F</m:t>
            </m:r>
          </m:e>
          <m:sub>
            <m:r>
              <m:t>n</m:t>
            </m:r>
            <m:r>
              <m:t>n</m:t>
            </m:r>
          </m:sub>
          <m:sup>
            <m:r>
              <m:rPr>
                <m:sty m:val="p"/>
              </m:rPr>
              <m:t>−</m:t>
            </m:r>
            <m:r>
              <m:t>1</m:t>
            </m:r>
          </m:sup>
        </m:sSubSup>
        <m:sSub>
          <m:e>
            <m:r>
              <m:rPr>
                <m:sty m:val="bi"/>
              </m:rPr>
              <m:t>F</m:t>
            </m:r>
          </m:e>
          <m:sub>
            <m:r>
              <m:t>n</m:t>
            </m:r>
            <m:r>
              <m:t>p</m:t>
            </m:r>
          </m:sub>
        </m:sSub>
      </m:oMath>
      <w:r>
        <w:t xml:space="preserve">, where</w:t>
      </w:r>
      <w:r>
        <w:t xml:space="preserve"> </w:t>
      </w:r>
      <m:oMath>
        <m:r>
          <m:t>p</m:t>
        </m:r>
      </m:oMath>
      <w:r>
        <w:t xml:space="preserve"> </w:t>
      </w:r>
      <w:r>
        <w:t xml:space="preserve">indexes the wall coefficients and</w:t>
      </w:r>
      <w:r>
        <w:t xml:space="preserve"> </w:t>
      </w:r>
      <m:oMath>
        <m:r>
          <m:t>n</m:t>
        </m:r>
      </m:oMath>
      <w:r>
        <w:t xml:space="preserve"> </w:t>
      </w:r>
      <w:r>
        <w:t xml:space="preserve">the</w:t>
      </w:r>
      <w:r>
        <w:t xml:space="preserve"> </w:t>
      </w:r>
      <w:r>
        <w:t xml:space="preserve">nuisance parameters admitted in that case. This is the bound on the wall coefficients after the</w:t>
      </w:r>
      <w:r>
        <w:t xml:space="preserve"> </w:t>
      </w:r>
      <w:r>
        <w:t xml:space="preserve">nuisance parameters have been accounted for, not the bound that would apply if they were known.</w:t>
      </w:r>
    </w:p>
    <w:p>
      <w:pPr>
        <w:pStyle w:val="BodyText"/>
      </w:pPr>
      <w:r>
        <w:t xml:space="preserve">Table D1. Cramer-Rao bounds under nested nuisance models, obtained from the marginal (Schur) information. Percentages are the bound as a fraction of the prior standard deviation.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Case</w:t>
            </w:r>
          </w:p>
        </w:tc>
        <w:tc>
          <w:tcPr/>
          <w:p>
            <w:pPr>
              <w:pStyle w:val="Compact"/>
            </w:pPr>
            <w:r>
              <w:t xml:space="preserve">Condition number</w:t>
            </w:r>
          </w:p>
        </w:tc>
        <w:tc>
          <w:tcPr/>
          <w:p>
            <w:pPr>
              <w:pStyle w:val="Compact"/>
            </w:pPr>
            <w:r>
              <w:t xml:space="preserve">old</w:t>
            </w:r>
          </w:p>
        </w:tc>
        <w:tc>
          <w:tcPr/>
          <w:p>
            <w:pPr>
              <w:pStyle w:val="Compact"/>
            </w:pPr>
            <w:r>
              <w:t xml:space="preserve">average</w:t>
            </w:r>
          </w:p>
        </w:tc>
        <w:tc>
          <w:tcPr/>
          <w:p>
            <w:pPr>
              <w:pStyle w:val="Compact"/>
            </w:pPr>
            <w:r>
              <w:t xml:space="preserve">new</w:t>
            </w:r>
          </w:p>
        </w:tc>
      </w:tr>
      <w:tr>
        <w:tc>
          <w:tcPr/>
          <w:p>
            <w:pPr>
              <w:pStyle w:val="Compact"/>
            </w:pPr>
            <w:r>
              <w:t xml:space="preserve">A: kw only</w:t>
            </w:r>
          </w:p>
        </w:tc>
        <w:tc>
          <w:tcPr/>
          <w:p>
            <w:pPr>
              <w:pStyle w:val="Compact"/>
            </w:pPr>
            <w:r>
              <w:t xml:space="preserve">214.7</w:t>
            </w:r>
          </w:p>
        </w:tc>
        <w:tc>
          <w:tcPr/>
          <w:p>
            <w:pPr>
              <w:pStyle w:val="Compact"/>
            </w:pPr>
            <w:r>
              <w:t xml:space="preserve">0.0947 (25%)</w:t>
            </w:r>
          </w:p>
        </w:tc>
        <w:tc>
          <w:tcPr/>
          <w:p>
            <w:pPr>
              <w:pStyle w:val="Compact"/>
            </w:pPr>
            <w:r>
              <w:t xml:space="preserve">0.0135 (29%)</w:t>
            </w:r>
          </w:p>
        </w:tc>
        <w:tc>
          <w:tcPr/>
          <w:p>
            <w:pPr>
              <w:pStyle w:val="Compact"/>
            </w:pPr>
            <w:r>
              <w:t xml:space="preserve">0.0080 (29%)</w:t>
            </w:r>
          </w:p>
        </w:tc>
      </w:tr>
      <w:tr>
        <w:tc>
          <w:tcPr/>
          <w:p>
            <w:pPr>
              <w:pStyle w:val="Compact"/>
            </w:pPr>
            <w:r>
              <w:t xml:space="preserve">B: kw+kb</w:t>
            </w:r>
          </w:p>
        </w:tc>
        <w:tc>
          <w:tcPr/>
          <w:p>
            <w:pPr>
              <w:pStyle w:val="Compact"/>
            </w:pPr>
            <w:r>
              <w:t xml:space="preserve">100.5</w:t>
            </w:r>
          </w:p>
        </w:tc>
        <w:tc>
          <w:tcPr/>
          <w:p>
            <w:pPr>
              <w:pStyle w:val="Compact"/>
            </w:pPr>
            <w:r>
              <w:t xml:space="preserve">0.1131 (30%)</w:t>
            </w:r>
          </w:p>
        </w:tc>
        <w:tc>
          <w:tcPr/>
          <w:p>
            <w:pPr>
              <w:pStyle w:val="Compact"/>
            </w:pPr>
            <w:r>
              <w:t xml:space="preserve">0.0248 (54%)</w:t>
            </w:r>
          </w:p>
        </w:tc>
        <w:tc>
          <w:tcPr/>
          <w:p>
            <w:pPr>
              <w:pStyle w:val="Compact"/>
            </w:pPr>
            <w:r>
              <w:t xml:space="preserve">0.0148 (54%)</w:t>
            </w:r>
          </w:p>
        </w:tc>
      </w:tr>
      <w:tr>
        <w:tc>
          <w:tcPr/>
          <w:p>
            <w:pPr>
              <w:pStyle w:val="Compact"/>
            </w:pPr>
            <w:r>
              <w:t xml:space="preserve">C: kw+kb+6 offsets</w:t>
            </w:r>
          </w:p>
        </w:tc>
        <w:tc>
          <w:tcPr/>
          <w:p>
            <w:pPr>
              <w:pStyle w:val="Compact"/>
            </w:pPr>
            <w:r>
              <w:t xml:space="preserve">88.0</w:t>
            </w:r>
          </w:p>
        </w:tc>
        <w:tc>
          <w:tcPr/>
          <w:p>
            <w:pPr>
              <w:pStyle w:val="Compact"/>
            </w:pPr>
            <w:r>
              <w:t xml:space="preserve">0.2509 (67%)</w:t>
            </w:r>
          </w:p>
        </w:tc>
        <w:tc>
          <w:tcPr/>
          <w:p>
            <w:pPr>
              <w:pStyle w:val="Compact"/>
            </w:pPr>
            <w:r>
              <w:t xml:space="preserve">0.1036 (224%)</w:t>
            </w:r>
          </w:p>
        </w:tc>
        <w:tc>
          <w:tcPr/>
          <w:p>
            <w:pPr>
              <w:pStyle w:val="Compact"/>
            </w:pPr>
            <w:r>
              <w:t xml:space="preserve">0.0299 (109%)</w:t>
            </w:r>
          </w:p>
        </w:tc>
      </w:tr>
    </w:tbl>
    <w:p>
      <w:pPr>
        <w:pStyle w:val="BodyText"/>
      </w:pPr>
      <w:r>
        <w:t xml:space="preserve">Table D2. Finite-difference step convergence for the Jacobian. Steps are scale-dependent rather than shared, because one absolute step would be a 2% perturbation of the old coefficient and a 40% perturbation of the new one.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Coefficient</w:t>
            </w:r>
          </w:p>
        </w:tc>
        <w:tc>
          <w:tcPr/>
          <w:p>
            <w:pPr>
              <w:pStyle w:val="Compact"/>
            </w:pPr>
            <w:r>
              <w:t xml:space="preserve">Step</w:t>
            </w:r>
          </w:p>
        </w:tc>
        <w:tc>
          <w:tcPr/>
          <w:p>
            <w:pPr>
              <w:pStyle w:val="Compact"/>
            </w:pPr>
            <w:r>
              <w:t xml:space="preserve">As % of truth</w:t>
            </w:r>
          </w:p>
        </w:tc>
        <w:tc>
          <w:tcPr/>
          <w:p>
            <w:pPr>
              <w:pStyle w:val="Compact"/>
            </w:pPr>
            <w:r>
              <w:t xml:space="preserve">Default</w:t>
            </w:r>
          </w:p>
        </w:tc>
        <w:tc>
          <w:tcPr/>
          <w:p>
            <w:pPr>
              <w:pStyle w:val="Compact"/>
            </w:pPr>
            <w:r>
              <w:t xml:space="preserve">Case-A bound</w:t>
            </w:r>
          </w:p>
        </w:tc>
      </w:tr>
      <w:tr>
        <w:tc>
          <w:tcPr/>
          <w:p>
            <w:pPr>
              <w:pStyle w:val="Compact"/>
            </w:pPr>
            <w:r>
              <w:t xml:space="preserve">old</w:t>
            </w:r>
          </w:p>
        </w:tc>
        <w:tc>
          <w:tcPr/>
          <w:p>
            <w:pPr>
              <w:pStyle w:val="Compact"/>
            </w:pPr>
            <w:r>
              <w:t xml:space="preserve">0.005</w:t>
            </w:r>
          </w:p>
        </w:tc>
        <w:tc>
          <w:tcPr/>
          <w:p>
            <w:pPr>
              <w:pStyle w:val="Compact"/>
            </w:pPr>
            <w:r>
              <w:t xml:space="preserve">0.5%</w:t>
            </w:r>
          </w:p>
        </w:tc>
        <w:tc>
          <w:tcPr/>
          <w:p>
            <w:pPr>
              <w:pStyle w:val="Compact"/>
            </w:pPr>
          </w:p>
        </w:tc>
        <w:tc>
          <w:tcPr/>
          <w:p>
            <w:pPr>
              <w:pStyle w:val="Compact"/>
            </w:pPr>
            <w:r>
              <w:t xml:space="preserve">0.094819</w:t>
            </w:r>
          </w:p>
        </w:tc>
      </w:tr>
      <w:tr>
        <w:tc>
          <w:tcPr/>
          <w:p>
            <w:pPr>
              <w:pStyle w:val="Compact"/>
            </w:pPr>
            <w:r>
              <w:t xml:space="preserve">old</w:t>
            </w:r>
          </w:p>
        </w:tc>
        <w:tc>
          <w:tcPr/>
          <w:p>
            <w:pPr>
              <w:pStyle w:val="Compact"/>
            </w:pPr>
            <w:r>
              <w:t xml:space="preserve">0.01</w:t>
            </w:r>
          </w:p>
        </w:tc>
        <w:tc>
          <w:tcPr/>
          <w:p>
            <w:pPr>
              <w:pStyle w:val="Compact"/>
            </w:pPr>
            <w:r>
              <w:t xml:space="preserve">1.0%</w:t>
            </w:r>
          </w:p>
        </w:tc>
        <w:tc>
          <w:tcPr/>
          <w:p>
            <w:pPr>
              <w:pStyle w:val="Compact"/>
            </w:pPr>
          </w:p>
        </w:tc>
        <w:tc>
          <w:tcPr/>
          <w:p>
            <w:pPr>
              <w:pStyle w:val="Compact"/>
            </w:pPr>
            <w:r>
              <w:t xml:space="preserve">0.094816</w:t>
            </w:r>
          </w:p>
        </w:tc>
      </w:tr>
      <w:tr>
        <w:tc>
          <w:tcPr/>
          <w:p>
            <w:pPr>
              <w:pStyle w:val="Compact"/>
            </w:pPr>
            <w:r>
              <w:t xml:space="preserve">old</w:t>
            </w:r>
          </w:p>
        </w:tc>
        <w:tc>
          <w:tcPr/>
          <w:p>
            <w:pPr>
              <w:pStyle w:val="Compact"/>
            </w:pPr>
            <w:r>
              <w:t xml:space="preserve">0.02</w:t>
            </w:r>
          </w:p>
        </w:tc>
        <w:tc>
          <w:tcPr/>
          <w:p>
            <w:pPr>
              <w:pStyle w:val="Compact"/>
            </w:pPr>
            <w:r>
              <w:t xml:space="preserve">2.0%</w:t>
            </w:r>
          </w:p>
        </w:tc>
        <w:tc>
          <w:tcPr/>
          <w:p>
            <w:pPr>
              <w:pStyle w:val="Compact"/>
            </w:pPr>
            <w:r>
              <w:t xml:space="preserve">yes</w:t>
            </w:r>
          </w:p>
        </w:tc>
        <w:tc>
          <w:tcPr/>
          <w:p>
            <w:pPr>
              <w:pStyle w:val="Compact"/>
            </w:pPr>
            <w:r>
              <w:t xml:space="preserve">0.094734</w:t>
            </w:r>
          </w:p>
        </w:tc>
      </w:tr>
      <w:tr>
        <w:tc>
          <w:tcPr/>
          <w:p>
            <w:pPr>
              <w:pStyle w:val="Compact"/>
            </w:pPr>
            <w:r>
              <w:t xml:space="preserve">old</w:t>
            </w:r>
          </w:p>
        </w:tc>
        <w:tc>
          <w:tcPr/>
          <w:p>
            <w:pPr>
              <w:pStyle w:val="Compact"/>
            </w:pPr>
            <w:r>
              <w:t xml:space="preserve">0.04</w:t>
            </w:r>
          </w:p>
        </w:tc>
        <w:tc>
          <w:tcPr/>
          <w:p>
            <w:pPr>
              <w:pStyle w:val="Compact"/>
            </w:pPr>
            <w:r>
              <w:t xml:space="preserve">4.0%</w:t>
            </w:r>
          </w:p>
        </w:tc>
        <w:tc>
          <w:tcPr/>
          <w:p>
            <w:pPr>
              <w:pStyle w:val="Compact"/>
            </w:pPr>
          </w:p>
        </w:tc>
        <w:tc>
          <w:tcPr/>
          <w:p>
            <w:pPr>
              <w:pStyle w:val="Compact"/>
            </w:pPr>
            <w:r>
              <w:t xml:space="preserve">0.094724</w:t>
            </w:r>
          </w:p>
        </w:tc>
      </w:tr>
      <w:tr>
        <w:tc>
          <w:tcPr/>
          <w:p>
            <w:pPr>
              <w:pStyle w:val="Compact"/>
            </w:pPr>
            <w:r>
              <w:t xml:space="preserve">average</w:t>
            </w:r>
          </w:p>
        </w:tc>
        <w:tc>
          <w:tcPr/>
          <w:p>
            <w:pPr>
              <w:pStyle w:val="Compact"/>
            </w:pPr>
            <w:r>
              <w:t xml:space="preserve">0.002</w:t>
            </w:r>
          </w:p>
        </w:tc>
        <w:tc>
          <w:tcPr/>
          <w:p>
            <w:pPr>
              <w:pStyle w:val="Compact"/>
            </w:pPr>
            <w:r>
              <w:t xml:space="preserve">2.0%</w:t>
            </w:r>
          </w:p>
        </w:tc>
        <w:tc>
          <w:tcPr/>
          <w:p>
            <w:pPr>
              <w:pStyle w:val="Compact"/>
            </w:pPr>
          </w:p>
        </w:tc>
        <w:tc>
          <w:tcPr/>
          <w:p>
            <w:pPr>
              <w:pStyle w:val="Compact"/>
            </w:pPr>
            <w:r>
              <w:t xml:space="preserve">0.013534</w:t>
            </w:r>
          </w:p>
        </w:tc>
      </w:tr>
      <w:tr>
        <w:tc>
          <w:tcPr/>
          <w:p>
            <w:pPr>
              <w:pStyle w:val="Compact"/>
            </w:pPr>
            <w:r>
              <w:t xml:space="preserve">average</w:t>
            </w:r>
          </w:p>
        </w:tc>
        <w:tc>
          <w:tcPr/>
          <w:p>
            <w:pPr>
              <w:pStyle w:val="Compact"/>
            </w:pPr>
            <w:r>
              <w:t xml:space="preserve">0.005</w:t>
            </w:r>
          </w:p>
        </w:tc>
        <w:tc>
          <w:tcPr/>
          <w:p>
            <w:pPr>
              <w:pStyle w:val="Compact"/>
            </w:pPr>
            <w:r>
              <w:t xml:space="preserve">5.0%</w:t>
            </w:r>
          </w:p>
        </w:tc>
        <w:tc>
          <w:tcPr/>
          <w:p>
            <w:pPr>
              <w:pStyle w:val="Compact"/>
            </w:pPr>
            <w:r>
              <w:t xml:space="preserve">yes</w:t>
            </w:r>
          </w:p>
        </w:tc>
        <w:tc>
          <w:tcPr/>
          <w:p>
            <w:pPr>
              <w:pStyle w:val="Compact"/>
            </w:pPr>
            <w:r>
              <w:t xml:space="preserve">0.013509</w:t>
            </w:r>
          </w:p>
        </w:tc>
      </w:tr>
      <w:tr>
        <w:tc>
          <w:tcPr/>
          <w:p>
            <w:pPr>
              <w:pStyle w:val="Compact"/>
            </w:pPr>
            <w:r>
              <w:t xml:space="preserve">average</w:t>
            </w:r>
          </w:p>
        </w:tc>
        <w:tc>
          <w:tcPr/>
          <w:p>
            <w:pPr>
              <w:pStyle w:val="Compact"/>
            </w:pPr>
            <w:r>
              <w:t xml:space="preserve">0.01</w:t>
            </w:r>
          </w:p>
        </w:tc>
        <w:tc>
          <w:tcPr/>
          <w:p>
            <w:pPr>
              <w:pStyle w:val="Compact"/>
            </w:pPr>
            <w:r>
              <w:t xml:space="preserve">10.0%</w:t>
            </w:r>
          </w:p>
        </w:tc>
        <w:tc>
          <w:tcPr/>
          <w:p>
            <w:pPr>
              <w:pStyle w:val="Compact"/>
            </w:pPr>
          </w:p>
        </w:tc>
        <w:tc>
          <w:tcPr/>
          <w:p>
            <w:pPr>
              <w:pStyle w:val="Compact"/>
            </w:pPr>
            <w:r>
              <w:t xml:space="preserve">0.013487</w:t>
            </w:r>
          </w:p>
        </w:tc>
      </w:tr>
      <w:tr>
        <w:tc>
          <w:tcPr/>
          <w:p>
            <w:pPr>
              <w:pStyle w:val="Compact"/>
            </w:pPr>
            <w:r>
              <w:t xml:space="preserve">average</w:t>
            </w:r>
          </w:p>
        </w:tc>
        <w:tc>
          <w:tcPr/>
          <w:p>
            <w:pPr>
              <w:pStyle w:val="Compact"/>
            </w:pPr>
            <w:r>
              <w:t xml:space="preserve">0.02</w:t>
            </w:r>
          </w:p>
        </w:tc>
        <w:tc>
          <w:tcPr/>
          <w:p>
            <w:pPr>
              <w:pStyle w:val="Compact"/>
            </w:pPr>
            <w:r>
              <w:t xml:space="preserve">20.0%</w:t>
            </w:r>
          </w:p>
        </w:tc>
        <w:tc>
          <w:tcPr/>
          <w:p>
            <w:pPr>
              <w:pStyle w:val="Compact"/>
            </w:pPr>
          </w:p>
        </w:tc>
        <w:tc>
          <w:tcPr/>
          <w:p>
            <w:pPr>
              <w:pStyle w:val="Compact"/>
            </w:pPr>
            <w:r>
              <w:t xml:space="preserve">0.013400</w:t>
            </w:r>
          </w:p>
        </w:tc>
      </w:tr>
      <w:tr>
        <w:tc>
          <w:tcPr/>
          <w:p>
            <w:pPr>
              <w:pStyle w:val="Compact"/>
            </w:pPr>
            <w:r>
              <w:t xml:space="preserve">new</w:t>
            </w:r>
          </w:p>
        </w:tc>
        <w:tc>
          <w:tcPr/>
          <w:p>
            <w:pPr>
              <w:pStyle w:val="Compact"/>
            </w:pPr>
            <w:r>
              <w:t xml:space="preserve">0.001</w:t>
            </w:r>
          </w:p>
        </w:tc>
        <w:tc>
          <w:tcPr/>
          <w:p>
            <w:pPr>
              <w:pStyle w:val="Compact"/>
            </w:pPr>
            <w:r>
              <w:t xml:space="preserve">2.0%</w:t>
            </w:r>
          </w:p>
        </w:tc>
        <w:tc>
          <w:tcPr/>
          <w:p>
            <w:pPr>
              <w:pStyle w:val="Compact"/>
            </w:pPr>
          </w:p>
        </w:tc>
        <w:tc>
          <w:tcPr/>
          <w:p>
            <w:pPr>
              <w:pStyle w:val="Compact"/>
            </w:pPr>
            <w:r>
              <w:t xml:space="preserve">0.008030</w:t>
            </w:r>
          </w:p>
        </w:tc>
      </w:tr>
      <w:tr>
        <w:tc>
          <w:tcPr/>
          <w:p>
            <w:pPr>
              <w:pStyle w:val="Compact"/>
            </w:pPr>
            <w:r>
              <w:t xml:space="preserve">new</w:t>
            </w:r>
          </w:p>
        </w:tc>
        <w:tc>
          <w:tcPr/>
          <w:p>
            <w:pPr>
              <w:pStyle w:val="Compact"/>
            </w:pPr>
            <w:r>
              <w:t xml:space="preserve">0.0025</w:t>
            </w:r>
          </w:p>
        </w:tc>
        <w:tc>
          <w:tcPr/>
          <w:p>
            <w:pPr>
              <w:pStyle w:val="Compact"/>
            </w:pPr>
            <w:r>
              <w:t xml:space="preserve">5.0%</w:t>
            </w:r>
          </w:p>
        </w:tc>
        <w:tc>
          <w:tcPr/>
          <w:p>
            <w:pPr>
              <w:pStyle w:val="Compact"/>
            </w:pPr>
            <w:r>
              <w:t xml:space="preserve">yes</w:t>
            </w:r>
          </w:p>
        </w:tc>
        <w:tc>
          <w:tcPr/>
          <w:p>
            <w:pPr>
              <w:pStyle w:val="Compact"/>
            </w:pPr>
            <w:r>
              <w:t xml:space="preserve">0.007956</w:t>
            </w:r>
          </w:p>
        </w:tc>
      </w:tr>
      <w:tr>
        <w:tc>
          <w:tcPr/>
          <w:p>
            <w:pPr>
              <w:pStyle w:val="Compact"/>
            </w:pPr>
            <w:r>
              <w:t xml:space="preserve">new</w:t>
            </w:r>
          </w:p>
        </w:tc>
        <w:tc>
          <w:tcPr/>
          <w:p>
            <w:pPr>
              <w:pStyle w:val="Compact"/>
            </w:pPr>
            <w:r>
              <w:t xml:space="preserve">0.005</w:t>
            </w:r>
          </w:p>
        </w:tc>
        <w:tc>
          <w:tcPr/>
          <w:p>
            <w:pPr>
              <w:pStyle w:val="Compact"/>
            </w:pPr>
            <w:r>
              <w:t xml:space="preserve">10.0%</w:t>
            </w:r>
          </w:p>
        </w:tc>
        <w:tc>
          <w:tcPr/>
          <w:p>
            <w:pPr>
              <w:pStyle w:val="Compact"/>
            </w:pPr>
          </w:p>
        </w:tc>
        <w:tc>
          <w:tcPr/>
          <w:p>
            <w:pPr>
              <w:pStyle w:val="Compact"/>
            </w:pPr>
            <w:r>
              <w:t xml:space="preserve">0.007955</w:t>
            </w:r>
          </w:p>
        </w:tc>
      </w:tr>
      <w:tr>
        <w:tc>
          <w:tcPr/>
          <w:p>
            <w:pPr>
              <w:pStyle w:val="Compact"/>
            </w:pPr>
            <w:r>
              <w:t xml:space="preserve">new</w:t>
            </w:r>
          </w:p>
        </w:tc>
        <w:tc>
          <w:tcPr/>
          <w:p>
            <w:pPr>
              <w:pStyle w:val="Compact"/>
            </w:pPr>
            <w:r>
              <w:t xml:space="preserve">0.01</w:t>
            </w:r>
          </w:p>
        </w:tc>
        <w:tc>
          <w:tcPr/>
          <w:p>
            <w:pPr>
              <w:pStyle w:val="Compact"/>
            </w:pPr>
            <w:r>
              <w:t xml:space="preserve">20.0%</w:t>
            </w:r>
          </w:p>
        </w:tc>
        <w:tc>
          <w:tcPr/>
          <w:p>
            <w:pPr>
              <w:pStyle w:val="Compact"/>
            </w:pPr>
          </w:p>
        </w:tc>
        <w:tc>
          <w:tcPr/>
          <w:p>
            <w:pPr>
              <w:pStyle w:val="Compact"/>
            </w:pPr>
            <w:r>
              <w:t xml:space="preserve">0.007940</w:t>
            </w:r>
          </w:p>
        </w:tc>
      </w:tr>
    </w:tbl>
    <w:p>
      <w:pPr>
        <w:pStyle w:val="BodyText"/>
      </w:pPr>
      <w:r>
        <w:t xml:space="preserve">Table D3. Eigenvalues of the Case-A information matrix in raw and prior-scaled form. The raw condition number is dominated by the factor of twenty between the coefficient scales; on the dimensionless matrix the spread is far smaller.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Form</w:t>
            </w:r>
          </w:p>
        </w:tc>
        <w:tc>
          <w:tcPr/>
          <w:p>
            <w:pPr>
              <w:pStyle w:val="Compact"/>
            </w:pPr>
            <w:r>
              <w:t xml:space="preserve">Eigenvalue 1</w:t>
            </w:r>
          </w:p>
        </w:tc>
        <w:tc>
          <w:tcPr/>
          <w:p>
            <w:pPr>
              <w:pStyle w:val="Compact"/>
            </w:pPr>
            <w:r>
              <w:t xml:space="preserve">Eigenvalue 2</w:t>
            </w:r>
          </w:p>
        </w:tc>
        <w:tc>
          <w:tcPr/>
          <w:p>
            <w:pPr>
              <w:pStyle w:val="Compact"/>
            </w:pPr>
            <w:r>
              <w:t xml:space="preserve">Eigenvalue 3</w:t>
            </w:r>
          </w:p>
        </w:tc>
        <w:tc>
          <w:tcPr/>
          <w:p>
            <w:pPr>
              <w:pStyle w:val="Compact"/>
            </w:pPr>
            <w:r>
              <w:t xml:space="preserve">Condition number</w:t>
            </w:r>
          </w:p>
        </w:tc>
      </w:tr>
      <w:tr>
        <w:tc>
          <w:tcPr/>
          <w:p>
            <w:pPr>
              <w:pStyle w:val="Compact"/>
            </w:pPr>
            <w:r>
              <w:t xml:space="preserve">Raw</w:t>
            </w:r>
          </w:p>
        </w:tc>
        <w:tc>
          <w:tcPr/>
          <w:p>
            <w:pPr>
              <w:pStyle w:val="Compact"/>
            </w:pPr>
            <w:r>
              <w:t xml:space="preserve">23906</w:t>
            </w:r>
          </w:p>
        </w:tc>
        <w:tc>
          <w:tcPr/>
          <w:p>
            <w:pPr>
              <w:pStyle w:val="Compact"/>
            </w:pPr>
            <w:r>
              <w:t xml:space="preserve">5106</w:t>
            </w:r>
          </w:p>
        </w:tc>
        <w:tc>
          <w:tcPr/>
          <w:p>
            <w:pPr>
              <w:pStyle w:val="Compact"/>
            </w:pPr>
            <w:r>
              <w:t xml:space="preserve">111</w:t>
            </w:r>
          </w:p>
        </w:tc>
        <w:tc>
          <w:tcPr/>
          <w:p>
            <w:pPr>
              <w:pStyle w:val="Compact"/>
            </w:pPr>
            <w:r>
              <w:t xml:space="preserve">215</w:t>
            </w:r>
          </w:p>
        </w:tc>
      </w:tr>
      <w:tr>
        <w:tc>
          <w:tcPr/>
          <w:p>
            <w:pPr>
              <w:pStyle w:val="Compact"/>
            </w:pPr>
            <w:r>
              <w:t xml:space="preserve">Prior-scaled</w:t>
            </w:r>
          </w:p>
        </w:tc>
        <w:tc>
          <w:tcPr/>
          <w:p>
            <w:pPr>
              <w:pStyle w:val="Compact"/>
            </w:pPr>
            <w:r>
              <w:t xml:space="preserve">24.5</w:t>
            </w:r>
          </w:p>
        </w:tc>
        <w:tc>
          <w:tcPr/>
          <w:p>
            <w:pPr>
              <w:pStyle w:val="Compact"/>
            </w:pPr>
            <w:r>
              <w:t xml:space="preserve">16.6</w:t>
            </w:r>
          </w:p>
        </w:tc>
        <w:tc>
          <w:tcPr/>
          <w:p>
            <w:pPr>
              <w:pStyle w:val="Compact"/>
            </w:pPr>
            <w:r>
              <w:t xml:space="preserve">7.6</w:t>
            </w:r>
          </w:p>
        </w:tc>
        <w:tc>
          <w:tcPr/>
          <w:p>
            <w:pPr>
              <w:pStyle w:val="Compact"/>
            </w:pPr>
            <w:r>
              <w:t xml:space="preserve">3.2</w:t>
            </w:r>
          </w:p>
        </w:tc>
      </w:tr>
    </w:tbl>
    <w:p>
      <w:pPr>
        <w:pStyle w:val="BodyText"/>
      </w:pPr>
      <w:r>
        <w:t xml:space="preserve">Table D4. Case-A bounds under an assumed AR(1) residual covariance, swept over the correlation parameter. The correlation is assumed rather than estimated, since the baseline observations are generated independently; the sweep therefore bounds how much the reported precision would degrade if the residuals were in fact correlated. Widening is the bound relative to the independent case, given for old, average and new. The three coefficients widen almost together up to a correlation of 0.4 and separate beyond it, the new coefficient least and the average coefficient most.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Correlation</w:t>
            </w:r>
          </w:p>
        </w:tc>
        <w:tc>
          <w:tcPr/>
          <w:p>
            <w:pPr>
              <w:pStyle w:val="Compact"/>
            </w:pPr>
            <w:r>
              <w:t xml:space="preserve">Effective n</w:t>
            </w:r>
          </w:p>
        </w:tc>
        <w:tc>
          <w:tcPr/>
          <w:p>
            <w:pPr>
              <w:pStyle w:val="Compact"/>
            </w:pPr>
            <w:r>
              <w:t xml:space="preserve">old</w:t>
            </w:r>
          </w:p>
        </w:tc>
        <w:tc>
          <w:tcPr/>
          <w:p>
            <w:pPr>
              <w:pStyle w:val="Compact"/>
            </w:pPr>
            <w:r>
              <w:t xml:space="preserve">average</w:t>
            </w:r>
          </w:p>
        </w:tc>
        <w:tc>
          <w:tcPr/>
          <w:p>
            <w:pPr>
              <w:pStyle w:val="Compact"/>
            </w:pPr>
            <w:r>
              <w:t xml:space="preserve">new</w:t>
            </w:r>
          </w:p>
        </w:tc>
        <w:tc>
          <w:tcPr/>
          <w:p>
            <w:pPr>
              <w:pStyle w:val="Compact"/>
            </w:pPr>
            <w:r>
              <w:t xml:space="preserve">Widening (old / avg / new)</w:t>
            </w:r>
          </w:p>
        </w:tc>
      </w:tr>
      <w:tr>
        <w:tc>
          <w:tcPr/>
          <w:p>
            <w:pPr>
              <w:pStyle w:val="Compact"/>
            </w:pPr>
            <w:r>
              <w:t xml:space="preserve">0.0</w:t>
            </w:r>
          </w:p>
        </w:tc>
        <w:tc>
          <w:tcPr/>
          <w:p>
            <w:pPr>
              <w:pStyle w:val="Compact"/>
            </w:pPr>
            <w:r>
              <w:t xml:space="preserve">294</w:t>
            </w:r>
          </w:p>
        </w:tc>
        <w:tc>
          <w:tcPr/>
          <w:p>
            <w:pPr>
              <w:pStyle w:val="Compact"/>
            </w:pPr>
            <w:r>
              <w:t xml:space="preserve">0.0947 (25%)</w:t>
            </w:r>
          </w:p>
        </w:tc>
        <w:tc>
          <w:tcPr/>
          <w:p>
            <w:pPr>
              <w:pStyle w:val="Compact"/>
            </w:pPr>
            <w:r>
              <w:t xml:space="preserve">0.0135 (29%)</w:t>
            </w:r>
          </w:p>
        </w:tc>
        <w:tc>
          <w:tcPr/>
          <w:p>
            <w:pPr>
              <w:pStyle w:val="Compact"/>
            </w:pPr>
            <w:r>
              <w:t xml:space="preserve">0.0080 (29%)</w:t>
            </w:r>
          </w:p>
        </w:tc>
        <w:tc>
          <w:tcPr/>
          <w:p>
            <w:pPr>
              <w:pStyle w:val="Compact"/>
            </w:pPr>
            <w:r>
              <w:t xml:space="preserve">1.00 / 1.00 / 1.00</w:t>
            </w:r>
          </w:p>
        </w:tc>
      </w:tr>
      <w:tr>
        <w:tc>
          <w:tcPr/>
          <w:p>
            <w:pPr>
              <w:pStyle w:val="Compact"/>
            </w:pPr>
            <w:r>
              <w:t xml:space="preserve">0.2</w:t>
            </w:r>
          </w:p>
        </w:tc>
        <w:tc>
          <w:tcPr/>
          <w:p>
            <w:pPr>
              <w:pStyle w:val="Compact"/>
            </w:pPr>
            <w:r>
              <w:t xml:space="preserve">196</w:t>
            </w:r>
          </w:p>
        </w:tc>
        <w:tc>
          <w:tcPr/>
          <w:p>
            <w:pPr>
              <w:pStyle w:val="Compact"/>
            </w:pPr>
            <w:r>
              <w:t xml:space="preserve">0.1150 (31%)</w:t>
            </w:r>
          </w:p>
        </w:tc>
        <w:tc>
          <w:tcPr/>
          <w:p>
            <w:pPr>
              <w:pStyle w:val="Compact"/>
            </w:pPr>
            <w:r>
              <w:t xml:space="preserve">0.0164 (35%)</w:t>
            </w:r>
          </w:p>
        </w:tc>
        <w:tc>
          <w:tcPr/>
          <w:p>
            <w:pPr>
              <w:pStyle w:val="Compact"/>
            </w:pPr>
            <w:r>
              <w:t xml:space="preserve">0.0096 (35%)</w:t>
            </w:r>
          </w:p>
        </w:tc>
        <w:tc>
          <w:tcPr/>
          <w:p>
            <w:pPr>
              <w:pStyle w:val="Compact"/>
            </w:pPr>
            <w:r>
              <w:t xml:space="preserve">1.21 / 1.21 / 1.20</w:t>
            </w:r>
          </w:p>
        </w:tc>
      </w:tr>
      <w:tr>
        <w:tc>
          <w:tcPr/>
          <w:p>
            <w:pPr>
              <w:pStyle w:val="Compact"/>
            </w:pPr>
            <w:r>
              <w:t xml:space="preserve">0.4</w:t>
            </w:r>
          </w:p>
        </w:tc>
        <w:tc>
          <w:tcPr/>
          <w:p>
            <w:pPr>
              <w:pStyle w:val="Compact"/>
            </w:pPr>
            <w:r>
              <w:t xml:space="preserve">126</w:t>
            </w:r>
          </w:p>
        </w:tc>
        <w:tc>
          <w:tcPr/>
          <w:p>
            <w:pPr>
              <w:pStyle w:val="Compact"/>
            </w:pPr>
            <w:r>
              <w:t xml:space="preserve">0.1406 (37%)</w:t>
            </w:r>
          </w:p>
        </w:tc>
        <w:tc>
          <w:tcPr/>
          <w:p>
            <w:pPr>
              <w:pStyle w:val="Compact"/>
            </w:pPr>
            <w:r>
              <w:t xml:space="preserve">0.0201 (43%)</w:t>
            </w:r>
          </w:p>
        </w:tc>
        <w:tc>
          <w:tcPr/>
          <w:p>
            <w:pPr>
              <w:pStyle w:val="Compact"/>
            </w:pPr>
            <w:r>
              <w:t xml:space="preserve">0.0114 (42%)</w:t>
            </w:r>
          </w:p>
        </w:tc>
        <w:tc>
          <w:tcPr/>
          <w:p>
            <w:pPr>
              <w:pStyle w:val="Compact"/>
            </w:pPr>
            <w:r>
              <w:t xml:space="preserve">1.48 / 1.49 / 1.44</w:t>
            </w:r>
          </w:p>
        </w:tc>
      </w:tr>
      <w:tr>
        <w:tc>
          <w:tcPr/>
          <w:p>
            <w:pPr>
              <w:pStyle w:val="Compact"/>
            </w:pPr>
            <w:r>
              <w:t xml:space="preserve">0.6</w:t>
            </w:r>
          </w:p>
        </w:tc>
        <w:tc>
          <w:tcPr/>
          <w:p>
            <w:pPr>
              <w:pStyle w:val="Compact"/>
            </w:pPr>
            <w:r>
              <w:t xml:space="preserve">74</w:t>
            </w:r>
          </w:p>
        </w:tc>
        <w:tc>
          <w:tcPr/>
          <w:p>
            <w:pPr>
              <w:pStyle w:val="Compact"/>
            </w:pPr>
            <w:r>
              <w:t xml:space="preserve">0.1736 (46%)</w:t>
            </w:r>
          </w:p>
        </w:tc>
        <w:tc>
          <w:tcPr/>
          <w:p>
            <w:pPr>
              <w:pStyle w:val="Compact"/>
            </w:pPr>
            <w:r>
              <w:t xml:space="preserve">0.0252 (55%)</w:t>
            </w:r>
          </w:p>
        </w:tc>
        <w:tc>
          <w:tcPr/>
          <w:p>
            <w:pPr>
              <w:pStyle w:val="Compact"/>
            </w:pPr>
            <w:r>
              <w:t xml:space="preserve">0.0135 (49%)</w:t>
            </w:r>
          </w:p>
        </w:tc>
        <w:tc>
          <w:tcPr/>
          <w:p>
            <w:pPr>
              <w:pStyle w:val="Compact"/>
            </w:pPr>
            <w:r>
              <w:t xml:space="preserve">1.83 / 1.87 / 1.70</w:t>
            </w:r>
          </w:p>
        </w:tc>
      </w:tr>
      <w:tr>
        <w:tc>
          <w:tcPr/>
          <w:p>
            <w:pPr>
              <w:pStyle w:val="Compact"/>
            </w:pPr>
            <w:r>
              <w:t xml:space="preserve">0.8</w:t>
            </w:r>
          </w:p>
        </w:tc>
        <w:tc>
          <w:tcPr/>
          <w:p>
            <w:pPr>
              <w:pStyle w:val="Compact"/>
            </w:pPr>
            <w:r>
              <w:t xml:space="preserve">33</w:t>
            </w:r>
          </w:p>
        </w:tc>
        <w:tc>
          <w:tcPr/>
          <w:p>
            <w:pPr>
              <w:pStyle w:val="Compact"/>
            </w:pPr>
            <w:r>
              <w:t xml:space="preserve">0.2022 (54%)</w:t>
            </w:r>
          </w:p>
        </w:tc>
        <w:tc>
          <w:tcPr/>
          <w:p>
            <w:pPr>
              <w:pStyle w:val="Compact"/>
            </w:pPr>
            <w:r>
              <w:t xml:space="preserve">0.0333 (72%)</w:t>
            </w:r>
          </w:p>
        </w:tc>
        <w:tc>
          <w:tcPr/>
          <w:p>
            <w:pPr>
              <w:pStyle w:val="Compact"/>
            </w:pPr>
            <w:r>
              <w:t xml:space="preserve">0.0145 (53%)</w:t>
            </w:r>
          </w:p>
        </w:tc>
        <w:tc>
          <w:tcPr/>
          <w:p>
            <w:pPr>
              <w:pStyle w:val="Compact"/>
            </w:pPr>
            <w:r>
              <w:t xml:space="preserve">2.13 / 2.47 / 1.82</w:t>
            </w:r>
          </w:p>
        </w:tc>
      </w:tr>
    </w:tbl>
    <w:bookmarkEnd w:id="162"/>
    <w:bookmarkStart w:id="163" w:name="X1a3ae0efdf8b2c76c22382abba68415e1d80e1c"/>
    <w:p>
      <w:pPr>
        <w:pStyle w:val="Heading2"/>
      </w:pPr>
      <w:r>
        <w:t xml:space="preserve">Appendix E. Structural heterogeneity: definitions and per-design results</w:t>
      </w:r>
    </w:p>
    <w:p>
      <w:pPr>
        <w:pStyle w:val="FirstParagraph"/>
      </w:pPr>
      <w:r>
        <w:t xml:space="preserve">Four quantities are reported for the heterogeneity experiments and are easy to confuse. The raw</w:t>
      </w:r>
      <w:r>
        <w:t xml:space="preserve"> </w:t>
      </w:r>
      <w:r>
        <w:t xml:space="preserve">bias is the weighted posterior mean minus the true per-zone arithmetic mean. The structural</w:t>
      </w:r>
      <w:r>
        <w:t xml:space="preserve"> </w:t>
      </w:r>
      <w:r>
        <w:t xml:space="preserve">increment subtracts the corresponding homogeneous control run on the same noise, and is the part</w:t>
      </w:r>
      <w:r>
        <w:t xml:space="preserve"> </w:t>
      </w:r>
      <w:r>
        <w:t xml:space="preserve">attributable to the imposed structure rather than to the realisation. The standardised</w:t>
      </w:r>
      <w:r>
        <w:t xml:space="preserve"> </w:t>
      </w:r>
      <w:r>
        <w:t xml:space="preserve">displacement divides by the median within-realisation posterior standard deviation of the</w:t>
      </w:r>
      <w:r>
        <w:t xml:space="preserve"> </w:t>
      </w:r>
      <w:r>
        <w:t xml:space="preserve">unperturbed reference. The displacement fraction is the position of the fit between the two</w:t>
      </w:r>
      <w:r>
        <w:t xml:space="preserve"> </w:t>
      </w:r>
      <w:r>
        <w:t xml:space="preserve">candidate targets, the arithmetic mean and the length-weighted value, and is undefined where they</w:t>
      </w:r>
      <w:r>
        <w:t xml:space="preserve"> </w:t>
      </w:r>
      <w:r>
        <w:t xml:space="preserve">coincide.</w:t>
      </w:r>
    </w:p>
    <w:p>
      <w:pPr>
        <w:pStyle w:val="BodyText"/>
      </w:pPr>
      <w:r>
        <w:t xml:space="preserve">Table E1. Symmetric within-zone heterogeneity under the primary rule. The increment is the bias net of a paired homogeneous control run on the same noise, which is the part that can be attributed to the imposed structure.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Jitter</w:t>
            </w:r>
          </w:p>
        </w:tc>
        <w:tc>
          <w:tcPr/>
          <w:p>
            <w:pPr>
              <w:pStyle w:val="Compact"/>
            </w:pPr>
            <w:r>
              <w:t xml:space="preserve">Zone</w:t>
            </w:r>
          </w:p>
        </w:tc>
        <w:tc>
          <w:tcPr/>
          <w:p>
            <w:pPr>
              <w:pStyle w:val="Compact"/>
            </w:pPr>
            <w:r>
              <w:t xml:space="preserve">True arithmetic mean</w:t>
            </w:r>
          </w:p>
        </w:tc>
        <w:tc>
          <w:tcPr/>
          <w:p>
            <w:pPr>
              <w:pStyle w:val="Compact"/>
            </w:pPr>
            <w:r>
              <w:t xml:space="preserve">Raw bias</w:t>
            </w:r>
          </w:p>
        </w:tc>
        <w:tc>
          <w:tcPr/>
          <w:p>
            <w:pPr>
              <w:pStyle w:val="Compact"/>
            </w:pPr>
            <w:r>
              <w:t xml:space="preserve">In posterior SD</w:t>
            </w:r>
          </w:p>
        </w:tc>
        <w:tc>
          <w:tcPr/>
          <w:p>
            <w:pPr>
              <w:pStyle w:val="Compact"/>
            </w:pPr>
            <w:r>
              <w:t xml:space="preserve">Increment over control</w:t>
            </w:r>
          </w:p>
        </w:tc>
      </w:tr>
      <w:tr>
        <w:tc>
          <w:tcPr/>
          <w:p>
            <w:pPr>
              <w:pStyle w:val="Compact"/>
            </w:pPr>
            <w:r>
              <w:t xml:space="preserve">0%</w:t>
            </w:r>
          </w:p>
        </w:tc>
        <w:tc>
          <w:tcPr/>
          <w:p>
            <w:pPr>
              <w:pStyle w:val="Compact"/>
            </w:pPr>
            <w:r>
              <w:t xml:space="preserve">old</w:t>
            </w:r>
          </w:p>
        </w:tc>
        <w:tc>
          <w:tcPr/>
          <w:p>
            <w:pPr>
              <w:pStyle w:val="Compact"/>
            </w:pPr>
            <w:r>
              <w:t xml:space="preserve">-1.0000</w:t>
            </w:r>
          </w:p>
        </w:tc>
        <w:tc>
          <w:tcPr/>
          <w:p>
            <w:pPr>
              <w:pStyle w:val="Compact"/>
            </w:pPr>
            <w:r>
              <w:t xml:space="preserve">+0.0124</w:t>
            </w:r>
          </w:p>
        </w:tc>
        <w:tc>
          <w:tcPr/>
          <w:p>
            <w:pPr>
              <w:pStyle w:val="Compact"/>
            </w:pPr>
            <w:r>
              <w:t xml:space="preserve">+0.13</w:t>
            </w:r>
          </w:p>
        </w:tc>
        <w:tc>
          <w:tcPr/>
          <w:p>
            <w:pPr>
              <w:pStyle w:val="Compact"/>
            </w:pPr>
            <w:r>
              <w:t xml:space="preserve">+0.0000</w:t>
            </w:r>
          </w:p>
        </w:tc>
      </w:tr>
      <w:tr>
        <w:tc>
          <w:tcPr/>
          <w:p>
            <w:pPr>
              <w:pStyle w:val="Compact"/>
            </w:pPr>
            <w:r>
              <w:t xml:space="preserve">0%</w:t>
            </w:r>
          </w:p>
        </w:tc>
        <w:tc>
          <w:tcPr/>
          <w:p>
            <w:pPr>
              <w:pStyle w:val="Compact"/>
            </w:pPr>
            <w:r>
              <w:t xml:space="preserve">average</w:t>
            </w:r>
          </w:p>
        </w:tc>
        <w:tc>
          <w:tcPr/>
          <w:p>
            <w:pPr>
              <w:pStyle w:val="Compact"/>
            </w:pPr>
            <w:r>
              <w:t xml:space="preserve">-0.1000</w:t>
            </w:r>
          </w:p>
        </w:tc>
        <w:tc>
          <w:tcPr/>
          <w:p>
            <w:pPr>
              <w:pStyle w:val="Compact"/>
            </w:pPr>
            <w:r>
              <w:t xml:space="preserve">-0.0091</w:t>
            </w:r>
          </w:p>
        </w:tc>
        <w:tc>
          <w:tcPr/>
          <w:p>
            <w:pPr>
              <w:pStyle w:val="Compact"/>
            </w:pPr>
            <w:r>
              <w:t xml:space="preserve">-0.64</w:t>
            </w:r>
          </w:p>
        </w:tc>
        <w:tc>
          <w:tcPr/>
          <w:p>
            <w:pPr>
              <w:pStyle w:val="Compact"/>
            </w:pPr>
            <w:r>
              <w:t xml:space="preserve">+0.0000</w:t>
            </w:r>
          </w:p>
        </w:tc>
      </w:tr>
      <w:tr>
        <w:tc>
          <w:tcPr/>
          <w:p>
            <w:pPr>
              <w:pStyle w:val="Compact"/>
            </w:pPr>
            <w:r>
              <w:t xml:space="preserve">0%</w:t>
            </w:r>
          </w:p>
        </w:tc>
        <w:tc>
          <w:tcPr/>
          <w:p>
            <w:pPr>
              <w:pStyle w:val="Compact"/>
            </w:pPr>
            <w:r>
              <w:t xml:space="preserve">new</w:t>
            </w:r>
          </w:p>
        </w:tc>
        <w:tc>
          <w:tcPr/>
          <w:p>
            <w:pPr>
              <w:pStyle w:val="Compact"/>
            </w:pPr>
            <w:r>
              <w:t xml:space="preserve">-0.0500</w:t>
            </w:r>
          </w:p>
        </w:tc>
        <w:tc>
          <w:tcPr/>
          <w:p>
            <w:pPr>
              <w:pStyle w:val="Compact"/>
            </w:pPr>
            <w:r>
              <w:t xml:space="preserve">+0.0060</w:t>
            </w:r>
          </w:p>
        </w:tc>
        <w:tc>
          <w:tcPr/>
          <w:p>
            <w:pPr>
              <w:pStyle w:val="Compact"/>
            </w:pPr>
            <w:r>
              <w:t xml:space="preserve">+0.77</w:t>
            </w:r>
          </w:p>
        </w:tc>
        <w:tc>
          <w:tcPr/>
          <w:p>
            <w:pPr>
              <w:pStyle w:val="Compact"/>
            </w:pPr>
            <w:r>
              <w:t xml:space="preserve">+0.0000</w:t>
            </w:r>
          </w:p>
        </w:tc>
      </w:tr>
      <w:tr>
        <w:tc>
          <w:tcPr/>
          <w:p>
            <w:pPr>
              <w:pStyle w:val="Compact"/>
            </w:pPr>
            <w:r>
              <w:t xml:space="preserve">20%</w:t>
            </w:r>
          </w:p>
        </w:tc>
        <w:tc>
          <w:tcPr/>
          <w:p>
            <w:pPr>
              <w:pStyle w:val="Compact"/>
            </w:pPr>
            <w:r>
              <w:t xml:space="preserve">old</w:t>
            </w:r>
          </w:p>
        </w:tc>
        <w:tc>
          <w:tcPr/>
          <w:p>
            <w:pPr>
              <w:pStyle w:val="Compact"/>
            </w:pPr>
            <w:r>
              <w:t xml:space="preserve">-1.0066</w:t>
            </w:r>
          </w:p>
        </w:tc>
        <w:tc>
          <w:tcPr/>
          <w:p>
            <w:pPr>
              <w:pStyle w:val="Compact"/>
            </w:pPr>
            <w:r>
              <w:t xml:space="preserve">-0.0200</w:t>
            </w:r>
          </w:p>
        </w:tc>
        <w:tc>
          <w:tcPr/>
          <w:p>
            <w:pPr>
              <w:pStyle w:val="Compact"/>
            </w:pPr>
            <w:r>
              <w:t xml:space="preserve">-0.20</w:t>
            </w:r>
          </w:p>
        </w:tc>
        <w:tc>
          <w:tcPr/>
          <w:p>
            <w:pPr>
              <w:pStyle w:val="Compact"/>
            </w:pPr>
            <w:r>
              <w:t xml:space="preserve">-0.0325</w:t>
            </w:r>
          </w:p>
        </w:tc>
      </w:tr>
      <w:tr>
        <w:tc>
          <w:tcPr/>
          <w:p>
            <w:pPr>
              <w:pStyle w:val="Compact"/>
            </w:pPr>
            <w:r>
              <w:t xml:space="preserve">20%</w:t>
            </w:r>
          </w:p>
        </w:tc>
        <w:tc>
          <w:tcPr/>
          <w:p>
            <w:pPr>
              <w:pStyle w:val="Compact"/>
            </w:pPr>
            <w:r>
              <w:t xml:space="preserve">average</w:t>
            </w:r>
          </w:p>
        </w:tc>
        <w:tc>
          <w:tcPr/>
          <w:p>
            <w:pPr>
              <w:pStyle w:val="Compact"/>
            </w:pPr>
            <w:r>
              <w:t xml:space="preserve">-0.0978</w:t>
            </w:r>
          </w:p>
        </w:tc>
        <w:tc>
          <w:tcPr/>
          <w:p>
            <w:pPr>
              <w:pStyle w:val="Compact"/>
            </w:pPr>
            <w:r>
              <w:t xml:space="preserve">-0.0104</w:t>
            </w:r>
          </w:p>
        </w:tc>
        <w:tc>
          <w:tcPr/>
          <w:p>
            <w:pPr>
              <w:pStyle w:val="Compact"/>
            </w:pPr>
            <w:r>
              <w:t xml:space="preserve">-0.74</w:t>
            </w:r>
          </w:p>
        </w:tc>
        <w:tc>
          <w:tcPr/>
          <w:p>
            <w:pPr>
              <w:pStyle w:val="Compact"/>
            </w:pPr>
            <w:r>
              <w:t xml:space="preserve">-0.0012</w:t>
            </w:r>
          </w:p>
        </w:tc>
      </w:tr>
      <w:tr>
        <w:tc>
          <w:tcPr/>
          <w:p>
            <w:pPr>
              <w:pStyle w:val="Compact"/>
            </w:pPr>
            <w:r>
              <w:t xml:space="preserve">20%</w:t>
            </w:r>
          </w:p>
        </w:tc>
        <w:tc>
          <w:tcPr/>
          <w:p>
            <w:pPr>
              <w:pStyle w:val="Compact"/>
            </w:pPr>
            <w:r>
              <w:t xml:space="preserve">new</w:t>
            </w:r>
          </w:p>
        </w:tc>
        <w:tc>
          <w:tcPr/>
          <w:p>
            <w:pPr>
              <w:pStyle w:val="Compact"/>
            </w:pPr>
            <w:r>
              <w:t xml:space="preserve">-0.0487</w:t>
            </w:r>
          </w:p>
        </w:tc>
        <w:tc>
          <w:tcPr/>
          <w:p>
            <w:pPr>
              <w:pStyle w:val="Compact"/>
            </w:pPr>
            <w:r>
              <w:t xml:space="preserve">+0.0071</w:t>
            </w:r>
          </w:p>
        </w:tc>
        <w:tc>
          <w:tcPr/>
          <w:p>
            <w:pPr>
              <w:pStyle w:val="Compact"/>
            </w:pPr>
            <w:r>
              <w:t xml:space="preserve">+0.93</w:t>
            </w:r>
          </w:p>
        </w:tc>
        <w:tc>
          <w:tcPr/>
          <w:p>
            <w:pPr>
              <w:pStyle w:val="Compact"/>
            </w:pPr>
            <w:r>
              <w:t xml:space="preserve">+0.0011</w:t>
            </w:r>
          </w:p>
        </w:tc>
      </w:tr>
      <w:tr>
        <w:tc>
          <w:tcPr/>
          <w:p>
            <w:pPr>
              <w:pStyle w:val="Compact"/>
            </w:pPr>
            <w:r>
              <w:t xml:space="preserve">35%</w:t>
            </w:r>
          </w:p>
        </w:tc>
        <w:tc>
          <w:tcPr/>
          <w:p>
            <w:pPr>
              <w:pStyle w:val="Compact"/>
            </w:pPr>
            <w:r>
              <w:t xml:space="preserve">old</w:t>
            </w:r>
          </w:p>
        </w:tc>
        <w:tc>
          <w:tcPr/>
          <w:p>
            <w:pPr>
              <w:pStyle w:val="Compact"/>
            </w:pPr>
            <w:r>
              <w:t xml:space="preserve">-1.0115</w:t>
            </w:r>
          </w:p>
        </w:tc>
        <w:tc>
          <w:tcPr/>
          <w:p>
            <w:pPr>
              <w:pStyle w:val="Compact"/>
            </w:pPr>
            <w:r>
              <w:t xml:space="preserve">-0.0334</w:t>
            </w:r>
          </w:p>
        </w:tc>
        <w:tc>
          <w:tcPr/>
          <w:p>
            <w:pPr>
              <w:pStyle w:val="Compact"/>
            </w:pPr>
            <w:r>
              <w:t xml:space="preserve">-0.33</w:t>
            </w:r>
          </w:p>
        </w:tc>
        <w:tc>
          <w:tcPr/>
          <w:p>
            <w:pPr>
              <w:pStyle w:val="Compact"/>
            </w:pPr>
            <w:r>
              <w:t xml:space="preserve">-0.0458</w:t>
            </w:r>
          </w:p>
        </w:tc>
      </w:tr>
      <w:tr>
        <w:tc>
          <w:tcPr/>
          <w:p>
            <w:pPr>
              <w:pStyle w:val="Compact"/>
            </w:pPr>
            <w:r>
              <w:t xml:space="preserve">35%</w:t>
            </w:r>
          </w:p>
        </w:tc>
        <w:tc>
          <w:tcPr/>
          <w:p>
            <w:pPr>
              <w:pStyle w:val="Compact"/>
            </w:pPr>
            <w:r>
              <w:t xml:space="preserve">average</w:t>
            </w:r>
          </w:p>
        </w:tc>
        <w:tc>
          <w:tcPr/>
          <w:p>
            <w:pPr>
              <w:pStyle w:val="Compact"/>
            </w:pPr>
            <w:r>
              <w:t xml:space="preserve">-0.0962</w:t>
            </w:r>
          </w:p>
        </w:tc>
        <w:tc>
          <w:tcPr/>
          <w:p>
            <w:pPr>
              <w:pStyle w:val="Compact"/>
            </w:pPr>
            <w:r>
              <w:t xml:space="preserve">-0.0108</w:t>
            </w:r>
          </w:p>
        </w:tc>
        <w:tc>
          <w:tcPr/>
          <w:p>
            <w:pPr>
              <w:pStyle w:val="Compact"/>
            </w:pPr>
            <w:r>
              <w:t xml:space="preserve">-0.78</w:t>
            </w:r>
          </w:p>
        </w:tc>
        <w:tc>
          <w:tcPr/>
          <w:p>
            <w:pPr>
              <w:pStyle w:val="Compact"/>
            </w:pPr>
            <w:r>
              <w:t xml:space="preserve">-0.0016</w:t>
            </w:r>
          </w:p>
        </w:tc>
      </w:tr>
      <w:tr>
        <w:tc>
          <w:tcPr/>
          <w:p>
            <w:pPr>
              <w:pStyle w:val="Compact"/>
            </w:pPr>
            <w:r>
              <w:t xml:space="preserve">35%</w:t>
            </w:r>
          </w:p>
        </w:tc>
        <w:tc>
          <w:tcPr/>
          <w:p>
            <w:pPr>
              <w:pStyle w:val="Compact"/>
            </w:pPr>
            <w:r>
              <w:t xml:space="preserve">new</w:t>
            </w:r>
          </w:p>
        </w:tc>
        <w:tc>
          <w:tcPr/>
          <w:p>
            <w:pPr>
              <w:pStyle w:val="Compact"/>
            </w:pPr>
            <w:r>
              <w:t xml:space="preserve">-0.0478</w:t>
            </w:r>
          </w:p>
        </w:tc>
        <w:tc>
          <w:tcPr/>
          <w:p>
            <w:pPr>
              <w:pStyle w:val="Compact"/>
            </w:pPr>
            <w:r>
              <w:t xml:space="preserve">+0.0080</w:t>
            </w:r>
          </w:p>
        </w:tc>
        <w:tc>
          <w:tcPr/>
          <w:p>
            <w:pPr>
              <w:pStyle w:val="Compact"/>
            </w:pPr>
            <w:r>
              <w:t xml:space="preserve">+1.05</w:t>
            </w:r>
          </w:p>
        </w:tc>
        <w:tc>
          <w:tcPr/>
          <w:p>
            <w:pPr>
              <w:pStyle w:val="Compact"/>
            </w:pPr>
            <w:r>
              <w:t xml:space="preserve">+0.0020</w:t>
            </w:r>
          </w:p>
        </w:tc>
      </w:tr>
      <w:tr>
        <w:tc>
          <w:tcPr/>
          <w:p>
            <w:pPr>
              <w:pStyle w:val="Compact"/>
            </w:pPr>
            <w:r>
              <w:t xml:space="preserve">50%</w:t>
            </w:r>
          </w:p>
        </w:tc>
        <w:tc>
          <w:tcPr/>
          <w:p>
            <w:pPr>
              <w:pStyle w:val="Compact"/>
            </w:pPr>
            <w:r>
              <w:t xml:space="preserve">old</w:t>
            </w:r>
          </w:p>
        </w:tc>
        <w:tc>
          <w:tcPr/>
          <w:p>
            <w:pPr>
              <w:pStyle w:val="Compact"/>
            </w:pPr>
            <w:r>
              <w:t xml:space="preserve">-1.0165</w:t>
            </w:r>
          </w:p>
        </w:tc>
        <w:tc>
          <w:tcPr/>
          <w:p>
            <w:pPr>
              <w:pStyle w:val="Compact"/>
            </w:pPr>
            <w:r>
              <w:t xml:space="preserve">-0.0366</w:t>
            </w:r>
          </w:p>
        </w:tc>
        <w:tc>
          <w:tcPr/>
          <w:p>
            <w:pPr>
              <w:pStyle w:val="Compact"/>
            </w:pPr>
            <w:r>
              <w:t xml:space="preserve">-0.36</w:t>
            </w:r>
          </w:p>
        </w:tc>
        <w:tc>
          <w:tcPr/>
          <w:p>
            <w:pPr>
              <w:pStyle w:val="Compact"/>
            </w:pPr>
            <w:r>
              <w:t xml:space="preserve">-0.0490</w:t>
            </w:r>
          </w:p>
        </w:tc>
      </w:tr>
      <w:tr>
        <w:tc>
          <w:tcPr/>
          <w:p>
            <w:pPr>
              <w:pStyle w:val="Compact"/>
            </w:pPr>
            <w:r>
              <w:t xml:space="preserve">50%</w:t>
            </w:r>
          </w:p>
        </w:tc>
        <w:tc>
          <w:tcPr/>
          <w:p>
            <w:pPr>
              <w:pStyle w:val="Compact"/>
            </w:pPr>
            <w:r>
              <w:t xml:space="preserve">average</w:t>
            </w:r>
          </w:p>
        </w:tc>
        <w:tc>
          <w:tcPr/>
          <w:p>
            <w:pPr>
              <w:pStyle w:val="Compact"/>
            </w:pPr>
            <w:r>
              <w:t xml:space="preserve">-0.0946</w:t>
            </w:r>
          </w:p>
        </w:tc>
        <w:tc>
          <w:tcPr/>
          <w:p>
            <w:pPr>
              <w:pStyle w:val="Compact"/>
            </w:pPr>
            <w:r>
              <w:t xml:space="preserve">-0.0107</w:t>
            </w:r>
          </w:p>
        </w:tc>
        <w:tc>
          <w:tcPr/>
          <w:p>
            <w:pPr>
              <w:pStyle w:val="Compact"/>
            </w:pPr>
            <w:r>
              <w:t xml:space="preserve">-0.79</w:t>
            </w:r>
          </w:p>
        </w:tc>
        <w:tc>
          <w:tcPr/>
          <w:p>
            <w:pPr>
              <w:pStyle w:val="Compact"/>
            </w:pPr>
            <w:r>
              <w:t xml:space="preserve">-0.0016</w:t>
            </w:r>
          </w:p>
        </w:tc>
      </w:tr>
      <w:tr>
        <w:tc>
          <w:tcPr/>
          <w:p>
            <w:pPr>
              <w:pStyle w:val="Compact"/>
            </w:pPr>
            <w:r>
              <w:t xml:space="preserve">50%</w:t>
            </w:r>
          </w:p>
        </w:tc>
        <w:tc>
          <w:tcPr/>
          <w:p>
            <w:pPr>
              <w:pStyle w:val="Compact"/>
            </w:pPr>
            <w:r>
              <w:t xml:space="preserve">new</w:t>
            </w:r>
          </w:p>
        </w:tc>
        <w:tc>
          <w:tcPr/>
          <w:p>
            <w:pPr>
              <w:pStyle w:val="Compact"/>
            </w:pPr>
            <w:r>
              <w:t xml:space="preserve">-0.0468</w:t>
            </w:r>
          </w:p>
        </w:tc>
        <w:tc>
          <w:tcPr/>
          <w:p>
            <w:pPr>
              <w:pStyle w:val="Compact"/>
            </w:pPr>
            <w:r>
              <w:t xml:space="preserve">+0.0089</w:t>
            </w:r>
          </w:p>
        </w:tc>
        <w:tc>
          <w:tcPr/>
          <w:p>
            <w:pPr>
              <w:pStyle w:val="Compact"/>
            </w:pPr>
            <w:r>
              <w:t xml:space="preserve">+1.18</w:t>
            </w:r>
          </w:p>
        </w:tc>
        <w:tc>
          <w:tcPr/>
          <w:p>
            <w:pPr>
              <w:pStyle w:val="Compact"/>
            </w:pPr>
            <w:r>
              <w:t xml:space="preserve">+0.0029</w:t>
            </w:r>
          </w:p>
        </w:tc>
      </w:tr>
    </w:tbl>
    <w:p>
      <w:pPr>
        <w:pStyle w:val="BodyText"/>
      </w:pPr>
      <w:r>
        <w:t xml:space="preserve">Table E2. The same design repeated over 25 independent heterogeneity fields at plus or minus 20%. The mean increment is a fraction of the field-to-field scatter in every zone, so no systematic bias is distinguishable from the choice of field.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Zone</w:t>
            </w:r>
          </w:p>
        </w:tc>
        <w:tc>
          <w:tcPr/>
          <w:p>
            <w:pPr>
              <w:pStyle w:val="Compact"/>
            </w:pPr>
            <w:r>
              <w:t xml:space="preserve">Bias mean</w:t>
            </w:r>
          </w:p>
        </w:tc>
        <w:tc>
          <w:tcPr/>
          <w:p>
            <w:pPr>
              <w:pStyle w:val="Compact"/>
            </w:pPr>
            <w:r>
              <w:t xml:space="preserve">Bias SD</w:t>
            </w:r>
          </w:p>
        </w:tc>
        <w:tc>
          <w:tcPr/>
          <w:p>
            <w:pPr>
              <w:pStyle w:val="Compact"/>
            </w:pPr>
            <w:r>
              <w:t xml:space="preserve">Increment mean</w:t>
            </w:r>
          </w:p>
        </w:tc>
        <w:tc>
          <w:tcPr/>
          <w:p>
            <w:pPr>
              <w:pStyle w:val="Compact"/>
            </w:pPr>
            <w:r>
              <w:t xml:space="preserve">Increment SD</w:t>
            </w:r>
          </w:p>
        </w:tc>
        <w:tc>
          <w:tcPr/>
          <w:p>
            <w:pPr>
              <w:pStyle w:val="Compact"/>
            </w:pPr>
          </w:p>
        </w:tc>
      </w:tr>
      <w:tr>
        <w:tc>
          <w:tcPr/>
          <w:p>
            <w:pPr>
              <w:pStyle w:val="Compact"/>
            </w:pPr>
            <w:r>
              <w:t xml:space="preserve">old</w:t>
            </w:r>
          </w:p>
        </w:tc>
        <w:tc>
          <w:tcPr/>
          <w:p>
            <w:pPr>
              <w:pStyle w:val="Compact"/>
            </w:pPr>
            <w:r>
              <w:t xml:space="preserve">+0.0231</w:t>
            </w:r>
          </w:p>
        </w:tc>
        <w:tc>
          <w:tcPr/>
          <w:p>
            <w:pPr>
              <w:pStyle w:val="Compact"/>
            </w:pPr>
            <w:r>
              <w:t xml:space="preserve">0.0335</w:t>
            </w:r>
          </w:p>
        </w:tc>
        <w:tc>
          <w:tcPr/>
          <w:p>
            <w:pPr>
              <w:pStyle w:val="Compact"/>
            </w:pPr>
            <w:r>
              <w:t xml:space="preserve">+0.0107</w:t>
            </w:r>
          </w:p>
        </w:tc>
        <w:tc>
          <w:tcPr/>
          <w:p>
            <w:pPr>
              <w:pStyle w:val="Compact"/>
            </w:pPr>
            <w:r>
              <w:t xml:space="preserve">0.0335</w:t>
            </w:r>
          </w:p>
        </w:tc>
        <w:tc>
          <w:tcPr/>
          <w:p>
            <w:pPr>
              <w:pStyle w:val="Compact"/>
            </w:pPr>
            <w:r>
              <w:t xml:space="preserve">0.32</w:t>
            </w:r>
          </w:p>
        </w:tc>
      </w:tr>
      <w:tr>
        <w:tc>
          <w:tcPr/>
          <w:p>
            <w:pPr>
              <w:pStyle w:val="Compact"/>
            </w:pPr>
            <w:r>
              <w:t xml:space="preserve">average</w:t>
            </w:r>
          </w:p>
        </w:tc>
        <w:tc>
          <w:tcPr/>
          <w:p>
            <w:pPr>
              <w:pStyle w:val="Compact"/>
            </w:pPr>
            <w:r>
              <w:t xml:space="preserve">-0.0089</w:t>
            </w:r>
          </w:p>
        </w:tc>
        <w:tc>
          <w:tcPr/>
          <w:p>
            <w:pPr>
              <w:pStyle w:val="Compact"/>
            </w:pPr>
            <w:r>
              <w:t xml:space="preserve">0.0046</w:t>
            </w:r>
          </w:p>
        </w:tc>
        <w:tc>
          <w:tcPr/>
          <w:p>
            <w:pPr>
              <w:pStyle w:val="Compact"/>
            </w:pPr>
            <w:r>
              <w:t xml:space="preserve">+0.0002</w:t>
            </w:r>
          </w:p>
        </w:tc>
        <w:tc>
          <w:tcPr/>
          <w:p>
            <w:pPr>
              <w:pStyle w:val="Compact"/>
            </w:pPr>
            <w:r>
              <w:t xml:space="preserve">0.0046</w:t>
            </w:r>
          </w:p>
        </w:tc>
        <w:tc>
          <w:tcPr/>
          <w:p>
            <w:pPr>
              <w:pStyle w:val="Compact"/>
            </w:pPr>
            <w:r>
              <w:t xml:space="preserve">0.04</w:t>
            </w:r>
          </w:p>
        </w:tc>
      </w:tr>
      <w:tr>
        <w:tc>
          <w:tcPr/>
          <w:p>
            <w:pPr>
              <w:pStyle w:val="Compact"/>
            </w:pPr>
            <w:r>
              <w:t xml:space="preserve">new</w:t>
            </w:r>
          </w:p>
        </w:tc>
        <w:tc>
          <w:tcPr/>
          <w:p>
            <w:pPr>
              <w:pStyle w:val="Compact"/>
            </w:pPr>
            <w:r>
              <w:t xml:space="preserve">+0.0055</w:t>
            </w:r>
          </w:p>
        </w:tc>
        <w:tc>
          <w:tcPr/>
          <w:p>
            <w:pPr>
              <w:pStyle w:val="Compact"/>
            </w:pPr>
            <w:r>
              <w:t xml:space="preserve">0.0021</w:t>
            </w:r>
          </w:p>
        </w:tc>
        <w:tc>
          <w:tcPr/>
          <w:p>
            <w:pPr>
              <w:pStyle w:val="Compact"/>
            </w:pPr>
            <w:r>
              <w:t xml:space="preserve">-0.0005</w:t>
            </w:r>
          </w:p>
        </w:tc>
        <w:tc>
          <w:tcPr/>
          <w:p>
            <w:pPr>
              <w:pStyle w:val="Compact"/>
            </w:pPr>
            <w:r>
              <w:t xml:space="preserve">0.0021</w:t>
            </w:r>
          </w:p>
        </w:tc>
        <w:tc>
          <w:tcPr/>
          <w:p>
            <w:pPr>
              <w:pStyle w:val="Compact"/>
            </w:pPr>
            <w:r>
              <w:t xml:space="preserve">0.24</w:t>
            </w:r>
          </w:p>
        </w:tc>
      </w:tr>
    </w:tbl>
    <w:p>
      <w:pPr>
        <w:pStyle w:val="BodyText"/>
      </w:pPr>
      <w:r>
        <w:t xml:space="preserve">Table E3. Length-structured heterogeneity in the reference realisation. The homogeneous baseline offset is what the same rule returns with no structural error at all and must be subtracted before a shift is read as structural.</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Zone</w:t>
            </w:r>
          </w:p>
        </w:tc>
        <w:tc>
          <w:tcPr/>
          <w:p>
            <w:pPr>
              <w:pStyle w:val="Compact"/>
            </w:pPr>
            <w:r>
              <w:t xml:space="preserve">Rule</w:t>
            </w:r>
          </w:p>
        </w:tc>
        <w:tc>
          <w:tcPr/>
          <w:p>
            <w:pPr>
              <w:pStyle w:val="Compact"/>
            </w:pPr>
            <w:r>
              <w:t xml:space="preserve">Arithmetic mean</w:t>
            </w:r>
          </w:p>
        </w:tc>
        <w:tc>
          <w:tcPr/>
          <w:p>
            <w:pPr>
              <w:pStyle w:val="Compact"/>
            </w:pPr>
            <w:r>
              <w:t xml:space="preserve">Length-weighted proxy</w:t>
            </w:r>
          </w:p>
        </w:tc>
        <w:tc>
          <w:tcPr/>
          <w:p>
            <w:pPr>
              <w:pStyle w:val="Compact"/>
            </w:pPr>
            <w:r>
              <w:t xml:space="preserve">Posterior mean</w:t>
            </w:r>
          </w:p>
        </w:tc>
        <w:tc>
          <w:tcPr/>
          <w:p>
            <w:pPr>
              <w:pStyle w:val="Compact"/>
            </w:pPr>
            <w:r>
              <w:t xml:space="preserve">Shift</w:t>
            </w:r>
          </w:p>
        </w:tc>
        <w:tc>
          <w:tcPr/>
          <w:p>
            <w:pPr>
              <w:pStyle w:val="Compact"/>
            </w:pPr>
            <w:r>
              <w:t xml:space="preserve">Homogeneous offset</w:t>
            </w:r>
          </w:p>
        </w:tc>
        <w:tc>
          <w:tcPr/>
          <w:p>
            <w:pPr>
              <w:pStyle w:val="Compact"/>
            </w:pPr>
            <w:r>
              <w:t xml:space="preserve">Fraction of gap</w:t>
            </w:r>
          </w:p>
        </w:tc>
      </w:tr>
      <w:tr>
        <w:tc>
          <w:tcPr/>
          <w:p>
            <w:pPr>
              <w:pStyle w:val="Compact"/>
            </w:pPr>
            <w:r>
              <w:t xml:space="preserve">old</w:t>
            </w:r>
          </w:p>
        </w:tc>
        <w:tc>
          <w:tcPr/>
          <w:p>
            <w:pPr>
              <w:pStyle w:val="Compact"/>
            </w:pPr>
            <w:r>
              <w:t xml:space="preserve">formal censored</w:t>
            </w:r>
          </w:p>
        </w:tc>
        <w:tc>
          <w:tcPr/>
          <w:p>
            <w:pPr>
              <w:pStyle w:val="Compact"/>
            </w:pPr>
            <w:r>
              <w:t xml:space="preserve">-1.0000</w:t>
            </w:r>
          </w:p>
        </w:tc>
        <w:tc>
          <w:tcPr/>
          <w:p>
            <w:pPr>
              <w:pStyle w:val="Compact"/>
            </w:pPr>
            <w:r>
              <w:t xml:space="preserve">-1.2404</w:t>
            </w:r>
          </w:p>
        </w:tc>
        <w:tc>
          <w:tcPr/>
          <w:p>
            <w:pPr>
              <w:pStyle w:val="Compact"/>
            </w:pPr>
            <w:r>
              <w:t xml:space="preserve">-1.1444</w:t>
            </w:r>
          </w:p>
        </w:tc>
        <w:tc>
          <w:tcPr/>
          <w:p>
            <w:pPr>
              <w:pStyle w:val="Compact"/>
            </w:pPr>
            <w:r>
              <w:t xml:space="preserve">-0.1444</w:t>
            </w:r>
          </w:p>
        </w:tc>
        <w:tc>
          <w:tcPr/>
          <w:p>
            <w:pPr>
              <w:pStyle w:val="Compact"/>
            </w:pPr>
            <w:r>
              <w:t xml:space="preserve">+0.0124</w:t>
            </w:r>
          </w:p>
        </w:tc>
        <w:tc>
          <w:tcPr/>
          <w:p>
            <w:pPr>
              <w:pStyle w:val="Compact"/>
            </w:pPr>
            <w:r>
              <w:t xml:space="preserve">60%</w:t>
            </w:r>
          </w:p>
        </w:tc>
      </w:tr>
      <w:tr>
        <w:tc>
          <w:tcPr/>
          <w:p>
            <w:pPr>
              <w:pStyle w:val="Compact"/>
            </w:pPr>
            <w:r>
              <w:t xml:space="preserve">old</w:t>
            </w:r>
          </w:p>
        </w:tc>
        <w:tc>
          <w:tcPr/>
          <w:p>
            <w:pPr>
              <w:pStyle w:val="Compact"/>
            </w:pPr>
            <w:r>
              <w:t xml:space="preserve">informal glue</w:t>
            </w:r>
          </w:p>
        </w:tc>
        <w:tc>
          <w:tcPr/>
          <w:p>
            <w:pPr>
              <w:pStyle w:val="Compact"/>
            </w:pPr>
            <w:r>
              <w:t xml:space="preserve">-1.0000</w:t>
            </w:r>
          </w:p>
        </w:tc>
        <w:tc>
          <w:tcPr/>
          <w:p>
            <w:pPr>
              <w:pStyle w:val="Compact"/>
            </w:pPr>
            <w:r>
              <w:t xml:space="preserve">-1.2404</w:t>
            </w:r>
          </w:p>
        </w:tc>
        <w:tc>
          <w:tcPr/>
          <w:p>
            <w:pPr>
              <w:pStyle w:val="Compact"/>
            </w:pPr>
            <w:r>
              <w:t xml:space="preserve">-1.0666</w:t>
            </w:r>
          </w:p>
        </w:tc>
        <w:tc>
          <w:tcPr/>
          <w:p>
            <w:pPr>
              <w:pStyle w:val="Compact"/>
            </w:pPr>
            <w:r>
              <w:t xml:space="preserve">-0.0666</w:t>
            </w:r>
          </w:p>
        </w:tc>
        <w:tc>
          <w:tcPr/>
          <w:p>
            <w:pPr>
              <w:pStyle w:val="Compact"/>
            </w:pPr>
            <w:r>
              <w:t xml:space="preserve">-0.0115</w:t>
            </w:r>
          </w:p>
        </w:tc>
        <w:tc>
          <w:tcPr/>
          <w:p>
            <w:pPr>
              <w:pStyle w:val="Compact"/>
            </w:pPr>
            <w:r>
              <w:t xml:space="preserve">28%</w:t>
            </w:r>
          </w:p>
        </w:tc>
      </w:tr>
      <w:tr>
        <w:tc>
          <w:tcPr/>
          <w:p>
            <w:pPr>
              <w:pStyle w:val="Compact"/>
            </w:pPr>
            <w:r>
              <w:t xml:space="preserve">average</w:t>
            </w:r>
          </w:p>
        </w:tc>
        <w:tc>
          <w:tcPr/>
          <w:p>
            <w:pPr>
              <w:pStyle w:val="Compact"/>
            </w:pPr>
            <w:r>
              <w:t xml:space="preserve">formal censored</w:t>
            </w:r>
          </w:p>
        </w:tc>
        <w:tc>
          <w:tcPr/>
          <w:p>
            <w:pPr>
              <w:pStyle w:val="Compact"/>
            </w:pPr>
            <w:r>
              <w:t xml:space="preserve">-0.1000</w:t>
            </w:r>
          </w:p>
        </w:tc>
        <w:tc>
          <w:tcPr/>
          <w:p>
            <w:pPr>
              <w:pStyle w:val="Compact"/>
            </w:pPr>
            <w:r>
              <w:t xml:space="preserve">-0.1238</w:t>
            </w:r>
          </w:p>
        </w:tc>
        <w:tc>
          <w:tcPr/>
          <w:p>
            <w:pPr>
              <w:pStyle w:val="Compact"/>
            </w:pPr>
            <w:r>
              <w:t xml:space="preserve">-0.1349</w:t>
            </w:r>
          </w:p>
        </w:tc>
        <w:tc>
          <w:tcPr/>
          <w:p>
            <w:pPr>
              <w:pStyle w:val="Compact"/>
            </w:pPr>
            <w:r>
              <w:t xml:space="preserve">-0.0349</w:t>
            </w:r>
          </w:p>
        </w:tc>
        <w:tc>
          <w:tcPr/>
          <w:p>
            <w:pPr>
              <w:pStyle w:val="Compact"/>
            </w:pPr>
            <w:r>
              <w:t xml:space="preserve">-0.0091</w:t>
            </w:r>
          </w:p>
        </w:tc>
        <w:tc>
          <w:tcPr/>
          <w:p>
            <w:pPr>
              <w:pStyle w:val="Compact"/>
            </w:pPr>
            <w:r>
              <w:t xml:space="preserve">147%</w:t>
            </w:r>
          </w:p>
        </w:tc>
      </w:tr>
      <w:tr>
        <w:tc>
          <w:tcPr/>
          <w:p>
            <w:pPr>
              <w:pStyle w:val="Compact"/>
            </w:pPr>
            <w:r>
              <w:t xml:space="preserve">average</w:t>
            </w:r>
          </w:p>
        </w:tc>
        <w:tc>
          <w:tcPr/>
          <w:p>
            <w:pPr>
              <w:pStyle w:val="Compact"/>
            </w:pPr>
            <w:r>
              <w:t xml:space="preserve">informal glue</w:t>
            </w:r>
          </w:p>
        </w:tc>
        <w:tc>
          <w:tcPr/>
          <w:p>
            <w:pPr>
              <w:pStyle w:val="Compact"/>
            </w:pPr>
            <w:r>
              <w:t xml:space="preserve">-0.1000</w:t>
            </w:r>
          </w:p>
        </w:tc>
        <w:tc>
          <w:tcPr/>
          <w:p>
            <w:pPr>
              <w:pStyle w:val="Compact"/>
            </w:pPr>
            <w:r>
              <w:t xml:space="preserve">-0.1238</w:t>
            </w:r>
          </w:p>
        </w:tc>
        <w:tc>
          <w:tcPr/>
          <w:p>
            <w:pPr>
              <w:pStyle w:val="Compact"/>
            </w:pPr>
            <w:r>
              <w:t xml:space="preserve">-0.1300</w:t>
            </w:r>
          </w:p>
        </w:tc>
        <w:tc>
          <w:tcPr/>
          <w:p>
            <w:pPr>
              <w:pStyle w:val="Compact"/>
            </w:pPr>
            <w:r>
              <w:t xml:space="preserve">-0.0300</w:t>
            </w:r>
          </w:p>
        </w:tc>
        <w:tc>
          <w:tcPr/>
          <w:p>
            <w:pPr>
              <w:pStyle w:val="Compact"/>
            </w:pPr>
            <w:r>
              <w:t xml:space="preserve">-0.0170</w:t>
            </w:r>
          </w:p>
        </w:tc>
        <w:tc>
          <w:tcPr/>
          <w:p>
            <w:pPr>
              <w:pStyle w:val="Compact"/>
            </w:pPr>
            <w:r>
              <w:t xml:space="preserve">126%</w:t>
            </w:r>
          </w:p>
        </w:tc>
      </w:tr>
      <w:tr>
        <w:tc>
          <w:tcPr/>
          <w:p>
            <w:pPr>
              <w:pStyle w:val="Compact"/>
            </w:pPr>
            <w:r>
              <w:t xml:space="preserve">new</w:t>
            </w:r>
          </w:p>
        </w:tc>
        <w:tc>
          <w:tcPr/>
          <w:p>
            <w:pPr>
              <w:pStyle w:val="Compact"/>
            </w:pPr>
            <w:r>
              <w:t xml:space="preserve">formal censored</w:t>
            </w:r>
          </w:p>
        </w:tc>
        <w:tc>
          <w:tcPr/>
          <w:p>
            <w:pPr>
              <w:pStyle w:val="Compact"/>
            </w:pPr>
            <w:r>
              <w:t xml:space="preserve">-0.0500</w:t>
            </w:r>
          </w:p>
        </w:tc>
        <w:tc>
          <w:tcPr/>
          <w:p>
            <w:pPr>
              <w:pStyle w:val="Compact"/>
            </w:pPr>
            <w:r>
              <w:t xml:space="preserve">-0.0659</w:t>
            </w:r>
          </w:p>
        </w:tc>
        <w:tc>
          <w:tcPr/>
          <w:p>
            <w:pPr>
              <w:pStyle w:val="Compact"/>
            </w:pPr>
            <w:r>
              <w:t xml:space="preserve">-0.0571</w:t>
            </w:r>
          </w:p>
        </w:tc>
        <w:tc>
          <w:tcPr/>
          <w:p>
            <w:pPr>
              <w:pStyle w:val="Compact"/>
            </w:pPr>
            <w:r>
              <w:t xml:space="preserve">-0.0071</w:t>
            </w:r>
          </w:p>
        </w:tc>
        <w:tc>
          <w:tcPr/>
          <w:p>
            <w:pPr>
              <w:pStyle w:val="Compact"/>
            </w:pPr>
            <w:r>
              <w:t xml:space="preserve">+0.0060</w:t>
            </w:r>
          </w:p>
        </w:tc>
        <w:tc>
          <w:tcPr/>
          <w:p>
            <w:pPr>
              <w:pStyle w:val="Compact"/>
            </w:pPr>
            <w:r>
              <w:t xml:space="preserve">45%</w:t>
            </w:r>
          </w:p>
        </w:tc>
      </w:tr>
      <w:tr>
        <w:tc>
          <w:tcPr/>
          <w:p>
            <w:pPr>
              <w:pStyle w:val="Compact"/>
            </w:pPr>
            <w:r>
              <w:t xml:space="preserve">new</w:t>
            </w:r>
          </w:p>
        </w:tc>
        <w:tc>
          <w:tcPr/>
          <w:p>
            <w:pPr>
              <w:pStyle w:val="Compact"/>
            </w:pPr>
            <w:r>
              <w:t xml:space="preserve">informal glue</w:t>
            </w:r>
          </w:p>
        </w:tc>
        <w:tc>
          <w:tcPr/>
          <w:p>
            <w:pPr>
              <w:pStyle w:val="Compact"/>
            </w:pPr>
            <w:r>
              <w:t xml:space="preserve">-0.0500</w:t>
            </w:r>
          </w:p>
        </w:tc>
        <w:tc>
          <w:tcPr/>
          <w:p>
            <w:pPr>
              <w:pStyle w:val="Compact"/>
            </w:pPr>
            <w:r>
              <w:t xml:space="preserve">-0.0659</w:t>
            </w:r>
          </w:p>
        </w:tc>
        <w:tc>
          <w:tcPr/>
          <w:p>
            <w:pPr>
              <w:pStyle w:val="Compact"/>
            </w:pPr>
            <w:r>
              <w:t xml:space="preserve">-0.0593</w:t>
            </w:r>
          </w:p>
        </w:tc>
        <w:tc>
          <w:tcPr/>
          <w:p>
            <w:pPr>
              <w:pStyle w:val="Compact"/>
            </w:pPr>
            <w:r>
              <w:t xml:space="preserve">-0.0093</w:t>
            </w:r>
          </w:p>
        </w:tc>
        <w:tc>
          <w:tcPr/>
          <w:p>
            <w:pPr>
              <w:pStyle w:val="Compact"/>
            </w:pPr>
            <w:r>
              <w:t xml:space="preserve">+0.0008</w:t>
            </w:r>
          </w:p>
        </w:tc>
        <w:tc>
          <w:tcPr/>
          <w:p>
            <w:pPr>
              <w:pStyle w:val="Compact"/>
            </w:pPr>
            <w:r>
              <w:t xml:space="preserve">58%</w:t>
            </w:r>
          </w:p>
        </w:tc>
      </w:tr>
    </w:tbl>
    <w:p>
      <w:pPr>
        <w:pStyle w:val="BodyText"/>
      </w:pPr>
      <w:r>
        <w:t xml:space="preserve">Table E4. Length-structured amplitude sweep over 30 noise realisations. Entries are the median raw displacement fraction with its 5 to 95% range, where 0 is the arithmetic zone mean and 1 the length-weighted reference. The fraction is undefined at an amplitude of zero because the two references coincide.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Amplitude</w:t>
            </w:r>
          </w:p>
        </w:tc>
        <w:tc>
          <w:tcPr/>
          <w:p>
            <w:pPr>
              <w:pStyle w:val="Compact"/>
            </w:pPr>
            <w:r>
              <w:t xml:space="preserve">old formal</w:t>
            </w:r>
          </w:p>
        </w:tc>
        <w:tc>
          <w:tcPr/>
          <w:p>
            <w:pPr>
              <w:pStyle w:val="Compact"/>
            </w:pPr>
            <w:r>
              <w:t xml:space="preserve">old informal</w:t>
            </w:r>
          </w:p>
        </w:tc>
        <w:tc>
          <w:tcPr/>
          <w:p>
            <w:pPr>
              <w:pStyle w:val="Compact"/>
            </w:pPr>
            <w:r>
              <w:t xml:space="preserve">average formal</w:t>
            </w:r>
          </w:p>
        </w:tc>
        <w:tc>
          <w:tcPr/>
          <w:p>
            <w:pPr>
              <w:pStyle w:val="Compact"/>
            </w:pPr>
            <w:r>
              <w:t xml:space="preserve">average informal</w:t>
            </w:r>
          </w:p>
        </w:tc>
        <w:tc>
          <w:tcPr/>
          <w:p>
            <w:pPr>
              <w:pStyle w:val="Compact"/>
            </w:pPr>
            <w:r>
              <w:t xml:space="preserve">new formal</w:t>
            </w:r>
          </w:p>
        </w:tc>
        <w:tc>
          <w:tcPr/>
          <w:p>
            <w:pPr>
              <w:pStyle w:val="Compact"/>
            </w:pPr>
            <w:r>
              <w:t xml:space="preserve">new informal</w:t>
            </w:r>
          </w:p>
        </w:tc>
      </w:tr>
      <w:tr>
        <w:tc>
          <w:tcPr/>
          <w:p>
            <w:pPr>
              <w:pStyle w:val="Compact"/>
            </w:pPr>
            <w:r>
              <w:t xml:space="preserve">0.00</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0.25</w:t>
            </w:r>
          </w:p>
        </w:tc>
        <w:tc>
          <w:tcPr/>
          <w:p>
            <w:pPr>
              <w:pStyle w:val="Compact"/>
            </w:pPr>
            <w:r>
              <w:t xml:space="preserve">1.10 [-0.29, 2.47]</w:t>
            </w:r>
          </w:p>
        </w:tc>
        <w:tc>
          <w:tcPr/>
          <w:p>
            <w:pPr>
              <w:pStyle w:val="Compact"/>
            </w:pPr>
            <w:r>
              <w:t xml:space="preserve">0.65 [-0.05, 1.11]</w:t>
            </w:r>
          </w:p>
        </w:tc>
        <w:tc>
          <w:tcPr/>
          <w:p>
            <w:pPr>
              <w:pStyle w:val="Compact"/>
            </w:pPr>
            <w:r>
              <w:t xml:space="preserve">1.26 [-0.95, 3.72]</w:t>
            </w:r>
          </w:p>
        </w:tc>
        <w:tc>
          <w:tcPr/>
          <w:p>
            <w:pPr>
              <w:pStyle w:val="Compact"/>
            </w:pPr>
            <w:r>
              <w:t xml:space="preserve">2.00 [1.12, 2.77]</w:t>
            </w:r>
          </w:p>
        </w:tc>
        <w:tc>
          <w:tcPr/>
          <w:p>
            <w:pPr>
              <w:pStyle w:val="Compact"/>
            </w:pPr>
            <w:r>
              <w:t xml:space="preserve">0.98 [-0.89, 2.66]</w:t>
            </w:r>
          </w:p>
        </w:tc>
        <w:tc>
          <w:tcPr/>
          <w:p>
            <w:pPr>
              <w:pStyle w:val="Compact"/>
            </w:pPr>
            <w:r>
              <w:t xml:space="preserve">0.89 [0.29, 1.52]</w:t>
            </w:r>
          </w:p>
        </w:tc>
      </w:tr>
      <w:tr>
        <w:tc>
          <w:tcPr/>
          <w:p>
            <w:pPr>
              <w:pStyle w:val="Compact"/>
            </w:pPr>
            <w:r>
              <w:t xml:space="preserve">0.50</w:t>
            </w:r>
          </w:p>
        </w:tc>
        <w:tc>
          <w:tcPr/>
          <w:p>
            <w:pPr>
              <w:pStyle w:val="Compact"/>
            </w:pPr>
            <w:r>
              <w:t xml:space="preserve">0.86 [0.12, 1.46]</w:t>
            </w:r>
          </w:p>
        </w:tc>
        <w:tc>
          <w:tcPr/>
          <w:p>
            <w:pPr>
              <w:pStyle w:val="Compact"/>
            </w:pPr>
            <w:r>
              <w:t xml:space="preserve">0.43 [0.16, 0.69]</w:t>
            </w:r>
          </w:p>
        </w:tc>
        <w:tc>
          <w:tcPr/>
          <w:p>
            <w:pPr>
              <w:pStyle w:val="Compact"/>
            </w:pPr>
            <w:r>
              <w:t xml:space="preserve">1.12 [-0.07, 2.43]</w:t>
            </w:r>
          </w:p>
        </w:tc>
        <w:tc>
          <w:tcPr/>
          <w:p>
            <w:pPr>
              <w:pStyle w:val="Compact"/>
            </w:pPr>
            <w:r>
              <w:t xml:space="preserve">1.22 [0.98, 1.66]</w:t>
            </w:r>
          </w:p>
        </w:tc>
        <w:tc>
          <w:tcPr/>
          <w:p>
            <w:pPr>
              <w:pStyle w:val="Compact"/>
            </w:pPr>
            <w:r>
              <w:t xml:space="preserve">0.92 [-0.03, 1.78]</w:t>
            </w:r>
          </w:p>
        </w:tc>
        <w:tc>
          <w:tcPr/>
          <w:p>
            <w:pPr>
              <w:pStyle w:val="Compact"/>
            </w:pPr>
            <w:r>
              <w:t xml:space="preserve">0.78 [0.40, 1.08]</w:t>
            </w:r>
          </w:p>
        </w:tc>
      </w:tr>
      <w:tr>
        <w:tc>
          <w:tcPr/>
          <w:p>
            <w:pPr>
              <w:pStyle w:val="Compact"/>
            </w:pPr>
            <w:r>
              <w:t xml:space="preserve">0.75</w:t>
            </w:r>
          </w:p>
        </w:tc>
        <w:tc>
          <w:tcPr/>
          <w:p>
            <w:pPr>
              <w:pStyle w:val="Compact"/>
            </w:pPr>
            <w:r>
              <w:t xml:space="preserve">0.74 [0.23, 1.06]</w:t>
            </w:r>
          </w:p>
        </w:tc>
        <w:tc>
          <w:tcPr/>
          <w:p>
            <w:pPr>
              <w:pStyle w:val="Compact"/>
            </w:pPr>
            <w:r>
              <w:t xml:space="preserve">0.34 [0.16, 0.52]</w:t>
            </w:r>
          </w:p>
        </w:tc>
        <w:tc>
          <w:tcPr/>
          <w:p>
            <w:pPr>
              <w:pStyle w:val="Compact"/>
            </w:pPr>
            <w:r>
              <w:t xml:space="preserve">1.07 [0.22, 1.93]</w:t>
            </w:r>
          </w:p>
        </w:tc>
        <w:tc>
          <w:tcPr/>
          <w:p>
            <w:pPr>
              <w:pStyle w:val="Compact"/>
            </w:pPr>
            <w:r>
              <w:t xml:space="preserve">0.97 [0.74, 1.26]</w:t>
            </w:r>
          </w:p>
        </w:tc>
        <w:tc>
          <w:tcPr/>
          <w:p>
            <w:pPr>
              <w:pStyle w:val="Compact"/>
            </w:pPr>
            <w:r>
              <w:t xml:space="preserve">0.89 [0.26, 1.46]</w:t>
            </w:r>
          </w:p>
        </w:tc>
        <w:tc>
          <w:tcPr/>
          <w:p>
            <w:pPr>
              <w:pStyle w:val="Compact"/>
            </w:pPr>
            <w:r>
              <w:t xml:space="preserve">0.72 [0.43, 0.92]</w:t>
            </w:r>
          </w:p>
        </w:tc>
      </w:tr>
    </w:tbl>
    <w:bookmarkEnd w:id="163"/>
    <w:bookmarkStart w:id="164" w:name="Xc8c108fff9324274ec271495265452b9f890e51"/>
    <w:p>
      <w:pPr>
        <w:pStyle w:val="Heading2"/>
      </w:pPr>
      <w:r>
        <w:t xml:space="preserve">Appendix F. Per-arm sensor error and drift results</w:t>
      </w:r>
    </w:p>
    <w:p>
      <w:pPr>
        <w:pStyle w:val="FirstParagraph"/>
      </w:pPr>
      <w:r>
        <w:t xml:space="preserve">Table F1. Every arm of the sensor-bias sweep under the primary rule, as the displacement of each coefficient in baseline posterior standard deviations. Rank statistics compare the 92-junction risk field with the unbiased case.</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t xml:space="preserve">Node</w:t>
            </w:r>
          </w:p>
        </w:tc>
        <w:tc>
          <w:tcPr/>
          <w:p>
            <w:pPr>
              <w:pStyle w:val="Compact"/>
            </w:pPr>
            <w:r>
              <w:t xml:space="preserve">Zone</w:t>
            </w:r>
          </w:p>
        </w:tc>
        <w:tc>
          <w:tcPr/>
          <w:p>
            <w:pPr>
              <w:pStyle w:val="Compact"/>
            </w:pPr>
            <w:r>
              <w:t xml:space="preserve">Offset (mg L-1)</w:t>
            </w:r>
          </w:p>
        </w:tc>
        <w:tc>
          <w:tcPr/>
          <w:p>
            <w:pPr>
              <w:pStyle w:val="Compact"/>
            </w:pPr>
            <w:r>
              <w:t xml:space="preserve">old</w:t>
            </w:r>
          </w:p>
        </w:tc>
        <w:tc>
          <w:tcPr/>
          <w:p>
            <w:pPr>
              <w:pStyle w:val="Compact"/>
            </w:pPr>
            <w:r>
              <w:t xml:space="preserve">average</w:t>
            </w:r>
          </w:p>
        </w:tc>
        <w:tc>
          <w:tcPr/>
          <w:p>
            <w:pPr>
              <w:pStyle w:val="Compact"/>
            </w:pPr>
            <w:r>
              <w:t xml:space="preserve">new</w:t>
            </w:r>
          </w:p>
        </w:tc>
        <w:tc>
          <w:tcPr/>
          <w:p>
            <w:pPr>
              <w:pStyle w:val="Compact"/>
            </w:pPr>
            <w:r>
              <w:t xml:space="preserve">Censored points</w:t>
            </w:r>
          </w:p>
        </w:tc>
        <w:tc>
          <w:tcPr/>
          <w:p>
            <w:pPr>
              <w:pStyle w:val="Compact"/>
            </w:pPr>
            <w:r>
              <w:t xml:space="preserve">Spearman</w:t>
            </w:r>
          </w:p>
        </w:tc>
        <w:tc>
          <w:tcPr/>
          <w:p>
            <w:pPr>
              <w:pStyle w:val="Compact"/>
            </w:pPr>
            <w:r>
              <w:t xml:space="preserve">Top-6 Jaccard (duration)</w:t>
            </w:r>
          </w:p>
        </w:tc>
        <w:tc>
          <w:tcPr/>
          <w:p>
            <w:pPr>
              <w:pStyle w:val="Compact"/>
            </w:pPr>
            <w:r>
              <w:t xml:space="preserve">Top-6 Jaccard (deficit)</w:t>
            </w:r>
          </w:p>
        </w:tc>
      </w:tr>
      <w:tr>
        <w:tc>
          <w:tcPr/>
          <w:p>
            <w:pPr>
              <w:pStyle w:val="Compact"/>
            </w:pPr>
            <w:r>
              <w:t xml:space="preserve">107</w:t>
            </w:r>
          </w:p>
        </w:tc>
        <w:tc>
          <w:tcPr/>
          <w:p>
            <w:pPr>
              <w:pStyle w:val="Compact"/>
            </w:pPr>
            <w:r>
              <w:t xml:space="preserve">new</w:t>
            </w:r>
          </w:p>
        </w:tc>
        <w:tc>
          <w:tcPr/>
          <w:p>
            <w:pPr>
              <w:pStyle w:val="Compact"/>
            </w:pPr>
            <w:r>
              <w:t xml:space="preserve">-0.100</w:t>
            </w:r>
          </w:p>
        </w:tc>
        <w:tc>
          <w:tcPr/>
          <w:p>
            <w:pPr>
              <w:pStyle w:val="Compact"/>
            </w:pPr>
            <w:r>
              <w:t xml:space="preserve">+0.91</w:t>
            </w:r>
          </w:p>
        </w:tc>
        <w:tc>
          <w:tcPr/>
          <w:p>
            <w:pPr>
              <w:pStyle w:val="Compact"/>
            </w:pPr>
            <w:r>
              <w:t xml:space="preserve">+1.59</w:t>
            </w:r>
          </w:p>
        </w:tc>
        <w:tc>
          <w:tcPr/>
          <w:p>
            <w:pPr>
              <w:pStyle w:val="Compact"/>
            </w:pPr>
            <w:r>
              <w:t xml:space="preserve">-3.84</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113</w:t>
            </w:r>
          </w:p>
        </w:tc>
        <w:tc>
          <w:tcPr/>
          <w:p>
            <w:pPr>
              <w:pStyle w:val="Compact"/>
            </w:pPr>
            <w:r>
              <w:t xml:space="preserve">new</w:t>
            </w:r>
          </w:p>
        </w:tc>
        <w:tc>
          <w:tcPr/>
          <w:p>
            <w:pPr>
              <w:pStyle w:val="Compact"/>
            </w:pPr>
            <w:r>
              <w:t xml:space="preserve">-0.100</w:t>
            </w:r>
          </w:p>
        </w:tc>
        <w:tc>
          <w:tcPr/>
          <w:p>
            <w:pPr>
              <w:pStyle w:val="Compact"/>
            </w:pPr>
            <w:r>
              <w:t xml:space="preserve">+1.01</w:t>
            </w:r>
          </w:p>
        </w:tc>
        <w:tc>
          <w:tcPr/>
          <w:p>
            <w:pPr>
              <w:pStyle w:val="Compact"/>
            </w:pPr>
            <w:r>
              <w:t xml:space="preserve">+1.82</w:t>
            </w:r>
          </w:p>
        </w:tc>
        <w:tc>
          <w:tcPr/>
          <w:p>
            <w:pPr>
              <w:pStyle w:val="Compact"/>
            </w:pPr>
            <w:r>
              <w:t xml:space="preserve">-4.44</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15</w:t>
            </w:r>
          </w:p>
        </w:tc>
        <w:tc>
          <w:tcPr/>
          <w:p>
            <w:pPr>
              <w:pStyle w:val="Compact"/>
            </w:pPr>
            <w:r>
              <w:t xml:space="preserve">old</w:t>
            </w:r>
          </w:p>
        </w:tc>
        <w:tc>
          <w:tcPr/>
          <w:p>
            <w:pPr>
              <w:pStyle w:val="Compact"/>
            </w:pPr>
            <w:r>
              <w:t xml:space="preserve">-0.100</w:t>
            </w:r>
          </w:p>
        </w:tc>
        <w:tc>
          <w:tcPr/>
          <w:p>
            <w:pPr>
              <w:pStyle w:val="Compact"/>
            </w:pPr>
            <w:r>
              <w:t xml:space="preserve">-3.82</w:t>
            </w:r>
          </w:p>
        </w:tc>
        <w:tc>
          <w:tcPr/>
          <w:p>
            <w:pPr>
              <w:pStyle w:val="Compact"/>
            </w:pPr>
            <w:r>
              <w:t xml:space="preserve">+0.08</w:t>
            </w:r>
          </w:p>
        </w:tc>
        <w:tc>
          <w:tcPr/>
          <w:p>
            <w:pPr>
              <w:pStyle w:val="Compact"/>
            </w:pPr>
            <w:r>
              <w:t xml:space="preserve">+0.14</w:t>
            </w:r>
          </w:p>
        </w:tc>
        <w:tc>
          <w:tcPr/>
          <w:p>
            <w:pPr>
              <w:pStyle w:val="Compact"/>
            </w:pPr>
            <w:r>
              <w:t xml:space="preserve">13</w:t>
            </w:r>
          </w:p>
        </w:tc>
        <w:tc>
          <w:tcPr/>
          <w:p>
            <w:pPr>
              <w:pStyle w:val="Compact"/>
            </w:pPr>
            <w:r>
              <w:t xml:space="preserve">0.9995</w:t>
            </w:r>
          </w:p>
        </w:tc>
        <w:tc>
          <w:tcPr/>
          <w:p>
            <w:pPr>
              <w:pStyle w:val="Compact"/>
            </w:pPr>
            <w:r>
              <w:t xml:space="preserve">1.00</w:t>
            </w:r>
          </w:p>
        </w:tc>
        <w:tc>
          <w:tcPr/>
          <w:p>
            <w:pPr>
              <w:pStyle w:val="Compact"/>
            </w:pPr>
            <w:r>
              <w:t xml:space="preserve">1.00</w:t>
            </w:r>
          </w:p>
        </w:tc>
      </w:tr>
      <w:tr>
        <w:tc>
          <w:tcPr/>
          <w:p>
            <w:pPr>
              <w:pStyle w:val="Compact"/>
            </w:pPr>
            <w:r>
              <w:t xml:space="preserve">145</w:t>
            </w:r>
          </w:p>
        </w:tc>
        <w:tc>
          <w:tcPr/>
          <w:p>
            <w:pPr>
              <w:pStyle w:val="Compact"/>
            </w:pPr>
            <w:r>
              <w:t xml:space="preserve">old</w:t>
            </w:r>
          </w:p>
        </w:tc>
        <w:tc>
          <w:tcPr/>
          <w:p>
            <w:pPr>
              <w:pStyle w:val="Compact"/>
            </w:pPr>
            <w:r>
              <w:t xml:space="preserve">-0.100</w:t>
            </w:r>
          </w:p>
        </w:tc>
        <w:tc>
          <w:tcPr/>
          <w:p>
            <w:pPr>
              <w:pStyle w:val="Compact"/>
            </w:pPr>
            <w:r>
              <w:t xml:space="preserve">-3.31</w:t>
            </w:r>
          </w:p>
        </w:tc>
        <w:tc>
          <w:tcPr/>
          <w:p>
            <w:pPr>
              <w:pStyle w:val="Compact"/>
            </w:pPr>
            <w:r>
              <w:t xml:space="preserve">+0.48</w:t>
            </w:r>
          </w:p>
        </w:tc>
        <w:tc>
          <w:tcPr/>
          <w:p>
            <w:pPr>
              <w:pStyle w:val="Compact"/>
            </w:pPr>
            <w:r>
              <w:t xml:space="preserve">-0.80</w:t>
            </w:r>
          </w:p>
        </w:tc>
        <w:tc>
          <w:tcPr/>
          <w:p>
            <w:pPr>
              <w:pStyle w:val="Compact"/>
            </w:pPr>
            <w:r>
              <w:t xml:space="preserve">12</w:t>
            </w:r>
          </w:p>
        </w:tc>
        <w:tc>
          <w:tcPr/>
          <w:p>
            <w:pPr>
              <w:pStyle w:val="Compact"/>
            </w:pPr>
            <w:r>
              <w:t xml:space="preserve">0.9996</w:t>
            </w:r>
          </w:p>
        </w:tc>
        <w:tc>
          <w:tcPr/>
          <w:p>
            <w:pPr>
              <w:pStyle w:val="Compact"/>
            </w:pPr>
            <w:r>
              <w:t xml:space="preserve">1.00</w:t>
            </w:r>
          </w:p>
        </w:tc>
        <w:tc>
          <w:tcPr/>
          <w:p>
            <w:pPr>
              <w:pStyle w:val="Compact"/>
            </w:pPr>
            <w:r>
              <w:t xml:space="preserve">1.00</w:t>
            </w:r>
          </w:p>
        </w:tc>
      </w:tr>
      <w:tr>
        <w:tc>
          <w:tcPr/>
          <w:p>
            <w:pPr>
              <w:pStyle w:val="Compact"/>
            </w:pPr>
            <w:r>
              <w:t xml:space="preserve">209</w:t>
            </w:r>
          </w:p>
        </w:tc>
        <w:tc>
          <w:tcPr/>
          <w:p>
            <w:pPr>
              <w:pStyle w:val="Compact"/>
            </w:pPr>
            <w:r>
              <w:t xml:space="preserve">average</w:t>
            </w:r>
          </w:p>
        </w:tc>
        <w:tc>
          <w:tcPr/>
          <w:p>
            <w:pPr>
              <w:pStyle w:val="Compact"/>
            </w:pPr>
            <w:r>
              <w:t xml:space="preserve">-0.100</w:t>
            </w:r>
          </w:p>
        </w:tc>
        <w:tc>
          <w:tcPr/>
          <w:p>
            <w:pPr>
              <w:pStyle w:val="Compact"/>
            </w:pPr>
            <w:r>
              <w:t xml:space="preserve">+0.74</w:t>
            </w:r>
          </w:p>
        </w:tc>
        <w:tc>
          <w:tcPr/>
          <w:p>
            <w:pPr>
              <w:pStyle w:val="Compact"/>
            </w:pPr>
            <w:r>
              <w:t xml:space="preserve">-1.89</w:t>
            </w:r>
          </w:p>
        </w:tc>
        <w:tc>
          <w:tcPr/>
          <w:p>
            <w:pPr>
              <w:pStyle w:val="Compact"/>
            </w:pPr>
            <w:r>
              <w:t xml:space="preserve">-2.66</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231</w:t>
            </w:r>
          </w:p>
        </w:tc>
        <w:tc>
          <w:tcPr/>
          <w:p>
            <w:pPr>
              <w:pStyle w:val="Compact"/>
            </w:pPr>
            <w:r>
              <w:t xml:space="preserve">average</w:t>
            </w:r>
          </w:p>
        </w:tc>
        <w:tc>
          <w:tcPr/>
          <w:p>
            <w:pPr>
              <w:pStyle w:val="Compact"/>
            </w:pPr>
            <w:r>
              <w:t xml:space="preserve">-0.100</w:t>
            </w:r>
          </w:p>
        </w:tc>
        <w:tc>
          <w:tcPr/>
          <w:p>
            <w:pPr>
              <w:pStyle w:val="Compact"/>
            </w:pPr>
            <w:r>
              <w:t xml:space="preserve">-0.29</w:t>
            </w:r>
          </w:p>
        </w:tc>
        <w:tc>
          <w:tcPr/>
          <w:p>
            <w:pPr>
              <w:pStyle w:val="Compact"/>
            </w:pPr>
            <w:r>
              <w:t xml:space="preserve">-5.94</w:t>
            </w:r>
          </w:p>
        </w:tc>
        <w:tc>
          <w:tcPr/>
          <w:p>
            <w:pPr>
              <w:pStyle w:val="Compact"/>
            </w:pPr>
            <w:r>
              <w:t xml:space="preserve">+0.74</w:t>
            </w:r>
          </w:p>
        </w:tc>
        <w:tc>
          <w:tcPr/>
          <w:p>
            <w:pPr>
              <w:pStyle w:val="Compact"/>
            </w:pPr>
            <w:r>
              <w:t xml:space="preserve">7</w:t>
            </w:r>
          </w:p>
        </w:tc>
        <w:tc>
          <w:tcPr/>
          <w:p>
            <w:pPr>
              <w:pStyle w:val="Compact"/>
            </w:pPr>
            <w:r>
              <w:t xml:space="preserve">0.9999</w:t>
            </w:r>
          </w:p>
        </w:tc>
        <w:tc>
          <w:tcPr/>
          <w:p>
            <w:pPr>
              <w:pStyle w:val="Compact"/>
            </w:pPr>
            <w:r>
              <w:t xml:space="preserve">1.00</w:t>
            </w:r>
          </w:p>
        </w:tc>
        <w:tc>
          <w:tcPr/>
          <w:p>
            <w:pPr>
              <w:pStyle w:val="Compact"/>
            </w:pPr>
            <w:r>
              <w:t xml:space="preserve">1.00</w:t>
            </w:r>
          </w:p>
        </w:tc>
      </w:tr>
      <w:tr>
        <w:tc>
          <w:tcPr/>
          <w:p>
            <w:pPr>
              <w:pStyle w:val="Compact"/>
            </w:pPr>
            <w:r>
              <w:t xml:space="preserve">107</w:t>
            </w:r>
          </w:p>
        </w:tc>
        <w:tc>
          <w:tcPr/>
          <w:p>
            <w:pPr>
              <w:pStyle w:val="Compact"/>
            </w:pPr>
            <w:r>
              <w:t xml:space="preserve">new</w:t>
            </w:r>
          </w:p>
        </w:tc>
        <w:tc>
          <w:tcPr/>
          <w:p>
            <w:pPr>
              <w:pStyle w:val="Compact"/>
            </w:pPr>
            <w:r>
              <w:t xml:space="preserve">-0.050</w:t>
            </w:r>
          </w:p>
        </w:tc>
        <w:tc>
          <w:tcPr/>
          <w:p>
            <w:pPr>
              <w:pStyle w:val="Compact"/>
            </w:pPr>
            <w:r>
              <w:t xml:space="preserve">+0.50</w:t>
            </w:r>
          </w:p>
        </w:tc>
        <w:tc>
          <w:tcPr/>
          <w:p>
            <w:pPr>
              <w:pStyle w:val="Compact"/>
            </w:pPr>
            <w:r>
              <w:t xml:space="preserve">+0.83</w:t>
            </w:r>
          </w:p>
        </w:tc>
        <w:tc>
          <w:tcPr/>
          <w:p>
            <w:pPr>
              <w:pStyle w:val="Compact"/>
            </w:pPr>
            <w:r>
              <w:t xml:space="preserve">-1.92</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113</w:t>
            </w:r>
          </w:p>
        </w:tc>
        <w:tc>
          <w:tcPr/>
          <w:p>
            <w:pPr>
              <w:pStyle w:val="Compact"/>
            </w:pPr>
            <w:r>
              <w:t xml:space="preserve">new</w:t>
            </w:r>
          </w:p>
        </w:tc>
        <w:tc>
          <w:tcPr/>
          <w:p>
            <w:pPr>
              <w:pStyle w:val="Compact"/>
            </w:pPr>
            <w:r>
              <w:t xml:space="preserve">-0.050</w:t>
            </w:r>
          </w:p>
        </w:tc>
        <w:tc>
          <w:tcPr/>
          <w:p>
            <w:pPr>
              <w:pStyle w:val="Compact"/>
            </w:pPr>
            <w:r>
              <w:t xml:space="preserve">+0.57</w:t>
            </w:r>
          </w:p>
        </w:tc>
        <w:tc>
          <w:tcPr/>
          <w:p>
            <w:pPr>
              <w:pStyle w:val="Compact"/>
            </w:pPr>
            <w:r>
              <w:t xml:space="preserve">+0.97</w:t>
            </w:r>
          </w:p>
        </w:tc>
        <w:tc>
          <w:tcPr/>
          <w:p>
            <w:pPr>
              <w:pStyle w:val="Compact"/>
            </w:pPr>
            <w:r>
              <w:t xml:space="preserve">-2.24</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15</w:t>
            </w:r>
          </w:p>
        </w:tc>
        <w:tc>
          <w:tcPr/>
          <w:p>
            <w:pPr>
              <w:pStyle w:val="Compact"/>
            </w:pPr>
            <w:r>
              <w:t xml:space="preserve">old</w:t>
            </w:r>
          </w:p>
        </w:tc>
        <w:tc>
          <w:tcPr/>
          <w:p>
            <w:pPr>
              <w:pStyle w:val="Compact"/>
            </w:pPr>
            <w:r>
              <w:t xml:space="preserve">-0.050</w:t>
            </w:r>
          </w:p>
        </w:tc>
        <w:tc>
          <w:tcPr/>
          <w:p>
            <w:pPr>
              <w:pStyle w:val="Compact"/>
            </w:pPr>
            <w:r>
              <w:t xml:space="preserve">-2.59</w:t>
            </w:r>
          </w:p>
        </w:tc>
        <w:tc>
          <w:tcPr/>
          <w:p>
            <w:pPr>
              <w:pStyle w:val="Compact"/>
            </w:pPr>
            <w:r>
              <w:t xml:space="preserve">-0.04</w:t>
            </w:r>
          </w:p>
        </w:tc>
        <w:tc>
          <w:tcPr/>
          <w:p>
            <w:pPr>
              <w:pStyle w:val="Compact"/>
            </w:pPr>
            <w:r>
              <w:t xml:space="preserve">+0.20</w:t>
            </w:r>
          </w:p>
        </w:tc>
        <w:tc>
          <w:tcPr/>
          <w:p>
            <w:pPr>
              <w:pStyle w:val="Compact"/>
            </w:pPr>
            <w:r>
              <w:t xml:space="preserve">9</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145</w:t>
            </w:r>
          </w:p>
        </w:tc>
        <w:tc>
          <w:tcPr/>
          <w:p>
            <w:pPr>
              <w:pStyle w:val="Compact"/>
            </w:pPr>
            <w:r>
              <w:t xml:space="preserve">old</w:t>
            </w:r>
          </w:p>
        </w:tc>
        <w:tc>
          <w:tcPr/>
          <w:p>
            <w:pPr>
              <w:pStyle w:val="Compact"/>
            </w:pPr>
            <w:r>
              <w:t xml:space="preserve">-0.050</w:t>
            </w:r>
          </w:p>
        </w:tc>
        <w:tc>
          <w:tcPr/>
          <w:p>
            <w:pPr>
              <w:pStyle w:val="Compact"/>
            </w:pPr>
            <w:r>
              <w:t xml:space="preserve">-1.89</w:t>
            </w:r>
          </w:p>
        </w:tc>
        <w:tc>
          <w:tcPr/>
          <w:p>
            <w:pPr>
              <w:pStyle w:val="Compact"/>
            </w:pPr>
            <w:r>
              <w:t xml:space="preserve">+0.19</w:t>
            </w:r>
          </w:p>
        </w:tc>
        <w:tc>
          <w:tcPr/>
          <w:p>
            <w:pPr>
              <w:pStyle w:val="Compact"/>
            </w:pPr>
            <w:r>
              <w:t xml:space="preserve">-0.34</w:t>
            </w:r>
          </w:p>
        </w:tc>
        <w:tc>
          <w:tcPr/>
          <w:p>
            <w:pPr>
              <w:pStyle w:val="Compact"/>
            </w:pPr>
            <w:r>
              <w:t xml:space="preserve">9</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209</w:t>
            </w:r>
          </w:p>
        </w:tc>
        <w:tc>
          <w:tcPr/>
          <w:p>
            <w:pPr>
              <w:pStyle w:val="Compact"/>
            </w:pPr>
            <w:r>
              <w:t xml:space="preserve">average</w:t>
            </w:r>
          </w:p>
        </w:tc>
        <w:tc>
          <w:tcPr/>
          <w:p>
            <w:pPr>
              <w:pStyle w:val="Compact"/>
            </w:pPr>
            <w:r>
              <w:t xml:space="preserve">-0.050</w:t>
            </w:r>
          </w:p>
        </w:tc>
        <w:tc>
          <w:tcPr/>
          <w:p>
            <w:pPr>
              <w:pStyle w:val="Compact"/>
            </w:pPr>
            <w:r>
              <w:t xml:space="preserve">+0.40</w:t>
            </w:r>
          </w:p>
        </w:tc>
        <w:tc>
          <w:tcPr/>
          <w:p>
            <w:pPr>
              <w:pStyle w:val="Compact"/>
            </w:pPr>
            <w:r>
              <w:t xml:space="preserve">-0.79</w:t>
            </w:r>
          </w:p>
        </w:tc>
        <w:tc>
          <w:tcPr/>
          <w:p>
            <w:pPr>
              <w:pStyle w:val="Compact"/>
            </w:pPr>
            <w:r>
              <w:t xml:space="preserve">-1.38</w:t>
            </w:r>
          </w:p>
        </w:tc>
        <w:tc>
          <w:tcPr/>
          <w:p>
            <w:pPr>
              <w:pStyle w:val="Compact"/>
            </w:pPr>
            <w:r>
              <w:t xml:space="preserve">7</w:t>
            </w:r>
          </w:p>
        </w:tc>
        <w:tc>
          <w:tcPr/>
          <w:p>
            <w:pPr>
              <w:pStyle w:val="Compact"/>
            </w:pPr>
            <w:r>
              <w:t xml:space="preserve">0.9999</w:t>
            </w:r>
          </w:p>
        </w:tc>
        <w:tc>
          <w:tcPr/>
          <w:p>
            <w:pPr>
              <w:pStyle w:val="Compact"/>
            </w:pPr>
            <w:r>
              <w:t xml:space="preserve">1.00</w:t>
            </w:r>
          </w:p>
        </w:tc>
        <w:tc>
          <w:tcPr/>
          <w:p>
            <w:pPr>
              <w:pStyle w:val="Compact"/>
            </w:pPr>
            <w:r>
              <w:t xml:space="preserve">1.00</w:t>
            </w:r>
          </w:p>
        </w:tc>
      </w:tr>
      <w:tr>
        <w:tc>
          <w:tcPr/>
          <w:p>
            <w:pPr>
              <w:pStyle w:val="Compact"/>
            </w:pPr>
            <w:r>
              <w:t xml:space="preserve">231</w:t>
            </w:r>
          </w:p>
        </w:tc>
        <w:tc>
          <w:tcPr/>
          <w:p>
            <w:pPr>
              <w:pStyle w:val="Compact"/>
            </w:pPr>
            <w:r>
              <w:t xml:space="preserve">average</w:t>
            </w:r>
          </w:p>
        </w:tc>
        <w:tc>
          <w:tcPr/>
          <w:p>
            <w:pPr>
              <w:pStyle w:val="Compact"/>
            </w:pPr>
            <w:r>
              <w:t xml:space="preserve">-0.050</w:t>
            </w:r>
          </w:p>
        </w:tc>
        <w:tc>
          <w:tcPr/>
          <w:p>
            <w:pPr>
              <w:pStyle w:val="Compact"/>
            </w:pPr>
            <w:r>
              <w:t xml:space="preserve">-0.17</w:t>
            </w:r>
          </w:p>
        </w:tc>
        <w:tc>
          <w:tcPr/>
          <w:p>
            <w:pPr>
              <w:pStyle w:val="Compact"/>
            </w:pPr>
            <w:r>
              <w:t xml:space="preserve">-3.25</w:t>
            </w:r>
          </w:p>
        </w:tc>
        <w:tc>
          <w:tcPr/>
          <w:p>
            <w:pPr>
              <w:pStyle w:val="Compact"/>
            </w:pPr>
            <w:r>
              <w:t xml:space="preserve">+0.59</w:t>
            </w:r>
          </w:p>
        </w:tc>
        <w:tc>
          <w:tcPr/>
          <w:p>
            <w:pPr>
              <w:pStyle w:val="Compact"/>
            </w:pPr>
            <w:r>
              <w:t xml:space="preserve">7</w:t>
            </w:r>
          </w:p>
        </w:tc>
        <w:tc>
          <w:tcPr/>
          <w:p>
            <w:pPr>
              <w:pStyle w:val="Compact"/>
            </w:pPr>
            <w:r>
              <w:t xml:space="preserve">0.9999</w:t>
            </w:r>
          </w:p>
        </w:tc>
        <w:tc>
          <w:tcPr/>
          <w:p>
            <w:pPr>
              <w:pStyle w:val="Compact"/>
            </w:pPr>
            <w:r>
              <w:t xml:space="preserve">1.00</w:t>
            </w:r>
          </w:p>
        </w:tc>
        <w:tc>
          <w:tcPr/>
          <w:p>
            <w:pPr>
              <w:pStyle w:val="Compact"/>
            </w:pPr>
            <w:r>
              <w:t xml:space="preserve">1.00</w:t>
            </w:r>
          </w:p>
        </w:tc>
      </w:tr>
      <w:tr>
        <w:tc>
          <w:tcPr/>
          <w:p>
            <w:pPr>
              <w:pStyle w:val="Compact"/>
            </w:pPr>
            <w:r>
              <w:t xml:space="preserve">107</w:t>
            </w:r>
          </w:p>
        </w:tc>
        <w:tc>
          <w:tcPr/>
          <w:p>
            <w:pPr>
              <w:pStyle w:val="Compact"/>
            </w:pPr>
            <w:r>
              <w:t xml:space="preserve">new</w:t>
            </w:r>
          </w:p>
        </w:tc>
        <w:tc>
          <w:tcPr/>
          <w:p>
            <w:pPr>
              <w:pStyle w:val="Compact"/>
            </w:pPr>
            <w:r>
              <w:t xml:space="preserve">+0.050</w:t>
            </w:r>
          </w:p>
        </w:tc>
        <w:tc>
          <w:tcPr/>
          <w:p>
            <w:pPr>
              <w:pStyle w:val="Compact"/>
            </w:pPr>
            <w:r>
              <w:t xml:space="preserve">-0.52</w:t>
            </w:r>
          </w:p>
        </w:tc>
        <w:tc>
          <w:tcPr/>
          <w:p>
            <w:pPr>
              <w:pStyle w:val="Compact"/>
            </w:pPr>
            <w:r>
              <w:t xml:space="preserve">-0.91</w:t>
            </w:r>
          </w:p>
        </w:tc>
        <w:tc>
          <w:tcPr/>
          <w:p>
            <w:pPr>
              <w:pStyle w:val="Compact"/>
            </w:pPr>
            <w:r>
              <w:t xml:space="preserve">+1.85</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113</w:t>
            </w:r>
          </w:p>
        </w:tc>
        <w:tc>
          <w:tcPr/>
          <w:p>
            <w:pPr>
              <w:pStyle w:val="Compact"/>
            </w:pPr>
            <w:r>
              <w:t xml:space="preserve">new</w:t>
            </w:r>
          </w:p>
        </w:tc>
        <w:tc>
          <w:tcPr/>
          <w:p>
            <w:pPr>
              <w:pStyle w:val="Compact"/>
            </w:pPr>
            <w:r>
              <w:t xml:space="preserve">+0.050</w:t>
            </w:r>
          </w:p>
        </w:tc>
        <w:tc>
          <w:tcPr/>
          <w:p>
            <w:pPr>
              <w:pStyle w:val="Compact"/>
            </w:pPr>
            <w:r>
              <w:t xml:space="preserve">-0.59</w:t>
            </w:r>
          </w:p>
        </w:tc>
        <w:tc>
          <w:tcPr/>
          <w:p>
            <w:pPr>
              <w:pStyle w:val="Compact"/>
            </w:pPr>
            <w:r>
              <w:t xml:space="preserve">-1.02</w:t>
            </w:r>
          </w:p>
        </w:tc>
        <w:tc>
          <w:tcPr/>
          <w:p>
            <w:pPr>
              <w:pStyle w:val="Compact"/>
            </w:pPr>
            <w:r>
              <w:t xml:space="preserve">+2.08</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15</w:t>
            </w:r>
          </w:p>
        </w:tc>
        <w:tc>
          <w:tcPr/>
          <w:p>
            <w:pPr>
              <w:pStyle w:val="Compact"/>
            </w:pPr>
            <w:r>
              <w:t xml:space="preserve">old</w:t>
            </w:r>
          </w:p>
        </w:tc>
        <w:tc>
          <w:tcPr/>
          <w:p>
            <w:pPr>
              <w:pStyle w:val="Compact"/>
            </w:pPr>
            <w:r>
              <w:t xml:space="preserve">+0.050</w:t>
            </w:r>
          </w:p>
        </w:tc>
        <w:tc>
          <w:tcPr/>
          <w:p>
            <w:pPr>
              <w:pStyle w:val="Compact"/>
            </w:pPr>
            <w:r>
              <w:t xml:space="preserve">+2.19</w:t>
            </w:r>
          </w:p>
        </w:tc>
        <w:tc>
          <w:tcPr/>
          <w:p>
            <w:pPr>
              <w:pStyle w:val="Compact"/>
            </w:pPr>
            <w:r>
              <w:t xml:space="preserve">+0.11</w:t>
            </w:r>
          </w:p>
        </w:tc>
        <w:tc>
          <w:tcPr/>
          <w:p>
            <w:pPr>
              <w:pStyle w:val="Compact"/>
            </w:pPr>
            <w:r>
              <w:t xml:space="preserve">-0.25</w:t>
            </w:r>
          </w:p>
        </w:tc>
        <w:tc>
          <w:tcPr/>
          <w:p>
            <w:pPr>
              <w:pStyle w:val="Compact"/>
            </w:pPr>
            <w:r>
              <w:t xml:space="preserve">5</w:t>
            </w:r>
          </w:p>
        </w:tc>
        <w:tc>
          <w:tcPr/>
          <w:p>
            <w:pPr>
              <w:pStyle w:val="Compact"/>
            </w:pPr>
            <w:r>
              <w:t xml:space="preserve">0.9995</w:t>
            </w:r>
          </w:p>
        </w:tc>
        <w:tc>
          <w:tcPr/>
          <w:p>
            <w:pPr>
              <w:pStyle w:val="Compact"/>
            </w:pPr>
            <w:r>
              <w:t xml:space="preserve">0.71</w:t>
            </w:r>
          </w:p>
        </w:tc>
        <w:tc>
          <w:tcPr/>
          <w:p>
            <w:pPr>
              <w:pStyle w:val="Compact"/>
            </w:pPr>
            <w:r>
              <w:t xml:space="preserve">1.00</w:t>
            </w:r>
          </w:p>
        </w:tc>
      </w:tr>
      <w:tr>
        <w:tc>
          <w:tcPr/>
          <w:p>
            <w:pPr>
              <w:pStyle w:val="Compact"/>
            </w:pPr>
            <w:r>
              <w:t xml:space="preserve">145</w:t>
            </w:r>
          </w:p>
        </w:tc>
        <w:tc>
          <w:tcPr/>
          <w:p>
            <w:pPr>
              <w:pStyle w:val="Compact"/>
            </w:pPr>
            <w:r>
              <w:t xml:space="preserve">old</w:t>
            </w:r>
          </w:p>
        </w:tc>
        <w:tc>
          <w:tcPr/>
          <w:p>
            <w:pPr>
              <w:pStyle w:val="Compact"/>
            </w:pPr>
            <w:r>
              <w:t xml:space="preserve">+0.050</w:t>
            </w:r>
          </w:p>
        </w:tc>
        <w:tc>
          <w:tcPr/>
          <w:p>
            <w:pPr>
              <w:pStyle w:val="Compact"/>
            </w:pPr>
            <w:r>
              <w:t xml:space="preserve">+1.59</w:t>
            </w:r>
          </w:p>
        </w:tc>
        <w:tc>
          <w:tcPr/>
          <w:p>
            <w:pPr>
              <w:pStyle w:val="Compact"/>
            </w:pPr>
            <w:r>
              <w:t xml:space="preserve">-0.16</w:t>
            </w:r>
          </w:p>
        </w:tc>
        <w:tc>
          <w:tcPr/>
          <w:p>
            <w:pPr>
              <w:pStyle w:val="Compact"/>
            </w:pPr>
            <w:r>
              <w:t xml:space="preserve">+0.34</w:t>
            </w:r>
          </w:p>
        </w:tc>
        <w:tc>
          <w:tcPr/>
          <w:p>
            <w:pPr>
              <w:pStyle w:val="Compact"/>
            </w:pPr>
            <w:r>
              <w:t xml:space="preserve">4</w:t>
            </w:r>
          </w:p>
        </w:tc>
        <w:tc>
          <w:tcPr/>
          <w:p>
            <w:pPr>
              <w:pStyle w:val="Compact"/>
            </w:pPr>
            <w:r>
              <w:t xml:space="preserve">0.9995</w:t>
            </w:r>
          </w:p>
        </w:tc>
        <w:tc>
          <w:tcPr/>
          <w:p>
            <w:pPr>
              <w:pStyle w:val="Compact"/>
            </w:pPr>
            <w:r>
              <w:t xml:space="preserve">0.71</w:t>
            </w:r>
          </w:p>
        </w:tc>
        <w:tc>
          <w:tcPr/>
          <w:p>
            <w:pPr>
              <w:pStyle w:val="Compact"/>
            </w:pPr>
            <w:r>
              <w:t xml:space="preserve">1.00</w:t>
            </w:r>
          </w:p>
        </w:tc>
      </w:tr>
      <w:tr>
        <w:tc>
          <w:tcPr/>
          <w:p>
            <w:pPr>
              <w:pStyle w:val="Compact"/>
            </w:pPr>
            <w:r>
              <w:t xml:space="preserve">209</w:t>
            </w:r>
          </w:p>
        </w:tc>
        <w:tc>
          <w:tcPr/>
          <w:p>
            <w:pPr>
              <w:pStyle w:val="Compact"/>
            </w:pPr>
            <w:r>
              <w:t xml:space="preserve">average</w:t>
            </w:r>
          </w:p>
        </w:tc>
        <w:tc>
          <w:tcPr/>
          <w:p>
            <w:pPr>
              <w:pStyle w:val="Compact"/>
            </w:pPr>
            <w:r>
              <w:t xml:space="preserve">+0.050</w:t>
            </w:r>
          </w:p>
        </w:tc>
        <w:tc>
          <w:tcPr/>
          <w:p>
            <w:pPr>
              <w:pStyle w:val="Compact"/>
            </w:pPr>
            <w:r>
              <w:t xml:space="preserve">-0.41</w:t>
            </w:r>
          </w:p>
        </w:tc>
        <w:tc>
          <w:tcPr/>
          <w:p>
            <w:pPr>
              <w:pStyle w:val="Compact"/>
            </w:pPr>
            <w:r>
              <w:t xml:space="preserve">+0.60</w:t>
            </w:r>
          </w:p>
        </w:tc>
        <w:tc>
          <w:tcPr/>
          <w:p>
            <w:pPr>
              <w:pStyle w:val="Compact"/>
            </w:pPr>
            <w:r>
              <w:t xml:space="preserve">+1.33</w:t>
            </w:r>
          </w:p>
        </w:tc>
        <w:tc>
          <w:tcPr/>
          <w:p>
            <w:pPr>
              <w:pStyle w:val="Compact"/>
            </w:pPr>
            <w:r>
              <w:t xml:space="preserve">7</w:t>
            </w:r>
          </w:p>
        </w:tc>
        <w:tc>
          <w:tcPr/>
          <w:p>
            <w:pPr>
              <w:pStyle w:val="Compact"/>
            </w:pPr>
            <w:r>
              <w:t xml:space="preserve">0.9999</w:t>
            </w:r>
          </w:p>
        </w:tc>
        <w:tc>
          <w:tcPr/>
          <w:p>
            <w:pPr>
              <w:pStyle w:val="Compact"/>
            </w:pPr>
            <w:r>
              <w:t xml:space="preserve">1.00</w:t>
            </w:r>
          </w:p>
        </w:tc>
        <w:tc>
          <w:tcPr/>
          <w:p>
            <w:pPr>
              <w:pStyle w:val="Compact"/>
            </w:pPr>
            <w:r>
              <w:t xml:space="preserve">1.00</w:t>
            </w:r>
          </w:p>
        </w:tc>
      </w:tr>
      <w:tr>
        <w:tc>
          <w:tcPr/>
          <w:p>
            <w:pPr>
              <w:pStyle w:val="Compact"/>
            </w:pPr>
            <w:r>
              <w:t xml:space="preserve">231</w:t>
            </w:r>
          </w:p>
        </w:tc>
        <w:tc>
          <w:tcPr/>
          <w:p>
            <w:pPr>
              <w:pStyle w:val="Compact"/>
            </w:pPr>
            <w:r>
              <w:t xml:space="preserve">average</w:t>
            </w:r>
          </w:p>
        </w:tc>
        <w:tc>
          <w:tcPr/>
          <w:p>
            <w:pPr>
              <w:pStyle w:val="Compact"/>
            </w:pPr>
            <w:r>
              <w:t xml:space="preserve">+0.050</w:t>
            </w:r>
          </w:p>
        </w:tc>
        <w:tc>
          <w:tcPr/>
          <w:p>
            <w:pPr>
              <w:pStyle w:val="Compact"/>
            </w:pPr>
            <w:r>
              <w:t xml:space="preserve">+0.11</w:t>
            </w:r>
          </w:p>
        </w:tc>
        <w:tc>
          <w:tcPr/>
          <w:p>
            <w:pPr>
              <w:pStyle w:val="Compact"/>
            </w:pPr>
            <w:r>
              <w:t xml:space="preserve">+2.72</w:t>
            </w:r>
          </w:p>
        </w:tc>
        <w:tc>
          <w:tcPr/>
          <w:p>
            <w:pPr>
              <w:pStyle w:val="Compact"/>
            </w:pPr>
            <w:r>
              <w:t xml:space="preserve">-0.59</w:t>
            </w:r>
          </w:p>
        </w:tc>
        <w:tc>
          <w:tcPr/>
          <w:p>
            <w:pPr>
              <w:pStyle w:val="Compact"/>
            </w:pPr>
            <w:r>
              <w:t xml:space="preserve">7</w:t>
            </w:r>
          </w:p>
        </w:tc>
        <w:tc>
          <w:tcPr/>
          <w:p>
            <w:pPr>
              <w:pStyle w:val="Compact"/>
            </w:pPr>
            <w:r>
              <w:t xml:space="preserve">1.0000</w:t>
            </w:r>
          </w:p>
        </w:tc>
        <w:tc>
          <w:tcPr/>
          <w:p>
            <w:pPr>
              <w:pStyle w:val="Compact"/>
            </w:pPr>
            <w:r>
              <w:t xml:space="preserve">1.00</w:t>
            </w:r>
          </w:p>
        </w:tc>
        <w:tc>
          <w:tcPr/>
          <w:p>
            <w:pPr>
              <w:pStyle w:val="Compact"/>
            </w:pPr>
            <w:r>
              <w:t xml:space="preserve">1.00</w:t>
            </w:r>
          </w:p>
        </w:tc>
      </w:tr>
      <w:tr>
        <w:tc>
          <w:tcPr/>
          <w:p>
            <w:pPr>
              <w:pStyle w:val="Compact"/>
            </w:pPr>
            <w:r>
              <w:t xml:space="preserve">107</w:t>
            </w:r>
          </w:p>
        </w:tc>
        <w:tc>
          <w:tcPr/>
          <w:p>
            <w:pPr>
              <w:pStyle w:val="Compact"/>
            </w:pPr>
            <w:r>
              <w:t xml:space="preserve">new</w:t>
            </w:r>
          </w:p>
        </w:tc>
        <w:tc>
          <w:tcPr/>
          <w:p>
            <w:pPr>
              <w:pStyle w:val="Compact"/>
            </w:pPr>
            <w:r>
              <w:t xml:space="preserve">+0.100</w:t>
            </w:r>
          </w:p>
        </w:tc>
        <w:tc>
          <w:tcPr/>
          <w:p>
            <w:pPr>
              <w:pStyle w:val="Compact"/>
            </w:pPr>
            <w:r>
              <w:t xml:space="preserve">-1.04</w:t>
            </w:r>
          </w:p>
        </w:tc>
        <w:tc>
          <w:tcPr/>
          <w:p>
            <w:pPr>
              <w:pStyle w:val="Compact"/>
            </w:pPr>
            <w:r>
              <w:t xml:space="preserve">-1.85</w:t>
            </w:r>
          </w:p>
        </w:tc>
        <w:tc>
          <w:tcPr/>
          <w:p>
            <w:pPr>
              <w:pStyle w:val="Compact"/>
            </w:pPr>
            <w:r>
              <w:t xml:space="preserve">+3.62</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113</w:t>
            </w:r>
          </w:p>
        </w:tc>
        <w:tc>
          <w:tcPr/>
          <w:p>
            <w:pPr>
              <w:pStyle w:val="Compact"/>
            </w:pPr>
            <w:r>
              <w:t xml:space="preserve">new</w:t>
            </w:r>
          </w:p>
        </w:tc>
        <w:tc>
          <w:tcPr/>
          <w:p>
            <w:pPr>
              <w:pStyle w:val="Compact"/>
            </w:pPr>
            <w:r>
              <w:t xml:space="preserve">+0.100</w:t>
            </w:r>
          </w:p>
        </w:tc>
        <w:tc>
          <w:tcPr/>
          <w:p>
            <w:pPr>
              <w:pStyle w:val="Compact"/>
            </w:pPr>
            <w:r>
              <w:t xml:space="preserve">-1.13</w:t>
            </w:r>
          </w:p>
        </w:tc>
        <w:tc>
          <w:tcPr/>
          <w:p>
            <w:pPr>
              <w:pStyle w:val="Compact"/>
            </w:pPr>
            <w:r>
              <w:t xml:space="preserve">-2.02</w:t>
            </w:r>
          </w:p>
        </w:tc>
        <w:tc>
          <w:tcPr/>
          <w:p>
            <w:pPr>
              <w:pStyle w:val="Compact"/>
            </w:pPr>
            <w:r>
              <w:t xml:space="preserve">+3.97</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15</w:t>
            </w:r>
          </w:p>
        </w:tc>
        <w:tc>
          <w:tcPr/>
          <w:p>
            <w:pPr>
              <w:pStyle w:val="Compact"/>
            </w:pPr>
            <w:r>
              <w:t xml:space="preserve">old</w:t>
            </w:r>
          </w:p>
        </w:tc>
        <w:tc>
          <w:tcPr/>
          <w:p>
            <w:pPr>
              <w:pStyle w:val="Compact"/>
            </w:pPr>
            <w:r>
              <w:t xml:space="preserve">+0.100</w:t>
            </w:r>
          </w:p>
        </w:tc>
        <w:tc>
          <w:tcPr/>
          <w:p>
            <w:pPr>
              <w:pStyle w:val="Compact"/>
            </w:pPr>
            <w:r>
              <w:t xml:space="preserve">+3.87</w:t>
            </w:r>
          </w:p>
        </w:tc>
        <w:tc>
          <w:tcPr/>
          <w:p>
            <w:pPr>
              <w:pStyle w:val="Compact"/>
            </w:pPr>
            <w:r>
              <w:t xml:space="preserve">+0.25</w:t>
            </w:r>
          </w:p>
        </w:tc>
        <w:tc>
          <w:tcPr/>
          <w:p>
            <w:pPr>
              <w:pStyle w:val="Compact"/>
            </w:pPr>
            <w:r>
              <w:t xml:space="preserve">-0.51</w:t>
            </w:r>
          </w:p>
        </w:tc>
        <w:tc>
          <w:tcPr/>
          <w:p>
            <w:pPr>
              <w:pStyle w:val="Compact"/>
            </w:pPr>
            <w:r>
              <w:t xml:space="preserve">5</w:t>
            </w:r>
          </w:p>
        </w:tc>
        <w:tc>
          <w:tcPr/>
          <w:p>
            <w:pPr>
              <w:pStyle w:val="Compact"/>
            </w:pPr>
            <w:r>
              <w:t xml:space="preserve">0.9993</w:t>
            </w:r>
          </w:p>
        </w:tc>
        <w:tc>
          <w:tcPr/>
          <w:p>
            <w:pPr>
              <w:pStyle w:val="Compact"/>
            </w:pPr>
            <w:r>
              <w:t xml:space="preserve">0.71</w:t>
            </w:r>
          </w:p>
        </w:tc>
        <w:tc>
          <w:tcPr/>
          <w:p>
            <w:pPr>
              <w:pStyle w:val="Compact"/>
            </w:pPr>
            <w:r>
              <w:t xml:space="preserve">0.71</w:t>
            </w:r>
          </w:p>
        </w:tc>
      </w:tr>
      <w:tr>
        <w:tc>
          <w:tcPr/>
          <w:p>
            <w:pPr>
              <w:pStyle w:val="Compact"/>
            </w:pPr>
            <w:r>
              <w:t xml:space="preserve">145</w:t>
            </w:r>
          </w:p>
        </w:tc>
        <w:tc>
          <w:tcPr/>
          <w:p>
            <w:pPr>
              <w:pStyle w:val="Compact"/>
            </w:pPr>
            <w:r>
              <w:t xml:space="preserve">old</w:t>
            </w:r>
          </w:p>
        </w:tc>
        <w:tc>
          <w:tcPr/>
          <w:p>
            <w:pPr>
              <w:pStyle w:val="Compact"/>
            </w:pPr>
            <w:r>
              <w:t xml:space="preserve">+0.100</w:t>
            </w:r>
          </w:p>
        </w:tc>
        <w:tc>
          <w:tcPr/>
          <w:p>
            <w:pPr>
              <w:pStyle w:val="Compact"/>
            </w:pPr>
            <w:r>
              <w:t xml:space="preserve">+2.95</w:t>
            </w:r>
          </w:p>
        </w:tc>
        <w:tc>
          <w:tcPr/>
          <w:p>
            <w:pPr>
              <w:pStyle w:val="Compact"/>
            </w:pPr>
            <w:r>
              <w:t xml:space="preserve">-0.31</w:t>
            </w:r>
          </w:p>
        </w:tc>
        <w:tc>
          <w:tcPr/>
          <w:p>
            <w:pPr>
              <w:pStyle w:val="Compact"/>
            </w:pPr>
            <w:r>
              <w:t xml:space="preserve">+0.66</w:t>
            </w:r>
          </w:p>
        </w:tc>
        <w:tc>
          <w:tcPr/>
          <w:p>
            <w:pPr>
              <w:pStyle w:val="Compact"/>
            </w:pPr>
            <w:r>
              <w:t xml:space="preserve">4</w:t>
            </w:r>
          </w:p>
        </w:tc>
        <w:tc>
          <w:tcPr/>
          <w:p>
            <w:pPr>
              <w:pStyle w:val="Compact"/>
            </w:pPr>
            <w:r>
              <w:t xml:space="preserve">0.9994</w:t>
            </w:r>
          </w:p>
        </w:tc>
        <w:tc>
          <w:tcPr/>
          <w:p>
            <w:pPr>
              <w:pStyle w:val="Compact"/>
            </w:pPr>
            <w:r>
              <w:t xml:space="preserve">0.71</w:t>
            </w:r>
          </w:p>
        </w:tc>
        <w:tc>
          <w:tcPr/>
          <w:p>
            <w:pPr>
              <w:pStyle w:val="Compact"/>
            </w:pPr>
            <w:r>
              <w:t xml:space="preserve">1.00</w:t>
            </w:r>
          </w:p>
        </w:tc>
      </w:tr>
      <w:tr>
        <w:tc>
          <w:tcPr/>
          <w:p>
            <w:pPr>
              <w:pStyle w:val="Compact"/>
            </w:pPr>
            <w:r>
              <w:t xml:space="preserve">209</w:t>
            </w:r>
          </w:p>
        </w:tc>
        <w:tc>
          <w:tcPr/>
          <w:p>
            <w:pPr>
              <w:pStyle w:val="Compact"/>
            </w:pPr>
            <w:r>
              <w:t xml:space="preserve">average</w:t>
            </w:r>
          </w:p>
        </w:tc>
        <w:tc>
          <w:tcPr/>
          <w:p>
            <w:pPr>
              <w:pStyle w:val="Compact"/>
            </w:pPr>
            <w:r>
              <w:t xml:space="preserve">+0.100</w:t>
            </w:r>
          </w:p>
        </w:tc>
        <w:tc>
          <w:tcPr/>
          <w:p>
            <w:pPr>
              <w:pStyle w:val="Compact"/>
            </w:pPr>
            <w:r>
              <w:t xml:space="preserve">-0.82</w:t>
            </w:r>
          </w:p>
        </w:tc>
        <w:tc>
          <w:tcPr/>
          <w:p>
            <w:pPr>
              <w:pStyle w:val="Compact"/>
            </w:pPr>
            <w:r>
              <w:t xml:space="preserve">+1.10</w:t>
            </w:r>
          </w:p>
        </w:tc>
        <w:tc>
          <w:tcPr/>
          <w:p>
            <w:pPr>
              <w:pStyle w:val="Compact"/>
            </w:pPr>
            <w:r>
              <w:t xml:space="preserve">+2.58</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231</w:t>
            </w:r>
          </w:p>
        </w:tc>
        <w:tc>
          <w:tcPr/>
          <w:p>
            <w:pPr>
              <w:pStyle w:val="Compact"/>
            </w:pPr>
            <w:r>
              <w:t xml:space="preserve">average</w:t>
            </w:r>
          </w:p>
        </w:tc>
        <w:tc>
          <w:tcPr/>
          <w:p>
            <w:pPr>
              <w:pStyle w:val="Compact"/>
            </w:pPr>
            <w:r>
              <w:t xml:space="preserve">+0.100</w:t>
            </w:r>
          </w:p>
        </w:tc>
        <w:tc>
          <w:tcPr/>
          <w:p>
            <w:pPr>
              <w:pStyle w:val="Compact"/>
            </w:pPr>
            <w:r>
              <w:t xml:space="preserve">+0.05</w:t>
            </w:r>
          </w:p>
        </w:tc>
        <w:tc>
          <w:tcPr/>
          <w:p>
            <w:pPr>
              <w:pStyle w:val="Compact"/>
            </w:pPr>
            <w:r>
              <w:t xml:space="preserve">+4.22</w:t>
            </w:r>
          </w:p>
        </w:tc>
        <w:tc>
          <w:tcPr/>
          <w:p>
            <w:pPr>
              <w:pStyle w:val="Compact"/>
            </w:pPr>
            <w:r>
              <w:t xml:space="preserve">-0.58</w:t>
            </w:r>
          </w:p>
        </w:tc>
        <w:tc>
          <w:tcPr/>
          <w:p>
            <w:pPr>
              <w:pStyle w:val="Compact"/>
            </w:pPr>
            <w:r>
              <w:t xml:space="preserve">7</w:t>
            </w:r>
          </w:p>
        </w:tc>
        <w:tc>
          <w:tcPr/>
          <w:p>
            <w:pPr>
              <w:pStyle w:val="Compact"/>
            </w:pPr>
            <w:r>
              <w:t xml:space="preserve">1.0000</w:t>
            </w:r>
          </w:p>
        </w:tc>
        <w:tc>
          <w:tcPr/>
          <w:p>
            <w:pPr>
              <w:pStyle w:val="Compact"/>
            </w:pPr>
            <w:r>
              <w:t xml:space="preserve">1.00</w:t>
            </w:r>
          </w:p>
        </w:tc>
        <w:tc>
          <w:tcPr/>
          <w:p>
            <w:pPr>
              <w:pStyle w:val="Compact"/>
            </w:pPr>
            <w:r>
              <w:t xml:space="preserve">1.00</w:t>
            </w:r>
          </w:p>
        </w:tc>
      </w:tr>
    </w:tbl>
    <w:p>
      <w:pPr>
        <w:pStyle w:val="BodyText"/>
      </w:pPr>
      <w:r>
        <w:t xml:space="preserve">Table F2. Sensor drift against its mean-equivalent and end-equivalent constant-bias controls on identical noise. A monotone drift acts, to within about a tenth, as a constant bias at its mean over the window.</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Node</w:t>
            </w:r>
          </w:p>
        </w:tc>
        <w:tc>
          <w:tcPr/>
          <w:p>
            <w:pPr>
              <w:pStyle w:val="Compact"/>
            </w:pPr>
            <w:r>
              <w:t xml:space="preserve">End offset D</w:t>
            </w:r>
          </w:p>
        </w:tc>
        <w:tc>
          <w:tcPr/>
          <w:p>
            <w:pPr>
              <w:pStyle w:val="Compact"/>
            </w:pPr>
            <w:r>
              <w:t xml:space="preserve">Drift shift</w:t>
            </w:r>
          </w:p>
        </w:tc>
        <w:tc>
          <w:tcPr/>
          <w:p>
            <w:pPr>
              <w:pStyle w:val="Compact"/>
            </w:pPr>
            <w:r>
              <w:t xml:space="preserve">const(D/2)</w:t>
            </w:r>
          </w:p>
        </w:tc>
        <w:tc>
          <w:tcPr/>
          <w:p>
            <w:pPr>
              <w:pStyle w:val="Compact"/>
            </w:pPr>
            <w:r>
              <w:t xml:space="preserve">const(D)</w:t>
            </w:r>
          </w:p>
        </w:tc>
        <w:tc>
          <w:tcPr/>
          <w:p>
            <w:pPr>
              <w:pStyle w:val="Compact"/>
            </w:pPr>
            <w:r>
              <w:t xml:space="preserve">Drift / const(D/2)</w:t>
            </w:r>
          </w:p>
        </w:tc>
        <w:tc>
          <w:tcPr/>
          <w:p>
            <w:pPr>
              <w:pStyle w:val="Compact"/>
            </w:pPr>
            <w:r>
              <w:t xml:space="preserve">Drift / const(D)</w:t>
            </w:r>
          </w:p>
        </w:tc>
      </w:tr>
      <w:tr>
        <w:tc>
          <w:tcPr/>
          <w:p>
            <w:pPr>
              <w:pStyle w:val="Compact"/>
            </w:pPr>
            <w:r>
              <w:t xml:space="preserve">15</w:t>
            </w:r>
          </w:p>
        </w:tc>
        <w:tc>
          <w:tcPr/>
          <w:p>
            <w:pPr>
              <w:pStyle w:val="Compact"/>
            </w:pPr>
            <w:r>
              <w:t xml:space="preserve">-0.100</w:t>
            </w:r>
          </w:p>
        </w:tc>
        <w:tc>
          <w:tcPr/>
          <w:p>
            <w:pPr>
              <w:pStyle w:val="Compact"/>
            </w:pPr>
            <w:r>
              <w:t xml:space="preserve">-0.2370</w:t>
            </w:r>
          </w:p>
        </w:tc>
        <w:tc>
          <w:tcPr/>
          <w:p>
            <w:pPr>
              <w:pStyle w:val="Compact"/>
            </w:pPr>
            <w:r>
              <w:t xml:space="preserve">-0.2623</w:t>
            </w:r>
          </w:p>
        </w:tc>
        <w:tc>
          <w:tcPr/>
          <w:p>
            <w:pPr>
              <w:pStyle w:val="Compact"/>
            </w:pPr>
            <w:r>
              <w:t xml:space="preserve">-0.3869</w:t>
            </w:r>
          </w:p>
        </w:tc>
        <w:tc>
          <w:tcPr/>
          <w:p>
            <w:pPr>
              <w:pStyle w:val="Compact"/>
            </w:pPr>
            <w:r>
              <w:t xml:space="preserve">0.90</w:t>
            </w:r>
          </w:p>
        </w:tc>
        <w:tc>
          <w:tcPr/>
          <w:p>
            <w:pPr>
              <w:pStyle w:val="Compact"/>
            </w:pPr>
            <w:r>
              <w:t xml:space="preserve">0.61</w:t>
            </w:r>
          </w:p>
        </w:tc>
      </w:tr>
      <w:tr>
        <w:tc>
          <w:tcPr/>
          <w:p>
            <w:pPr>
              <w:pStyle w:val="Compact"/>
            </w:pPr>
            <w:r>
              <w:t xml:space="preserve">15</w:t>
            </w:r>
          </w:p>
        </w:tc>
        <w:tc>
          <w:tcPr/>
          <w:p>
            <w:pPr>
              <w:pStyle w:val="Compact"/>
            </w:pPr>
            <w:r>
              <w:t xml:space="preserve">-0.050</w:t>
            </w:r>
          </w:p>
        </w:tc>
        <w:tc>
          <w:tcPr/>
          <w:p>
            <w:pPr>
              <w:pStyle w:val="Compact"/>
            </w:pPr>
            <w:r>
              <w:t xml:space="preserve">-0.1187</w:t>
            </w:r>
          </w:p>
        </w:tc>
        <w:tc>
          <w:tcPr/>
          <w:p>
            <w:pPr>
              <w:pStyle w:val="Compact"/>
            </w:pPr>
            <w:r>
              <w:t xml:space="preserve">-0.1339</w:t>
            </w:r>
          </w:p>
        </w:tc>
        <w:tc>
          <w:tcPr/>
          <w:p>
            <w:pPr>
              <w:pStyle w:val="Compact"/>
            </w:pPr>
            <w:r>
              <w:t xml:space="preserve">-0.2623</w:t>
            </w:r>
          </w:p>
        </w:tc>
        <w:tc>
          <w:tcPr/>
          <w:p>
            <w:pPr>
              <w:pStyle w:val="Compact"/>
            </w:pPr>
            <w:r>
              <w:t xml:space="preserve">0.89</w:t>
            </w:r>
          </w:p>
        </w:tc>
        <w:tc>
          <w:tcPr/>
          <w:p>
            <w:pPr>
              <w:pStyle w:val="Compact"/>
            </w:pPr>
            <w:r>
              <w:t xml:space="preserve">0.45</w:t>
            </w:r>
          </w:p>
        </w:tc>
      </w:tr>
      <w:tr>
        <w:tc>
          <w:tcPr/>
          <w:p>
            <w:pPr>
              <w:pStyle w:val="Compact"/>
            </w:pPr>
            <w:r>
              <w:t xml:space="preserve">15</w:t>
            </w:r>
          </w:p>
        </w:tc>
        <w:tc>
          <w:tcPr/>
          <w:p>
            <w:pPr>
              <w:pStyle w:val="Compact"/>
            </w:pPr>
            <w:r>
              <w:t xml:space="preserve">+0.050</w:t>
            </w:r>
          </w:p>
        </w:tc>
        <w:tc>
          <w:tcPr/>
          <w:p>
            <w:pPr>
              <w:pStyle w:val="Compact"/>
            </w:pPr>
            <w:r>
              <w:t xml:space="preserve">+0.1061</w:t>
            </w:r>
          </w:p>
        </w:tc>
        <w:tc>
          <w:tcPr/>
          <w:p>
            <w:pPr>
              <w:pStyle w:val="Compact"/>
            </w:pPr>
            <w:r>
              <w:t xml:space="preserve">+0.1174</w:t>
            </w:r>
          </w:p>
        </w:tc>
        <w:tc>
          <w:tcPr/>
          <w:p>
            <w:pPr>
              <w:pStyle w:val="Compact"/>
            </w:pPr>
            <w:r>
              <w:t xml:space="preserve">+0.2213</w:t>
            </w:r>
          </w:p>
        </w:tc>
        <w:tc>
          <w:tcPr/>
          <w:p>
            <w:pPr>
              <w:pStyle w:val="Compact"/>
            </w:pPr>
            <w:r>
              <w:t xml:space="preserve">0.90</w:t>
            </w:r>
          </w:p>
        </w:tc>
        <w:tc>
          <w:tcPr/>
          <w:p>
            <w:pPr>
              <w:pStyle w:val="Compact"/>
            </w:pPr>
            <w:r>
              <w:t xml:space="preserve">0.48</w:t>
            </w:r>
          </w:p>
        </w:tc>
      </w:tr>
      <w:tr>
        <w:tc>
          <w:tcPr/>
          <w:p>
            <w:pPr>
              <w:pStyle w:val="Compact"/>
            </w:pPr>
            <w:r>
              <w:t xml:space="preserve">15</w:t>
            </w:r>
          </w:p>
        </w:tc>
        <w:tc>
          <w:tcPr/>
          <w:p>
            <w:pPr>
              <w:pStyle w:val="Compact"/>
            </w:pPr>
            <w:r>
              <w:t xml:space="preserve">+0.100</w:t>
            </w:r>
          </w:p>
        </w:tc>
        <w:tc>
          <w:tcPr/>
          <w:p>
            <w:pPr>
              <w:pStyle w:val="Compact"/>
            </w:pPr>
            <w:r>
              <w:t xml:space="preserve">+0.2017</w:t>
            </w:r>
          </w:p>
        </w:tc>
        <w:tc>
          <w:tcPr/>
          <w:p>
            <w:pPr>
              <w:pStyle w:val="Compact"/>
            </w:pPr>
            <w:r>
              <w:t xml:space="preserve">+0.2213</w:t>
            </w:r>
          </w:p>
        </w:tc>
        <w:tc>
          <w:tcPr/>
          <w:p>
            <w:pPr>
              <w:pStyle w:val="Compact"/>
            </w:pPr>
            <w:r>
              <w:t xml:space="preserve">+0.3919</w:t>
            </w:r>
          </w:p>
        </w:tc>
        <w:tc>
          <w:tcPr/>
          <w:p>
            <w:pPr>
              <w:pStyle w:val="Compact"/>
            </w:pPr>
            <w:r>
              <w:t xml:space="preserve">0.91</w:t>
            </w:r>
          </w:p>
        </w:tc>
        <w:tc>
          <w:tcPr/>
          <w:p>
            <w:pPr>
              <w:pStyle w:val="Compact"/>
            </w:pPr>
            <w:r>
              <w:t xml:space="preserve">0.51</w:t>
            </w:r>
          </w:p>
        </w:tc>
      </w:tr>
      <w:tr>
        <w:tc>
          <w:tcPr/>
          <w:p>
            <w:pPr>
              <w:pStyle w:val="Compact"/>
            </w:pPr>
            <w:r>
              <w:t xml:space="preserve">231</w:t>
            </w:r>
          </w:p>
        </w:tc>
        <w:tc>
          <w:tcPr/>
          <w:p>
            <w:pPr>
              <w:pStyle w:val="Compact"/>
            </w:pPr>
            <w:r>
              <w:t xml:space="preserve">-0.100</w:t>
            </w:r>
          </w:p>
        </w:tc>
        <w:tc>
          <w:tcPr/>
          <w:p>
            <w:pPr>
              <w:pStyle w:val="Compact"/>
            </w:pPr>
            <w:r>
              <w:t xml:space="preserve">-0.0435</w:t>
            </w:r>
          </w:p>
        </w:tc>
        <w:tc>
          <w:tcPr/>
          <w:p>
            <w:pPr>
              <w:pStyle w:val="Compact"/>
            </w:pPr>
            <w:r>
              <w:t xml:space="preserve">-0.0443</w:t>
            </w:r>
          </w:p>
        </w:tc>
        <w:tc>
          <w:tcPr/>
          <w:p>
            <w:pPr>
              <w:pStyle w:val="Compact"/>
            </w:pPr>
            <w:r>
              <w:t xml:space="preserve">-0.0810</w:t>
            </w:r>
          </w:p>
        </w:tc>
        <w:tc>
          <w:tcPr/>
          <w:p>
            <w:pPr>
              <w:pStyle w:val="Compact"/>
            </w:pPr>
            <w:r>
              <w:t xml:space="preserve">0.98</w:t>
            </w:r>
          </w:p>
        </w:tc>
        <w:tc>
          <w:tcPr/>
          <w:p>
            <w:pPr>
              <w:pStyle w:val="Compact"/>
            </w:pPr>
            <w:r>
              <w:t xml:space="preserve">0.54</w:t>
            </w:r>
          </w:p>
        </w:tc>
      </w:tr>
      <w:tr>
        <w:tc>
          <w:tcPr/>
          <w:p>
            <w:pPr>
              <w:pStyle w:val="Compact"/>
            </w:pPr>
            <w:r>
              <w:t xml:space="preserve">231</w:t>
            </w:r>
          </w:p>
        </w:tc>
        <w:tc>
          <w:tcPr/>
          <w:p>
            <w:pPr>
              <w:pStyle w:val="Compact"/>
            </w:pPr>
            <w:r>
              <w:t xml:space="preserve">-0.050</w:t>
            </w:r>
          </w:p>
        </w:tc>
        <w:tc>
          <w:tcPr/>
          <w:p>
            <w:pPr>
              <w:pStyle w:val="Compact"/>
            </w:pPr>
            <w:r>
              <w:t xml:space="preserve">-0.0207</w:t>
            </w:r>
          </w:p>
        </w:tc>
        <w:tc>
          <w:tcPr/>
          <w:p>
            <w:pPr>
              <w:pStyle w:val="Compact"/>
            </w:pPr>
            <w:r>
              <w:t xml:space="preserve">-0.0211</w:t>
            </w:r>
          </w:p>
        </w:tc>
        <w:tc>
          <w:tcPr/>
          <w:p>
            <w:pPr>
              <w:pStyle w:val="Compact"/>
            </w:pPr>
            <w:r>
              <w:t xml:space="preserve">-0.0443</w:t>
            </w:r>
          </w:p>
        </w:tc>
        <w:tc>
          <w:tcPr/>
          <w:p>
            <w:pPr>
              <w:pStyle w:val="Compact"/>
            </w:pPr>
            <w:r>
              <w:t xml:space="preserve">0.98</w:t>
            </w:r>
          </w:p>
        </w:tc>
        <w:tc>
          <w:tcPr/>
          <w:p>
            <w:pPr>
              <w:pStyle w:val="Compact"/>
            </w:pPr>
            <w:r>
              <w:t xml:space="preserve">0.47</w:t>
            </w:r>
          </w:p>
        </w:tc>
      </w:tr>
      <w:tr>
        <w:tc>
          <w:tcPr/>
          <w:p>
            <w:pPr>
              <w:pStyle w:val="Compact"/>
            </w:pPr>
            <w:r>
              <w:t xml:space="preserve">231</w:t>
            </w:r>
          </w:p>
        </w:tc>
        <w:tc>
          <w:tcPr/>
          <w:p>
            <w:pPr>
              <w:pStyle w:val="Compact"/>
            </w:pPr>
            <w:r>
              <w:t xml:space="preserve">+0.050</w:t>
            </w:r>
          </w:p>
        </w:tc>
        <w:tc>
          <w:tcPr/>
          <w:p>
            <w:pPr>
              <w:pStyle w:val="Compact"/>
            </w:pPr>
            <w:r>
              <w:t xml:space="preserve">+0.0192</w:t>
            </w:r>
          </w:p>
        </w:tc>
        <w:tc>
          <w:tcPr/>
          <w:p>
            <w:pPr>
              <w:pStyle w:val="Compact"/>
            </w:pPr>
            <w:r>
              <w:t xml:space="preserve">+0.0196</w:t>
            </w:r>
          </w:p>
        </w:tc>
        <w:tc>
          <w:tcPr/>
          <w:p>
            <w:pPr>
              <w:pStyle w:val="Compact"/>
            </w:pPr>
            <w:r>
              <w:t xml:space="preserve">+0.0371</w:t>
            </w:r>
          </w:p>
        </w:tc>
        <w:tc>
          <w:tcPr/>
          <w:p>
            <w:pPr>
              <w:pStyle w:val="Compact"/>
            </w:pPr>
            <w:r>
              <w:t xml:space="preserve">0.98</w:t>
            </w:r>
          </w:p>
        </w:tc>
        <w:tc>
          <w:tcPr/>
          <w:p>
            <w:pPr>
              <w:pStyle w:val="Compact"/>
            </w:pPr>
            <w:r>
              <w:t xml:space="preserve">0.52</w:t>
            </w:r>
          </w:p>
        </w:tc>
      </w:tr>
      <w:tr>
        <w:tc>
          <w:tcPr/>
          <w:p>
            <w:pPr>
              <w:pStyle w:val="Compact"/>
            </w:pPr>
            <w:r>
              <w:t xml:space="preserve">231</w:t>
            </w:r>
          </w:p>
        </w:tc>
        <w:tc>
          <w:tcPr/>
          <w:p>
            <w:pPr>
              <w:pStyle w:val="Compact"/>
            </w:pPr>
            <w:r>
              <w:t xml:space="preserve">+0.100</w:t>
            </w:r>
          </w:p>
        </w:tc>
        <w:tc>
          <w:tcPr/>
          <w:p>
            <w:pPr>
              <w:pStyle w:val="Compact"/>
            </w:pPr>
            <w:r>
              <w:t xml:space="preserve">+0.0366</w:t>
            </w:r>
          </w:p>
        </w:tc>
        <w:tc>
          <w:tcPr/>
          <w:p>
            <w:pPr>
              <w:pStyle w:val="Compact"/>
            </w:pPr>
            <w:r>
              <w:t xml:space="preserve">+0.0371</w:t>
            </w:r>
          </w:p>
        </w:tc>
        <w:tc>
          <w:tcPr/>
          <w:p>
            <w:pPr>
              <w:pStyle w:val="Compact"/>
            </w:pPr>
            <w:r>
              <w:t xml:space="preserve">+0.0575</w:t>
            </w:r>
          </w:p>
        </w:tc>
        <w:tc>
          <w:tcPr/>
          <w:p>
            <w:pPr>
              <w:pStyle w:val="Compact"/>
            </w:pPr>
            <w:r>
              <w:t xml:space="preserve">0.99</w:t>
            </w:r>
          </w:p>
        </w:tc>
        <w:tc>
          <w:tcPr/>
          <w:p>
            <w:pPr>
              <w:pStyle w:val="Compact"/>
            </w:pPr>
            <w:r>
              <w:t xml:space="preserve">0.64</w:t>
            </w:r>
          </w:p>
        </w:tc>
      </w:tr>
    </w:tbl>
    <w:bookmarkEnd w:id="164"/>
    <w:bookmarkStart w:id="165" w:name="appendix-g.-risk-assessment-mechanics"/>
    <w:p>
      <w:pPr>
        <w:pStyle w:val="Heading2"/>
      </w:pPr>
      <w:r>
        <w:t xml:space="preserve">Appendix G. Risk-assessment mechanics</w:t>
      </w:r>
    </w:p>
    <w:p>
      <w:pPr>
        <w:pStyle w:val="FirstParagraph"/>
      </w:pPr>
      <w:r>
        <w:t xml:space="preserve">Table G1. Water-age association and the resampling design behind its interval. Whole spatial blocks are resampled rather than individual junctions, because junctions sharing pipes, flow paths and tank states are not independent samples. The interval is a descriptive width, not a significance test.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Quantity</w:t>
            </w:r>
          </w:p>
        </w:tc>
        <w:tc>
          <w:tcPr/>
          <w:p>
            <w:pPr>
              <w:pStyle w:val="Compact"/>
            </w:pPr>
            <w:r>
              <w:t xml:space="preserve">Value</w:t>
            </w:r>
          </w:p>
        </w:tc>
      </w:tr>
      <w:tr>
        <w:tc>
          <w:tcPr/>
          <w:p>
            <w:pPr>
              <w:pStyle w:val="Compact"/>
            </w:pPr>
            <w:r>
              <w:t xml:space="preserve">Spearman, duration</w:t>
            </w:r>
          </w:p>
        </w:tc>
        <w:tc>
          <w:tcPr/>
          <w:p>
            <w:pPr>
              <w:pStyle w:val="Compact"/>
            </w:pPr>
            <w:r>
              <w:t xml:space="preserve">0.7285</w:t>
            </w:r>
          </w:p>
        </w:tc>
      </w:tr>
      <w:tr>
        <w:tc>
          <w:tcPr/>
          <w:p>
            <w:pPr>
              <w:pStyle w:val="Compact"/>
            </w:pPr>
            <w:r>
              <w:t xml:space="preserve">Spearman, deficit</w:t>
            </w:r>
          </w:p>
        </w:tc>
        <w:tc>
          <w:tcPr/>
          <w:p>
            <w:pPr>
              <w:pStyle w:val="Compact"/>
            </w:pPr>
            <w:r>
              <w:t xml:space="preserve">0.7219</w:t>
            </w:r>
          </w:p>
        </w:tc>
      </w:tr>
      <w:tr>
        <w:tc>
          <w:tcPr/>
          <w:p>
            <w:pPr>
              <w:pStyle w:val="Compact"/>
            </w:pPr>
            <w:r>
              <w:t xml:space="preserve">Pearson, duration</w:t>
            </w:r>
          </w:p>
        </w:tc>
        <w:tc>
          <w:tcPr/>
          <w:p>
            <w:pPr>
              <w:pStyle w:val="Compact"/>
            </w:pPr>
            <w:r>
              <w:t xml:space="preserve">0.8611</w:t>
            </w:r>
          </w:p>
        </w:tc>
      </w:tr>
      <w:tr>
        <w:tc>
          <w:tcPr/>
          <w:p>
            <w:pPr>
              <w:pStyle w:val="Compact"/>
            </w:pPr>
            <w:r>
              <w:t xml:space="preserve">Junctions</w:t>
            </w:r>
          </w:p>
        </w:tc>
        <w:tc>
          <w:tcPr/>
          <w:p>
            <w:pPr>
              <w:pStyle w:val="Compact"/>
            </w:pPr>
            <w:r>
              <w:t xml:space="preserve">92</w:t>
            </w:r>
          </w:p>
        </w:tc>
      </w:tr>
      <w:tr>
        <w:tc>
          <w:tcPr/>
          <w:p>
            <w:pPr>
              <w:pStyle w:val="Compact"/>
            </w:pPr>
            <w:r>
              <w:t xml:space="preserve">Blocks</w:t>
            </w:r>
          </w:p>
        </w:tc>
        <w:tc>
          <w:tcPr/>
          <w:p>
            <w:pPr>
              <w:pStyle w:val="Compact"/>
            </w:pPr>
            <w:r>
              <w:t xml:space="preserve">10</w:t>
            </w:r>
          </w:p>
        </w:tc>
      </w:tr>
      <w:tr>
        <w:tc>
          <w:tcPr/>
          <w:p>
            <w:pPr>
              <w:pStyle w:val="Compact"/>
            </w:pPr>
            <w:r>
              <w:t xml:space="preserve">Block rule</w:t>
            </w:r>
          </w:p>
        </w:tc>
        <w:tc>
          <w:tcPr/>
          <w:p>
            <w:pPr>
              <w:pStyle w:val="Compact"/>
            </w:pPr>
            <w:r>
              <w:t xml:space="preserve">k-means on standardised node coordinates; whole blocks resampled with replacement</w:t>
            </w:r>
          </w:p>
        </w:tc>
      </w:tr>
      <w:tr>
        <w:tc>
          <w:tcPr/>
          <w:p>
            <w:pPr>
              <w:pStyle w:val="Compact"/>
            </w:pPr>
            <w:r>
              <w:t xml:space="preserve">Resamples</w:t>
            </w:r>
          </w:p>
        </w:tc>
        <w:tc>
          <w:tcPr/>
          <w:p>
            <w:pPr>
              <w:pStyle w:val="Compact"/>
            </w:pPr>
            <w:r>
              <w:t xml:space="preserve">2000</w:t>
            </w:r>
          </w:p>
        </w:tc>
      </w:tr>
      <w:tr>
        <w:tc>
          <w:tcPr/>
          <w:p>
            <w:pPr>
              <w:pStyle w:val="Compact"/>
            </w:pPr>
            <w:r>
              <w:t xml:space="preserve">95% interval, Spearman duration</w:t>
            </w:r>
          </w:p>
        </w:tc>
        <w:tc>
          <w:tcPr/>
          <w:p>
            <w:pPr>
              <w:pStyle w:val="Compact"/>
            </w:pPr>
            <w:r>
              <w:t xml:space="preserve">[0.455, 0.897]</w:t>
            </w:r>
          </w:p>
        </w:tc>
      </w:tr>
    </w:tbl>
    <w:p>
      <w:pPr>
        <w:pStyle w:val="BodyText"/>
      </w:pPr>
      <w:r>
        <w:t xml:space="preserve">Table G2. Three network averages for each risk metric. Consumer-only is worse than unweighted while demand-weighted is better, which can only happen if the risk concentrates at small consumers.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Unweighted (all 92)</w:t>
            </w:r>
          </w:p>
        </w:tc>
        <w:tc>
          <w:tcPr/>
          <w:p>
            <w:pPr>
              <w:pStyle w:val="Compact"/>
            </w:pPr>
            <w:r>
              <w:t xml:space="preserve">Consumer-only (59)</w:t>
            </w:r>
          </w:p>
        </w:tc>
        <w:tc>
          <w:tcPr/>
          <w:p>
            <w:pPr>
              <w:pStyle w:val="Compact"/>
            </w:pPr>
            <w:r>
              <w:t xml:space="preserve">Demand-weighted</w:t>
            </w:r>
          </w:p>
        </w:tc>
      </w:tr>
      <w:tr>
        <w:tc>
          <w:tcPr/>
          <w:p>
            <w:pPr>
              <w:pStyle w:val="Compact"/>
            </w:pPr>
            <w:r>
              <w:t xml:space="preserve">E duration h</w:t>
            </w:r>
          </w:p>
        </w:tc>
        <w:tc>
          <w:tcPr/>
          <w:p>
            <w:pPr>
              <w:pStyle w:val="Compact"/>
            </w:pPr>
            <w:r>
              <w:t xml:space="preserve">3.4309</w:t>
            </w:r>
          </w:p>
        </w:tc>
        <w:tc>
          <w:tcPr/>
          <w:p>
            <w:pPr>
              <w:pStyle w:val="Compact"/>
            </w:pPr>
            <w:r>
              <w:t xml:space="preserve">4.4610</w:t>
            </w:r>
          </w:p>
        </w:tc>
        <w:tc>
          <w:tcPr/>
          <w:p>
            <w:pPr>
              <w:pStyle w:val="Compact"/>
            </w:pPr>
            <w:r>
              <w:t xml:space="preserve">1.2311</w:t>
            </w:r>
          </w:p>
        </w:tc>
      </w:tr>
      <w:tr>
        <w:tc>
          <w:tcPr/>
          <w:p>
            <w:pPr>
              <w:pStyle w:val="Compact"/>
            </w:pPr>
            <w:r>
              <w:t xml:space="preserve">E deficit</w:t>
            </w:r>
          </w:p>
        </w:tc>
        <w:tc>
          <w:tcPr/>
          <w:p>
            <w:pPr>
              <w:pStyle w:val="Compact"/>
            </w:pPr>
            <w:r>
              <w:t xml:space="preserve">0.2181</w:t>
            </w:r>
          </w:p>
        </w:tc>
        <w:tc>
          <w:tcPr/>
          <w:p>
            <w:pPr>
              <w:pStyle w:val="Compact"/>
            </w:pPr>
            <w:r>
              <w:t xml:space="preserve">0.3053</w:t>
            </w:r>
          </w:p>
        </w:tc>
        <w:tc>
          <w:tcPr/>
          <w:p>
            <w:pPr>
              <w:pStyle w:val="Compact"/>
            </w:pPr>
            <w:r>
              <w:t xml:space="preserve">0.0798</w:t>
            </w:r>
          </w:p>
        </w:tc>
      </w:tr>
      <w:tr>
        <w:tc>
          <w:tcPr/>
          <w:p>
            <w:pPr>
              <w:pStyle w:val="Compact"/>
            </w:pPr>
            <w:r>
              <w:t xml:space="preserve">min C</w:t>
            </w:r>
          </w:p>
        </w:tc>
        <w:tc>
          <w:tcPr/>
          <w:p>
            <w:pPr>
              <w:pStyle w:val="Compact"/>
            </w:pPr>
            <w:r>
              <w:t xml:space="preserve">0.4922</w:t>
            </w:r>
          </w:p>
        </w:tc>
        <w:tc>
          <w:tcPr/>
          <w:p>
            <w:pPr>
              <w:pStyle w:val="Compact"/>
            </w:pPr>
            <w:r>
              <w:t xml:space="preserve">0.4412</w:t>
            </w:r>
          </w:p>
        </w:tc>
        <w:tc>
          <w:tcPr/>
          <w:p>
            <w:pPr>
              <w:pStyle w:val="Compact"/>
            </w:pPr>
            <w:r>
              <w:t xml:space="preserve">0.6348</w:t>
            </w:r>
          </w:p>
        </w:tc>
      </w:tr>
    </w:tbl>
    <w:p>
      <w:pPr>
        <w:pStyle w:val="BodyText"/>
      </w:pPr>
      <w:r>
        <w:t xml:space="preserve">Table G3. Scenario draw specification. One draw per retained ensemble member is reused across every scenario and dose as a common random number, so scenario differences are physical rather than Monte Carlo noise.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Quantity</w:t>
            </w:r>
          </w:p>
        </w:tc>
        <w:tc>
          <w:tcPr/>
          <w:p>
            <w:pPr>
              <w:pStyle w:val="Compact"/>
            </w:pPr>
            <w:r>
              <w:t xml:space="preserve">Specification</w:t>
            </w:r>
          </w:p>
        </w:tc>
      </w:tr>
      <w:tr>
        <w:tc>
          <w:tcPr/>
          <w:p>
            <w:pPr>
              <w:pStyle w:val="Compact"/>
            </w:pPr>
            <w:r>
              <w:t xml:space="preserve">Retained draws</w:t>
            </w:r>
          </w:p>
        </w:tc>
        <w:tc>
          <w:tcPr/>
          <w:p>
            <w:pPr>
              <w:pStyle w:val="Compact"/>
            </w:pPr>
            <w:r>
              <w:t xml:space="preserve">2196 of 8192 (weight above 1e-06 of the maximum)</w:t>
            </w:r>
          </w:p>
        </w:tc>
      </w:tr>
      <w:tr>
        <w:tc>
          <w:tcPr/>
          <w:p>
            <w:pPr>
              <w:pStyle w:val="Compact"/>
            </w:pPr>
            <w:r>
              <w:t xml:space="preserve">Discarded weight mass</w:t>
            </w:r>
          </w:p>
        </w:tc>
        <w:tc>
          <w:tcPr/>
          <w:p>
            <w:pPr>
              <w:pStyle w:val="Compact"/>
            </w:pPr>
            <w:r>
              <w:t xml:space="preserve">3.79e-06</w:t>
            </w:r>
          </w:p>
        </w:tc>
      </w:tr>
      <w:tr>
        <w:tc>
          <w:tcPr/>
          <w:p>
            <w:pPr>
              <w:pStyle w:val="Compact"/>
            </w:pPr>
            <w:r>
              <w:t xml:space="preserve">Bulk activation energy</w:t>
            </w:r>
          </w:p>
        </w:tc>
        <w:tc>
          <w:tcPr/>
          <w:p>
            <w:pPr>
              <w:pStyle w:val="Compact"/>
            </w:pPr>
            <w:r>
              <w:t xml:space="preserve">N(45000, 8000^2) J/mol, truncated below at 5000</w:t>
            </w:r>
          </w:p>
        </w:tc>
      </w:tr>
      <w:tr>
        <w:tc>
          <w:tcPr/>
          <w:p>
            <w:pPr>
              <w:pStyle w:val="Compact"/>
            </w:pPr>
            <w:r>
              <w:t xml:space="preserve">Realised bulk range</w:t>
            </w:r>
          </w:p>
        </w:tc>
        <w:tc>
          <w:tcPr/>
          <w:p>
            <w:pPr>
              <w:pStyle w:val="Compact"/>
            </w:pPr>
            <w:r>
              <w:t xml:space="preserve">17593 to 72051 J/mol</w:t>
            </w:r>
          </w:p>
        </w:tc>
      </w:tr>
      <w:tr>
        <w:tc>
          <w:tcPr/>
          <w:p>
            <w:pPr>
              <w:pStyle w:val="Compact"/>
            </w:pPr>
            <w:r>
              <w:t xml:space="preserve">Wall activation energy</w:t>
            </w:r>
          </w:p>
        </w:tc>
        <w:tc>
          <w:tcPr/>
          <w:p>
            <w:pPr>
              <w:pStyle w:val="Compact"/>
            </w:pPr>
            <w:r>
              <w:t xml:space="preserve">N(35000, 10000^2) J/mol, truncated below at 5000</w:t>
            </w:r>
          </w:p>
        </w:tc>
      </w:tr>
      <w:tr>
        <w:tc>
          <w:tcPr/>
          <w:p>
            <w:pPr>
              <w:pStyle w:val="Compact"/>
            </w:pPr>
            <w:r>
              <w:t xml:space="preserve">Realised wall range</w:t>
            </w:r>
          </w:p>
        </w:tc>
        <w:tc>
          <w:tcPr/>
          <w:p>
            <w:pPr>
              <w:pStyle w:val="Compact"/>
            </w:pPr>
            <w:r>
              <w:t xml:space="preserve">5103 to 70241 J/mol</w:t>
            </w:r>
          </w:p>
        </w:tc>
      </w:tr>
      <w:tr>
        <w:tc>
          <w:tcPr/>
          <w:p>
            <w:pPr>
              <w:pStyle w:val="Compact"/>
            </w:pPr>
            <w:r>
              <w:t xml:space="preserve">Water temperature</w:t>
            </w:r>
          </w:p>
        </w:tc>
        <w:tc>
          <w:tcPr/>
          <w:p>
            <w:pPr>
              <w:pStyle w:val="Compact"/>
            </w:pPr>
            <w:r>
              <w:t xml:space="preserve">dT ~ N(0, 1.0^2) added to the scenario mean, truncated to [-4.0, +4.0] degC so every scenario stays inside the 8.0-24.0 degC validity range</w:t>
            </w:r>
          </w:p>
        </w:tc>
      </w:tr>
      <w:tr>
        <w:tc>
          <w:tcPr/>
          <w:p>
            <w:pPr>
              <w:pStyle w:val="Compact"/>
            </w:pPr>
            <w:r>
              <w:t xml:space="preserve">Realised temperature range</w:t>
            </w:r>
          </w:p>
        </w:tc>
        <w:tc>
          <w:tcPr/>
          <w:p>
            <w:pPr>
              <w:pStyle w:val="Compact"/>
            </w:pPr>
            <w:r>
              <w:t xml:space="preserve">8.48 to 23.50 degC</w:t>
            </w:r>
          </w:p>
        </w:tc>
      </w:tr>
      <w:tr>
        <w:tc>
          <w:tcPr/>
          <w:p>
            <w:pPr>
              <w:pStyle w:val="Compact"/>
            </w:pPr>
            <w:r>
              <w:t xml:space="preserve">Draws resampled at the bound</w:t>
            </w:r>
          </w:p>
        </w:tc>
        <w:tc>
          <w:tcPr/>
          <w:p>
            <w:pPr>
              <w:pStyle w:val="Compact"/>
            </w:pPr>
            <w:r>
              <w:t xml:space="preserve">0</w:t>
            </w:r>
          </w:p>
        </w:tc>
      </w:tr>
      <w:tr>
        <w:tc>
          <w:tcPr/>
          <w:p>
            <w:pPr>
              <w:pStyle w:val="Compact"/>
            </w:pPr>
            <w:r>
              <w:t xml:space="preserve">Common random numbers</w:t>
            </w:r>
          </w:p>
        </w:tc>
        <w:tc>
          <w:tcPr/>
          <w:p>
            <w:pPr>
              <w:pStyle w:val="Compact"/>
            </w:pPr>
            <w:r>
              <w:t xml:space="preserve">True</w:t>
            </w:r>
          </w:p>
        </w:tc>
      </w:tr>
    </w:tbl>
    <w:bookmarkEnd w:id="165"/>
    <w:bookmarkStart w:id="166" w:name="Xc0b2899ea87b71e9f8a5d7e226fe2b64e1dc44b"/>
    <w:p>
      <w:pPr>
        <w:pStyle w:val="Heading2"/>
      </w:pPr>
      <w:r>
        <w:t xml:space="preserve">Appendix H. Risk banding and the full register</w:t>
      </w:r>
    </w:p>
    <w:p>
      <w:pPr>
        <w:pStyle w:val="FirstParagraph"/>
      </w:pPr>
      <w:r>
        <w:t xml:space="preserve">Table H1. Risk banding. The likelihood and severity axes are scored 1 to 5 on the criteria below and consequence 0 to 3; a risk score is the axis score times the consequence score, and the band follows from that score. The severity edges are pre-declared hours rather than quantiles of this network’s own results, so the same scale applies across scenarios. The governing band is the higher of the breach-probability band and the severity band, since neither axis alone may reduce an action.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Axis</w:t>
            </w:r>
          </w:p>
        </w:tc>
        <w:tc>
          <w:tcPr/>
          <w:p>
            <w:pPr>
              <w:pStyle w:val="Compact"/>
            </w:pPr>
            <w:r>
              <w:t xml:space="preserve">Band</w:t>
            </w:r>
          </w:p>
        </w:tc>
        <w:tc>
          <w:tcPr/>
          <w:p>
            <w:pPr>
              <w:pStyle w:val="Compact"/>
            </w:pPr>
            <w:r>
              <w:t xml:space="preserve">Criterion</w:t>
            </w:r>
          </w:p>
        </w:tc>
      </w:tr>
      <w:tr>
        <w:tc>
          <w:tcPr/>
          <w:p>
            <w:pPr>
              <w:pStyle w:val="Compact"/>
            </w:pPr>
            <w:r>
              <w:t xml:space="preserve">Likelihood, from</w:t>
            </w:r>
            <w:r>
              <w:t xml:space="preserve"> </w:t>
            </w:r>
            <m:oMath>
              <m:sSub>
                <m:e>
                  <m:r>
                    <m:t>P</m:t>
                  </m:r>
                </m:e>
                <m:sub>
                  <m:r>
                    <m:rPr>
                      <m:sty m:val="p"/>
                    </m:rPr>
                    <m:t>min</m:t>
                  </m:r>
                </m:sub>
              </m:sSub>
            </m:oMath>
          </w:p>
        </w:tc>
        <w:tc>
          <w:tcPr/>
          <w:p>
            <w:pPr>
              <w:pStyle w:val="Compact"/>
            </w:pPr>
            <w:r>
              <w:t xml:space="preserve">rare</w:t>
            </w:r>
          </w:p>
        </w:tc>
        <w:tc>
          <w:tcPr/>
          <w:p>
            <w:pPr>
              <w:pStyle w:val="Compact"/>
            </w:pPr>
            <w:r>
              <w:t xml:space="preserve">P_min &lt; 0.05</w:t>
            </w:r>
          </w:p>
        </w:tc>
      </w:tr>
      <w:tr>
        <w:tc>
          <w:tcPr/>
          <w:p>
            <w:pPr>
              <w:pStyle w:val="Compact"/>
            </w:pPr>
          </w:p>
        </w:tc>
        <w:tc>
          <w:tcPr/>
          <w:p>
            <w:pPr>
              <w:pStyle w:val="Compact"/>
            </w:pPr>
            <w:r>
              <w:t xml:space="preserve">unlikely</w:t>
            </w:r>
          </w:p>
        </w:tc>
        <w:tc>
          <w:tcPr/>
          <w:p>
            <w:pPr>
              <w:pStyle w:val="Compact"/>
            </w:pPr>
            <w:r>
              <w:t xml:space="preserve">0.05 &lt;= P_min &lt; 0.20</w:t>
            </w:r>
          </w:p>
        </w:tc>
      </w:tr>
      <w:tr>
        <w:tc>
          <w:tcPr/>
          <w:p>
            <w:pPr>
              <w:pStyle w:val="Compact"/>
            </w:pPr>
          </w:p>
        </w:tc>
        <w:tc>
          <w:tcPr/>
          <w:p>
            <w:pPr>
              <w:pStyle w:val="Compact"/>
            </w:pPr>
            <w:r>
              <w:t xml:space="preserve">possible</w:t>
            </w:r>
          </w:p>
        </w:tc>
        <w:tc>
          <w:tcPr/>
          <w:p>
            <w:pPr>
              <w:pStyle w:val="Compact"/>
            </w:pPr>
            <w:r>
              <w:t xml:space="preserve">0.20 &lt;= P_min &lt; 0.50</w:t>
            </w:r>
          </w:p>
        </w:tc>
      </w:tr>
      <w:tr>
        <w:tc>
          <w:tcPr/>
          <w:p>
            <w:pPr>
              <w:pStyle w:val="Compact"/>
            </w:pPr>
          </w:p>
        </w:tc>
        <w:tc>
          <w:tcPr/>
          <w:p>
            <w:pPr>
              <w:pStyle w:val="Compact"/>
            </w:pPr>
            <w:r>
              <w:t xml:space="preserve">likely</w:t>
            </w:r>
          </w:p>
        </w:tc>
        <w:tc>
          <w:tcPr/>
          <w:p>
            <w:pPr>
              <w:pStyle w:val="Compact"/>
            </w:pPr>
            <w:r>
              <w:t xml:space="preserve">0.50 &lt;= P_min &lt; 0.80</w:t>
            </w:r>
          </w:p>
        </w:tc>
      </w:tr>
      <w:tr>
        <w:tc>
          <w:tcPr/>
          <w:p>
            <w:pPr>
              <w:pStyle w:val="Compact"/>
            </w:pPr>
          </w:p>
        </w:tc>
        <w:tc>
          <w:tcPr/>
          <w:p>
            <w:pPr>
              <w:pStyle w:val="Compact"/>
            </w:pPr>
            <w:r>
              <w:t xml:space="preserve">almost certain</w:t>
            </w:r>
          </w:p>
        </w:tc>
        <w:tc>
          <w:tcPr/>
          <w:p>
            <w:pPr>
              <w:pStyle w:val="Compact"/>
            </w:pPr>
            <w:r>
              <w:t xml:space="preserve">P_min &gt;= 0.80</w:t>
            </w:r>
          </w:p>
        </w:tc>
      </w:tr>
      <w:tr>
        <w:tc>
          <w:tcPr/>
          <w:p>
            <w:pPr>
              <w:pStyle w:val="Compact"/>
            </w:pPr>
            <w:r>
              <w:t xml:space="preserve">Severity, from E[D]</w:t>
            </w:r>
          </w:p>
        </w:tc>
        <w:tc>
          <w:tcPr/>
          <w:p>
            <w:pPr>
              <w:pStyle w:val="Compact"/>
            </w:pPr>
            <w:r>
              <w:t xml:space="preserve">negligible</w:t>
            </w:r>
          </w:p>
        </w:tc>
        <w:tc>
          <w:tcPr/>
          <w:p>
            <w:pPr>
              <w:pStyle w:val="Compact"/>
            </w:pPr>
            <w:r>
              <w:t xml:space="preserve">E[D] &lt; 1 h</w:t>
            </w:r>
          </w:p>
        </w:tc>
      </w:tr>
      <w:tr>
        <w:tc>
          <w:tcPr/>
          <w:p>
            <w:pPr>
              <w:pStyle w:val="Compact"/>
            </w:pPr>
          </w:p>
        </w:tc>
        <w:tc>
          <w:tcPr/>
          <w:p>
            <w:pPr>
              <w:pStyle w:val="Compact"/>
            </w:pPr>
            <w:r>
              <w:t xml:space="preserve">brief</w:t>
            </w:r>
          </w:p>
        </w:tc>
        <w:tc>
          <w:tcPr/>
          <w:p>
            <w:pPr>
              <w:pStyle w:val="Compact"/>
            </w:pPr>
            <w:r>
              <w:t xml:space="preserve">1 &lt;= E[D] &lt; 6 h</w:t>
            </w:r>
          </w:p>
        </w:tc>
      </w:tr>
      <w:tr>
        <w:tc>
          <w:tcPr/>
          <w:p>
            <w:pPr>
              <w:pStyle w:val="Compact"/>
            </w:pPr>
          </w:p>
        </w:tc>
        <w:tc>
          <w:tcPr/>
          <w:p>
            <w:pPr>
              <w:pStyle w:val="Compact"/>
            </w:pPr>
            <w:r>
              <w:t xml:space="preserve">sustained</w:t>
            </w:r>
          </w:p>
        </w:tc>
        <w:tc>
          <w:tcPr/>
          <w:p>
            <w:pPr>
              <w:pStyle w:val="Compact"/>
            </w:pPr>
            <w:r>
              <w:t xml:space="preserve">6 &lt;= E[D] &lt; 12 h</w:t>
            </w:r>
          </w:p>
        </w:tc>
      </w:tr>
      <w:tr>
        <w:tc>
          <w:tcPr/>
          <w:p>
            <w:pPr>
              <w:pStyle w:val="Compact"/>
            </w:pPr>
          </w:p>
        </w:tc>
        <w:tc>
          <w:tcPr/>
          <w:p>
            <w:pPr>
              <w:pStyle w:val="Compact"/>
            </w:pPr>
            <w:r>
              <w:t xml:space="preserve">prolonged</w:t>
            </w:r>
          </w:p>
        </w:tc>
        <w:tc>
          <w:tcPr/>
          <w:p>
            <w:pPr>
              <w:pStyle w:val="Compact"/>
            </w:pPr>
            <w:r>
              <w:t xml:space="preserve">12 &lt;= E[D] &lt; 24 h</w:t>
            </w:r>
          </w:p>
        </w:tc>
      </w:tr>
      <w:tr>
        <w:tc>
          <w:tcPr/>
          <w:p>
            <w:pPr>
              <w:pStyle w:val="Compact"/>
            </w:pPr>
          </w:p>
        </w:tc>
        <w:tc>
          <w:tcPr/>
          <w:p>
            <w:pPr>
              <w:pStyle w:val="Compact"/>
            </w:pPr>
            <w:r>
              <w:t xml:space="preserve">persistent</w:t>
            </w:r>
          </w:p>
        </w:tc>
        <w:tc>
          <w:tcPr/>
          <w:p>
            <w:pPr>
              <w:pStyle w:val="Compact"/>
            </w:pPr>
            <w:r>
              <w:t xml:space="preserve">E[D] &gt;= 24 h (half the assessment window or more)</w:t>
            </w:r>
          </w:p>
        </w:tc>
      </w:tr>
      <w:tr>
        <w:tc>
          <w:tcPr/>
          <w:p>
            <w:pPr>
              <w:pStyle w:val="Compact"/>
            </w:pPr>
            <w:r>
              <w:t xml:space="preserve">Consequence, from demand</w:t>
            </w:r>
          </w:p>
        </w:tc>
        <w:tc>
          <w:tcPr/>
          <w:p>
            <w:pPr>
              <w:pStyle w:val="Compact"/>
            </w:pPr>
            <w:r>
              <w:t xml:space="preserve">non-consumer</w:t>
            </w:r>
          </w:p>
        </w:tc>
        <w:tc>
          <w:tcPr/>
          <w:p>
            <w:pPr>
              <w:pStyle w:val="Compact"/>
            </w:pPr>
            <w:r>
              <w:t xml:space="preserve">d = 0, a non-consumer junction</w:t>
            </w:r>
          </w:p>
        </w:tc>
      </w:tr>
      <w:tr>
        <w:tc>
          <w:tcPr/>
          <w:p>
            <w:pPr>
              <w:pStyle w:val="Compact"/>
            </w:pPr>
          </w:p>
        </w:tc>
        <w:tc>
          <w:tcPr/>
          <w:p>
            <w:pPr>
              <w:pStyle w:val="Compact"/>
            </w:pPr>
            <w:r>
              <w:t xml:space="preserve">minor</w:t>
            </w:r>
          </w:p>
        </w:tc>
        <w:tc>
          <w:tcPr/>
          <w:p>
            <w:pPr>
              <w:pStyle w:val="Compact"/>
            </w:pPr>
            <w:r>
              <w:t xml:space="preserve">0 &lt; d &lt;= 1.67 L/s</w:t>
            </w:r>
          </w:p>
        </w:tc>
      </w:tr>
      <w:tr>
        <w:tc>
          <w:tcPr/>
          <w:p>
            <w:pPr>
              <w:pStyle w:val="Compact"/>
            </w:pPr>
          </w:p>
        </w:tc>
        <w:tc>
          <w:tcPr/>
          <w:p>
            <w:pPr>
              <w:pStyle w:val="Compact"/>
            </w:pPr>
            <w:r>
              <w:t xml:space="preserve">moderate</w:t>
            </w:r>
          </w:p>
        </w:tc>
        <w:tc>
          <w:tcPr/>
          <w:p>
            <w:pPr>
              <w:pStyle w:val="Compact"/>
            </w:pPr>
            <w:r>
              <w:t xml:space="preserve">1.67 &lt; d &lt;= 4.38 L/s</w:t>
            </w:r>
          </w:p>
        </w:tc>
      </w:tr>
      <w:tr>
        <w:tc>
          <w:tcPr/>
          <w:p>
            <w:pPr>
              <w:pStyle w:val="Compact"/>
            </w:pPr>
          </w:p>
        </w:tc>
        <w:tc>
          <w:tcPr/>
          <w:p>
            <w:pPr>
              <w:pStyle w:val="Compact"/>
            </w:pPr>
            <w:r>
              <w:t xml:space="preserve">major</w:t>
            </w:r>
          </w:p>
        </w:tc>
        <w:tc>
          <w:tcPr/>
          <w:p>
            <w:pPr>
              <w:pStyle w:val="Compact"/>
            </w:pPr>
            <w:r>
              <w:t xml:space="preserve">d &gt; 4.38 L/s</w:t>
            </w:r>
          </w:p>
        </w:tc>
      </w:tr>
      <w:tr>
        <w:tc>
          <w:tcPr/>
          <w:p>
            <w:pPr>
              <w:pStyle w:val="Compact"/>
            </w:pPr>
            <w:r>
              <w:t xml:space="preserve">Risk band, from score</w:t>
            </w:r>
          </w:p>
        </w:tc>
        <w:tc>
          <w:tcPr/>
          <w:p>
            <w:pPr>
              <w:pStyle w:val="Compact"/>
            </w:pPr>
            <w:r>
              <w:t xml:space="preserve">not applicable</w:t>
            </w:r>
          </w:p>
        </w:tc>
        <w:tc>
          <w:tcPr/>
          <w:p>
            <w:pPr>
              <w:pStyle w:val="Compact"/>
            </w:pPr>
            <w:r>
              <w:t xml:space="preserve">score = 0</w:t>
            </w:r>
          </w:p>
        </w:tc>
      </w:tr>
      <w:tr>
        <w:tc>
          <w:tcPr/>
          <w:p>
            <w:pPr>
              <w:pStyle w:val="Compact"/>
            </w:pPr>
          </w:p>
        </w:tc>
        <w:tc>
          <w:tcPr/>
          <w:p>
            <w:pPr>
              <w:pStyle w:val="Compact"/>
            </w:pPr>
            <w:r>
              <w:t xml:space="preserve">low</w:t>
            </w:r>
          </w:p>
        </w:tc>
        <w:tc>
          <w:tcPr/>
          <w:p>
            <w:pPr>
              <w:pStyle w:val="Compact"/>
            </w:pPr>
            <w:r>
              <w:t xml:space="preserve">1 &lt;= score &lt;= 3</w:t>
            </w:r>
          </w:p>
        </w:tc>
      </w:tr>
      <w:tr>
        <w:tc>
          <w:tcPr/>
          <w:p>
            <w:pPr>
              <w:pStyle w:val="Compact"/>
            </w:pPr>
          </w:p>
        </w:tc>
        <w:tc>
          <w:tcPr/>
          <w:p>
            <w:pPr>
              <w:pStyle w:val="Compact"/>
            </w:pPr>
            <w:r>
              <w:t xml:space="preserve">medium</w:t>
            </w:r>
          </w:p>
        </w:tc>
        <w:tc>
          <w:tcPr/>
          <w:p>
            <w:pPr>
              <w:pStyle w:val="Compact"/>
            </w:pPr>
            <w:r>
              <w:t xml:space="preserve">4 &lt;= score &lt;= 6</w:t>
            </w:r>
          </w:p>
        </w:tc>
      </w:tr>
      <w:tr>
        <w:tc>
          <w:tcPr/>
          <w:p>
            <w:pPr>
              <w:pStyle w:val="Compact"/>
            </w:pPr>
          </w:p>
        </w:tc>
        <w:tc>
          <w:tcPr/>
          <w:p>
            <w:pPr>
              <w:pStyle w:val="Compact"/>
            </w:pPr>
            <w:r>
              <w:t xml:space="preserve">high</w:t>
            </w:r>
          </w:p>
        </w:tc>
        <w:tc>
          <w:tcPr/>
          <w:p>
            <w:pPr>
              <w:pStyle w:val="Compact"/>
            </w:pPr>
            <w:r>
              <w:t xml:space="preserve">7 &lt;= score &lt;= 9</w:t>
            </w:r>
          </w:p>
        </w:tc>
      </w:tr>
      <w:tr>
        <w:tc>
          <w:tcPr/>
          <w:p>
            <w:pPr>
              <w:pStyle w:val="Compact"/>
            </w:pPr>
          </w:p>
        </w:tc>
        <w:tc>
          <w:tcPr/>
          <w:p>
            <w:pPr>
              <w:pStyle w:val="Compact"/>
            </w:pPr>
            <w:r>
              <w:t xml:space="preserve">very high</w:t>
            </w:r>
          </w:p>
        </w:tc>
        <w:tc>
          <w:tcPr/>
          <w:p>
            <w:pPr>
              <w:pStyle w:val="Compact"/>
            </w:pPr>
            <w:r>
              <w:t xml:space="preserve">score &gt;= 10</w:t>
            </w:r>
          </w:p>
        </w:tc>
      </w:tr>
    </w:tbl>
    <w:p>
      <w:pPr>
        <w:pStyle w:val="BodyText"/>
      </w:pPr>
      <w:r>
        <w:t xml:space="preserve">Table H2. The complete risk register, all 92 junctions, ordered by expected cumulative deficit. Bands are defined in Table H1.</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node</w:t>
            </w:r>
          </w:p>
        </w:tc>
        <w:tc>
          <w:tcPr/>
          <w:p>
            <w:pPr>
              <w:pStyle w:val="Compact"/>
            </w:pPr>
            <w:r>
              <w:t xml:space="preserve">P min current</w:t>
            </w:r>
          </w:p>
        </w:tc>
        <w:tc>
          <w:tcPr/>
          <w:p>
            <w:pPr>
              <w:pStyle w:val="Compact"/>
            </w:pPr>
            <w:r>
              <w:t xml:space="preserve">P min heatwave</w:t>
            </w:r>
          </w:p>
        </w:tc>
        <w:tc>
          <w:tcPr/>
          <w:p>
            <w:pPr>
              <w:pStyle w:val="Compact"/>
            </w:pPr>
            <w:r>
              <w:t xml:space="preserve">P min heat ageing</w:t>
            </w:r>
          </w:p>
        </w:tc>
        <w:tc>
          <w:tcPr/>
          <w:p>
            <w:pPr>
              <w:pStyle w:val="Compact"/>
            </w:pPr>
            <w:r>
              <w:t xml:space="preserve">demand L s</w:t>
            </w:r>
          </w:p>
        </w:tc>
        <w:tc>
          <w:tcPr/>
          <w:p>
            <w:pPr>
              <w:pStyle w:val="Compact"/>
            </w:pPr>
            <w:r>
              <w:t xml:space="preserve">risk band severity</w:t>
            </w:r>
          </w:p>
        </w:tc>
        <w:tc>
          <w:tcPr/>
          <w:p>
            <w:pPr>
              <w:pStyle w:val="Compact"/>
            </w:pPr>
            <w:r>
              <w:t xml:space="preserve">risk band governing</w:t>
            </w:r>
          </w:p>
        </w:tc>
      </w:tr>
      <w:tr>
        <w:tc>
          <w:tcPr/>
          <w:p>
            <w:pPr>
              <w:pStyle w:val="Compact"/>
            </w:pPr>
            <w:r>
              <w:t xml:space="preserve">15</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16.67</w:t>
            </w:r>
          </w:p>
        </w:tc>
        <w:tc>
          <w:tcPr/>
          <w:p>
            <w:pPr>
              <w:pStyle w:val="Compact"/>
            </w:pPr>
            <w:r>
              <w:t xml:space="preserve">very high</w:t>
            </w:r>
          </w:p>
        </w:tc>
        <w:tc>
          <w:tcPr/>
          <w:p>
            <w:pPr>
              <w:pStyle w:val="Compact"/>
            </w:pPr>
            <w:r>
              <w:t xml:space="preserve">very high</w:t>
            </w:r>
          </w:p>
        </w:tc>
      </w:tr>
      <w:tr>
        <w:tc>
          <w:tcPr/>
          <w:p>
            <w:pPr>
              <w:pStyle w:val="Compact"/>
            </w:pPr>
            <w:r>
              <w:t xml:space="preserve">151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9.75</w:t>
            </w:r>
          </w:p>
        </w:tc>
        <w:tc>
          <w:tcPr/>
          <w:p>
            <w:pPr>
              <w:pStyle w:val="Compact"/>
            </w:pPr>
            <w:r>
              <w:t xml:space="preserve">high</w:t>
            </w:r>
          </w:p>
        </w:tc>
        <w:tc>
          <w:tcPr/>
          <w:p>
            <w:pPr>
              <w:pStyle w:val="Compact"/>
            </w:pPr>
            <w:r>
              <w:t xml:space="preserve">very high</w:t>
            </w:r>
          </w:p>
        </w:tc>
      </w:tr>
      <w:tr>
        <w:tc>
          <w:tcPr/>
          <w:p>
            <w:pPr>
              <w:pStyle w:val="Compact"/>
            </w:pPr>
            <w:r>
              <w:t xml:space="preserve">247</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4.75</w:t>
            </w:r>
          </w:p>
        </w:tc>
        <w:tc>
          <w:tcPr/>
          <w:p>
            <w:pPr>
              <w:pStyle w:val="Compact"/>
            </w:pPr>
            <w:r>
              <w:t xml:space="preserve">medium</w:t>
            </w:r>
          </w:p>
        </w:tc>
        <w:tc>
          <w:tcPr/>
          <w:p>
            <w:pPr>
              <w:pStyle w:val="Compact"/>
            </w:pPr>
            <w:r>
              <w:t xml:space="preserve">very high</w:t>
            </w:r>
          </w:p>
        </w:tc>
      </w:tr>
      <w:tr>
        <w:tc>
          <w:tcPr/>
          <w:p>
            <w:pPr>
              <w:pStyle w:val="Compact"/>
            </w:pPr>
            <w:r>
              <w:t xml:space="preserve">131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2.88</w:t>
            </w:r>
          </w:p>
        </w:tc>
        <w:tc>
          <w:tcPr/>
          <w:p>
            <w:pPr>
              <w:pStyle w:val="Compact"/>
            </w:pPr>
            <w:r>
              <w:t xml:space="preserve">very high</w:t>
            </w:r>
          </w:p>
        </w:tc>
        <w:tc>
          <w:tcPr/>
          <w:p>
            <w:pPr>
              <w:pStyle w:val="Compact"/>
            </w:pPr>
            <w:r>
              <w:t xml:space="preserve">very high</w:t>
            </w:r>
          </w:p>
        </w:tc>
      </w:tr>
      <w:tr>
        <w:tc>
          <w:tcPr/>
          <w:p>
            <w:pPr>
              <w:pStyle w:val="Compact"/>
            </w:pPr>
            <w:r>
              <w:t xml:space="preserve">145</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1.86</w:t>
            </w:r>
          </w:p>
        </w:tc>
        <w:tc>
          <w:tcPr/>
          <w:p>
            <w:pPr>
              <w:pStyle w:val="Compact"/>
            </w:pPr>
            <w:r>
              <w:t xml:space="preserve">high</w:t>
            </w:r>
          </w:p>
        </w:tc>
        <w:tc>
          <w:tcPr/>
          <w:p>
            <w:pPr>
              <w:pStyle w:val="Compact"/>
            </w:pPr>
            <w:r>
              <w:t xml:space="preserve">very high</w:t>
            </w:r>
          </w:p>
        </w:tc>
      </w:tr>
      <w:tr>
        <w:tc>
          <w:tcPr/>
          <w:p>
            <w:pPr>
              <w:pStyle w:val="Compact"/>
            </w:pPr>
            <w:r>
              <w:t xml:space="preserve">149</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1.83</w:t>
            </w:r>
          </w:p>
        </w:tc>
        <w:tc>
          <w:tcPr/>
          <w:p>
            <w:pPr>
              <w:pStyle w:val="Compact"/>
            </w:pPr>
            <w:r>
              <w:t xml:space="preserve">medium</w:t>
            </w:r>
          </w:p>
        </w:tc>
        <w:tc>
          <w:tcPr/>
          <w:p>
            <w:pPr>
              <w:pStyle w:val="Compact"/>
            </w:pPr>
            <w:r>
              <w:t xml:space="preserve">very high</w:t>
            </w:r>
          </w:p>
        </w:tc>
      </w:tr>
      <w:tr>
        <w:tc>
          <w:tcPr/>
          <w:p>
            <w:pPr>
              <w:pStyle w:val="Compact"/>
            </w:pPr>
            <w:r>
              <w:t xml:space="preserve">153</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2.98</w:t>
            </w:r>
          </w:p>
        </w:tc>
        <w:tc>
          <w:tcPr/>
          <w:p>
            <w:pPr>
              <w:pStyle w:val="Compact"/>
            </w:pPr>
            <w:r>
              <w:t xml:space="preserve">high</w:t>
            </w:r>
          </w:p>
        </w:tc>
        <w:tc>
          <w:tcPr/>
          <w:p>
            <w:pPr>
              <w:pStyle w:val="Compact"/>
            </w:pPr>
            <w:r>
              <w:t xml:space="preserve">very high</w:t>
            </w:r>
          </w:p>
        </w:tc>
      </w:tr>
      <w:tr>
        <w:tc>
          <w:tcPr/>
          <w:p>
            <w:pPr>
              <w:pStyle w:val="Compact"/>
            </w:pPr>
            <w:r>
              <w:t xml:space="preserve">253</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3.68</w:t>
            </w:r>
          </w:p>
        </w:tc>
        <w:tc>
          <w:tcPr/>
          <w:p>
            <w:pPr>
              <w:pStyle w:val="Compact"/>
            </w:pPr>
            <w:r>
              <w:t xml:space="preserve">medium</w:t>
            </w:r>
          </w:p>
        </w:tc>
        <w:tc>
          <w:tcPr/>
          <w:p>
            <w:pPr>
              <w:pStyle w:val="Compact"/>
            </w:pPr>
            <w:r>
              <w:t xml:space="preserve">very high</w:t>
            </w:r>
          </w:p>
        </w:tc>
      </w:tr>
      <w:tr>
        <w:tc>
          <w:tcPr/>
          <w:p>
            <w:pPr>
              <w:pStyle w:val="Compact"/>
            </w:pPr>
            <w:r>
              <w:t xml:space="preserve">255</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2.73</w:t>
            </w:r>
          </w:p>
        </w:tc>
        <w:tc>
          <w:tcPr/>
          <w:p>
            <w:pPr>
              <w:pStyle w:val="Compact"/>
            </w:pPr>
            <w:r>
              <w:t xml:space="preserve">medium</w:t>
            </w:r>
          </w:p>
        </w:tc>
        <w:tc>
          <w:tcPr/>
          <w:p>
            <w:pPr>
              <w:pStyle w:val="Compact"/>
            </w:pPr>
            <w:r>
              <w:t xml:space="preserve">very high</w:t>
            </w:r>
          </w:p>
        </w:tc>
      </w:tr>
      <w:tr>
        <w:tc>
          <w:tcPr/>
          <w:p>
            <w:pPr>
              <w:pStyle w:val="Compact"/>
            </w:pPr>
            <w:r>
              <w:t xml:space="preserve">125</w:t>
            </w:r>
          </w:p>
        </w:tc>
        <w:tc>
          <w:tcPr/>
          <w:p>
            <w:pPr>
              <w:pStyle w:val="Compact"/>
            </w:pPr>
            <w:r>
              <w:t xml:space="preserve">0.998</w:t>
            </w:r>
          </w:p>
        </w:tc>
        <w:tc>
          <w:tcPr/>
          <w:p>
            <w:pPr>
              <w:pStyle w:val="Compact"/>
            </w:pPr>
            <w:r>
              <w:t xml:space="preserve">1.0</w:t>
            </w:r>
          </w:p>
        </w:tc>
        <w:tc>
          <w:tcPr/>
          <w:p>
            <w:pPr>
              <w:pStyle w:val="Compact"/>
            </w:pPr>
            <w:r>
              <w:t xml:space="preserve">1.0</w:t>
            </w:r>
          </w:p>
        </w:tc>
        <w:tc>
          <w:tcPr/>
          <w:p>
            <w:pPr>
              <w:pStyle w:val="Compact"/>
            </w:pPr>
            <w:r>
              <w:t xml:space="preserve">3.08</w:t>
            </w:r>
          </w:p>
        </w:tc>
        <w:tc>
          <w:tcPr/>
          <w:p>
            <w:pPr>
              <w:pStyle w:val="Compact"/>
            </w:pPr>
            <w:r>
              <w:t xml:space="preserve">high</w:t>
            </w:r>
          </w:p>
        </w:tc>
        <w:tc>
          <w:tcPr/>
          <w:p>
            <w:pPr>
              <w:pStyle w:val="Compact"/>
            </w:pPr>
            <w:r>
              <w:t xml:space="preserve">very high</w:t>
            </w:r>
          </w:p>
        </w:tc>
      </w:tr>
      <w:tr>
        <w:tc>
          <w:tcPr/>
          <w:p>
            <w:pPr>
              <w:pStyle w:val="Compact"/>
            </w:pPr>
            <w:r>
              <w:t xml:space="preserve">127</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1.19</w:t>
            </w:r>
          </w:p>
        </w:tc>
        <w:tc>
          <w:tcPr/>
          <w:p>
            <w:pPr>
              <w:pStyle w:val="Compact"/>
            </w:pPr>
            <w:r>
              <w:t xml:space="preserve">medium</w:t>
            </w:r>
          </w:p>
        </w:tc>
        <w:tc>
          <w:tcPr/>
          <w:p>
            <w:pPr>
              <w:pStyle w:val="Compact"/>
            </w:pPr>
            <w:r>
              <w:t xml:space="preserve">medium</w:t>
            </w:r>
          </w:p>
        </w:tc>
      </w:tr>
      <w:tr>
        <w:tc>
          <w:tcPr/>
          <w:p>
            <w:pPr>
              <w:pStyle w:val="Compact"/>
            </w:pPr>
            <w:r>
              <w:t xml:space="preserve">139</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0.4</w:t>
            </w:r>
          </w:p>
        </w:tc>
        <w:tc>
          <w:tcPr/>
          <w:p>
            <w:pPr>
              <w:pStyle w:val="Compact"/>
            </w:pPr>
            <w:r>
              <w:t xml:space="preserve">medium</w:t>
            </w:r>
          </w:p>
        </w:tc>
        <w:tc>
          <w:tcPr/>
          <w:p>
            <w:pPr>
              <w:pStyle w:val="Compact"/>
            </w:pPr>
            <w:r>
              <w:t xml:space="preserve">medium</w:t>
            </w:r>
          </w:p>
        </w:tc>
      </w:tr>
      <w:tr>
        <w:tc>
          <w:tcPr/>
          <w:p>
            <w:pPr>
              <w:pStyle w:val="Compact"/>
            </w:pPr>
            <w:r>
              <w:t xml:space="preserve">141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0.66</w:t>
            </w:r>
          </w:p>
        </w:tc>
        <w:tc>
          <w:tcPr/>
          <w:p>
            <w:pPr>
              <w:pStyle w:val="Compact"/>
            </w:pPr>
            <w:r>
              <w:t xml:space="preserve">medium</w:t>
            </w:r>
          </w:p>
        </w:tc>
        <w:tc>
          <w:tcPr/>
          <w:p>
            <w:pPr>
              <w:pStyle w:val="Compact"/>
            </w:pPr>
            <w:r>
              <w:t xml:space="preserve">medium</w:t>
            </w:r>
          </w:p>
        </w:tc>
      </w:tr>
      <w:tr>
        <w:tc>
          <w:tcPr/>
          <w:p>
            <w:pPr>
              <w:pStyle w:val="Compact"/>
            </w:pPr>
            <w:r>
              <w:t xml:space="preserve">143</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0.42</w:t>
            </w:r>
          </w:p>
        </w:tc>
        <w:tc>
          <w:tcPr/>
          <w:p>
            <w:pPr>
              <w:pStyle w:val="Compact"/>
            </w:pPr>
            <w:r>
              <w:t xml:space="preserve">medium</w:t>
            </w:r>
          </w:p>
        </w:tc>
        <w:tc>
          <w:tcPr/>
          <w:p>
            <w:pPr>
              <w:pStyle w:val="Compact"/>
            </w:pPr>
            <w:r>
              <w:t xml:space="preserve">medium</w:t>
            </w:r>
          </w:p>
        </w:tc>
      </w:tr>
      <w:tr>
        <w:tc>
          <w:tcPr/>
          <w:p>
            <w:pPr>
              <w:pStyle w:val="Compact"/>
            </w:pPr>
            <w:r>
              <w:t xml:space="preserve">147</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0.58</w:t>
            </w:r>
          </w:p>
        </w:tc>
        <w:tc>
          <w:tcPr/>
          <w:p>
            <w:pPr>
              <w:pStyle w:val="Compact"/>
            </w:pPr>
            <w:r>
              <w:t xml:space="preserve">low</w:t>
            </w:r>
          </w:p>
        </w:tc>
        <w:tc>
          <w:tcPr/>
          <w:p>
            <w:pPr>
              <w:pStyle w:val="Compact"/>
            </w:pPr>
            <w:r>
              <w:t xml:space="preserve">medium</w:t>
            </w:r>
          </w:p>
        </w:tc>
      </w:tr>
      <w:tr>
        <w:tc>
          <w:tcPr/>
          <w:p>
            <w:pPr>
              <w:pStyle w:val="Compact"/>
            </w:pPr>
            <w:r>
              <w:t xml:space="preserve">243</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0.29</w:t>
            </w:r>
          </w:p>
        </w:tc>
        <w:tc>
          <w:tcPr/>
          <w:p>
            <w:pPr>
              <w:pStyle w:val="Compact"/>
            </w:pPr>
            <w:r>
              <w:t xml:space="preserve">medium</w:t>
            </w:r>
          </w:p>
        </w:tc>
        <w:tc>
          <w:tcPr/>
          <w:p>
            <w:pPr>
              <w:pStyle w:val="Compact"/>
            </w:pPr>
            <w:r>
              <w:t xml:space="preserve">medium</w:t>
            </w:r>
          </w:p>
        </w:tc>
      </w:tr>
      <w:tr>
        <w:tc>
          <w:tcPr/>
          <w:p>
            <w:pPr>
              <w:pStyle w:val="Compact"/>
            </w:pPr>
            <w:r>
              <w:t xml:space="preserve">251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1.63</w:t>
            </w:r>
          </w:p>
        </w:tc>
        <w:tc>
          <w:tcPr/>
          <w:p>
            <w:pPr>
              <w:pStyle w:val="Compact"/>
            </w:pPr>
            <w:r>
              <w:t xml:space="preserve">low</w:t>
            </w:r>
          </w:p>
        </w:tc>
        <w:tc>
          <w:tcPr/>
          <w:p>
            <w:pPr>
              <w:pStyle w:val="Compact"/>
            </w:pPr>
            <w:r>
              <w:t xml:space="preserve">medium</w:t>
            </w:r>
          </w:p>
        </w:tc>
      </w:tr>
      <w:tr>
        <w:tc>
          <w:tcPr/>
          <w:p>
            <w:pPr>
              <w:pStyle w:val="Compact"/>
            </w:pPr>
            <w:r>
              <w:t xml:space="preserve">35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108.39</w:t>
            </w:r>
          </w:p>
        </w:tc>
        <w:tc>
          <w:tcPr/>
          <w:p>
            <w:pPr>
              <w:pStyle w:val="Compact"/>
            </w:pPr>
            <w:r>
              <w:t xml:space="preserve">low</w:t>
            </w:r>
          </w:p>
        </w:tc>
        <w:tc>
          <w:tcPr/>
          <w:p>
            <w:pPr>
              <w:pStyle w:val="Compact"/>
            </w:pPr>
            <w:r>
              <w:t xml:space="preserve">low</w:t>
            </w:r>
          </w:p>
        </w:tc>
      </w:tr>
      <w:tr>
        <w:tc>
          <w:tcPr/>
          <w:p>
            <w:pPr>
              <w:pStyle w:val="Compact"/>
            </w:pPr>
            <w:r>
              <w:t xml:space="preserve">101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12.82</w:t>
            </w:r>
          </w:p>
        </w:tc>
        <w:tc>
          <w:tcPr/>
          <w:p>
            <w:pPr>
              <w:pStyle w:val="Compact"/>
            </w:pPr>
            <w:r>
              <w:t xml:space="preserve">low</w:t>
            </w:r>
          </w:p>
        </w:tc>
        <w:tc>
          <w:tcPr/>
          <w:p>
            <w:pPr>
              <w:pStyle w:val="Compact"/>
            </w:pPr>
            <w:r>
              <w:t xml:space="preserve">low</w:t>
            </w:r>
          </w:p>
        </w:tc>
      </w:tr>
      <w:tr>
        <w:tc>
          <w:tcPr/>
          <w:p>
            <w:pPr>
              <w:pStyle w:val="Compact"/>
            </w:pPr>
            <w:r>
              <w:t xml:space="preserve">103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8.99</w:t>
            </w:r>
          </w:p>
        </w:tc>
        <w:tc>
          <w:tcPr/>
          <w:p>
            <w:pPr>
              <w:pStyle w:val="Compact"/>
            </w:pPr>
            <w:r>
              <w:t xml:space="preserve">low</w:t>
            </w:r>
          </w:p>
        </w:tc>
        <w:tc>
          <w:tcPr/>
          <w:p>
            <w:pPr>
              <w:pStyle w:val="Compact"/>
            </w:pPr>
            <w:r>
              <w:t xml:space="preserve">low</w:t>
            </w:r>
          </w:p>
        </w:tc>
      </w:tr>
      <w:tr>
        <w:tc>
          <w:tcPr/>
          <w:p>
            <w:pPr>
              <w:pStyle w:val="Compact"/>
            </w:pPr>
            <w:r>
              <w:t xml:space="preserve">105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9.13</w:t>
            </w:r>
          </w:p>
        </w:tc>
        <w:tc>
          <w:tcPr/>
          <w:p>
            <w:pPr>
              <w:pStyle w:val="Compact"/>
            </w:pPr>
            <w:r>
              <w:t xml:space="preserve">low</w:t>
            </w:r>
          </w:p>
        </w:tc>
        <w:tc>
          <w:tcPr/>
          <w:p>
            <w:pPr>
              <w:pStyle w:val="Compact"/>
            </w:pPr>
            <w:r>
              <w:t xml:space="preserve">low</w:t>
            </w:r>
          </w:p>
        </w:tc>
      </w:tr>
      <w:tr>
        <w:tc>
          <w:tcPr/>
          <w:p>
            <w:pPr>
              <w:pStyle w:val="Compact"/>
            </w:pPr>
            <w:r>
              <w:t xml:space="preserve">109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15.61</w:t>
            </w:r>
          </w:p>
        </w:tc>
        <w:tc>
          <w:tcPr/>
          <w:p>
            <w:pPr>
              <w:pStyle w:val="Compact"/>
            </w:pPr>
            <w:r>
              <w:t xml:space="preserve">low</w:t>
            </w:r>
          </w:p>
        </w:tc>
        <w:tc>
          <w:tcPr/>
          <w:p>
            <w:pPr>
              <w:pStyle w:val="Compact"/>
            </w:pPr>
            <w:r>
              <w:t xml:space="preserve">low</w:t>
            </w:r>
          </w:p>
        </w:tc>
      </w:tr>
      <w:tr>
        <w:tc>
          <w:tcPr/>
          <w:p>
            <w:pPr>
              <w:pStyle w:val="Compact"/>
            </w:pPr>
            <w:r>
              <w:t xml:space="preserve">111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9.58</w:t>
            </w:r>
          </w:p>
        </w:tc>
        <w:tc>
          <w:tcPr/>
          <w:p>
            <w:pPr>
              <w:pStyle w:val="Compact"/>
            </w:pPr>
            <w:r>
              <w:t xml:space="preserve">low</w:t>
            </w:r>
          </w:p>
        </w:tc>
        <w:tc>
          <w:tcPr/>
          <w:p>
            <w:pPr>
              <w:pStyle w:val="Compact"/>
            </w:pPr>
            <w:r>
              <w:t xml:space="preserve">low</w:t>
            </w:r>
          </w:p>
        </w:tc>
      </w:tr>
      <w:tr>
        <w:tc>
          <w:tcPr/>
          <w:p>
            <w:pPr>
              <w:pStyle w:val="Compact"/>
            </w:pPr>
            <w:r>
              <w:t xml:space="preserve">117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7.94</w:t>
            </w:r>
          </w:p>
        </w:tc>
        <w:tc>
          <w:tcPr/>
          <w:p>
            <w:pPr>
              <w:pStyle w:val="Compact"/>
            </w:pPr>
            <w:r>
              <w:t xml:space="preserve">low</w:t>
            </w:r>
          </w:p>
        </w:tc>
        <w:tc>
          <w:tcPr/>
          <w:p>
            <w:pPr>
              <w:pStyle w:val="Compact"/>
            </w:pPr>
            <w:r>
              <w:t xml:space="preserve">low</w:t>
            </w:r>
          </w:p>
        </w:tc>
      </w:tr>
      <w:tr>
        <w:tc>
          <w:tcPr/>
          <w:p>
            <w:pPr>
              <w:pStyle w:val="Compact"/>
            </w:pPr>
            <w:r>
              <w:t xml:space="preserve">119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11.89</w:t>
            </w:r>
          </w:p>
        </w:tc>
        <w:tc>
          <w:tcPr/>
          <w:p>
            <w:pPr>
              <w:pStyle w:val="Compact"/>
            </w:pPr>
            <w:r>
              <w:t xml:space="preserve">low</w:t>
            </w:r>
          </w:p>
        </w:tc>
        <w:tc>
          <w:tcPr/>
          <w:p>
            <w:pPr>
              <w:pStyle w:val="Compact"/>
            </w:pPr>
            <w:r>
              <w:t xml:space="preserve">low</w:t>
            </w:r>
          </w:p>
        </w:tc>
      </w:tr>
      <w:tr>
        <w:tc>
          <w:tcPr/>
          <w:p>
            <w:pPr>
              <w:pStyle w:val="Compact"/>
            </w:pPr>
            <w:r>
              <w:t xml:space="preserve">123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75.32</w:t>
            </w:r>
          </w:p>
        </w:tc>
        <w:tc>
          <w:tcPr/>
          <w:p>
            <w:pPr>
              <w:pStyle w:val="Compact"/>
            </w:pPr>
            <w:r>
              <w:t xml:space="preserve">low</w:t>
            </w:r>
          </w:p>
        </w:tc>
        <w:tc>
          <w:tcPr/>
          <w:p>
            <w:pPr>
              <w:pStyle w:val="Compact"/>
            </w:pPr>
            <w:r>
              <w:t xml:space="preserve">low</w:t>
            </w:r>
          </w:p>
        </w:tc>
      </w:tr>
      <w:tr>
        <w:tc>
          <w:tcPr/>
          <w:p>
            <w:pPr>
              <w:pStyle w:val="Compact"/>
            </w:pPr>
            <w:r>
              <w:t xml:space="preserve">189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7.28</w:t>
            </w:r>
          </w:p>
        </w:tc>
        <w:tc>
          <w:tcPr/>
          <w:p>
            <w:pPr>
              <w:pStyle w:val="Compact"/>
            </w:pPr>
            <w:r>
              <w:t xml:space="preserve">low</w:t>
            </w:r>
          </w:p>
        </w:tc>
        <w:tc>
          <w:tcPr/>
          <w:p>
            <w:pPr>
              <w:pStyle w:val="Compact"/>
            </w:pPr>
            <w:r>
              <w:t xml:space="preserve">low</w:t>
            </w:r>
          </w:p>
        </w:tc>
      </w:tr>
      <w:tr>
        <w:tc>
          <w:tcPr/>
          <w:p>
            <w:pPr>
              <w:pStyle w:val="Compact"/>
            </w:pPr>
            <w:r>
              <w:t xml:space="preserve">191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5.53</w:t>
            </w:r>
          </w:p>
        </w:tc>
        <w:tc>
          <w:tcPr/>
          <w:p>
            <w:pPr>
              <w:pStyle w:val="Compact"/>
            </w:pPr>
            <w:r>
              <w:t xml:space="preserve">low</w:t>
            </w:r>
          </w:p>
        </w:tc>
        <w:tc>
          <w:tcPr/>
          <w:p>
            <w:pPr>
              <w:pStyle w:val="Compact"/>
            </w:pPr>
            <w:r>
              <w:t xml:space="preserve">low</w:t>
            </w:r>
          </w:p>
        </w:tc>
      </w:tr>
      <w:tr>
        <w:tc>
          <w:tcPr/>
          <w:p>
            <w:pPr>
              <w:pStyle w:val="Compact"/>
            </w:pPr>
            <w:r>
              <w:t xml:space="preserve">193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4.81</w:t>
            </w:r>
          </w:p>
        </w:tc>
        <w:tc>
          <w:tcPr/>
          <w:p>
            <w:pPr>
              <w:pStyle w:val="Compact"/>
            </w:pPr>
            <w:r>
              <w:t xml:space="preserve">low</w:t>
            </w:r>
          </w:p>
        </w:tc>
        <w:tc>
          <w:tcPr/>
          <w:p>
            <w:pPr>
              <w:pStyle w:val="Compact"/>
            </w:pPr>
            <w:r>
              <w:t xml:space="preserve">low</w:t>
            </w:r>
          </w:p>
        </w:tc>
      </w:tr>
      <w:tr>
        <w:tc>
          <w:tcPr/>
          <w:p>
            <w:pPr>
              <w:pStyle w:val="Compact"/>
            </w:pPr>
            <w:r>
              <w:t xml:space="preserve">199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8.05</w:t>
            </w:r>
          </w:p>
        </w:tc>
        <w:tc>
          <w:tcPr/>
          <w:p>
            <w:pPr>
              <w:pStyle w:val="Compact"/>
            </w:pPr>
            <w:r>
              <w:t xml:space="preserve">low</w:t>
            </w:r>
          </w:p>
        </w:tc>
        <w:tc>
          <w:tcPr/>
          <w:p>
            <w:pPr>
              <w:pStyle w:val="Compact"/>
            </w:pPr>
            <w:r>
              <w:t xml:space="preserve">low</w:t>
            </w:r>
          </w:p>
        </w:tc>
      </w:tr>
      <w:tr>
        <w:tc>
          <w:tcPr/>
          <w:p>
            <w:pPr>
              <w:pStyle w:val="Compact"/>
            </w:pPr>
            <w:r>
              <w:t xml:space="preserve">203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284.63</w:t>
            </w:r>
          </w:p>
        </w:tc>
        <w:tc>
          <w:tcPr/>
          <w:p>
            <w:pPr>
              <w:pStyle w:val="Compact"/>
            </w:pPr>
            <w:r>
              <w:t xml:space="preserve">low</w:t>
            </w:r>
          </w:p>
        </w:tc>
        <w:tc>
          <w:tcPr/>
          <w:p>
            <w:pPr>
              <w:pStyle w:val="Compact"/>
            </w:pPr>
            <w:r>
              <w:t xml:space="preserve">low</w:t>
            </w:r>
          </w:p>
        </w:tc>
      </w:tr>
      <w:tr>
        <w:tc>
          <w:tcPr/>
          <w:p>
            <w:pPr>
              <w:pStyle w:val="Compact"/>
            </w:pPr>
            <w:r>
              <w:t xml:space="preserve">205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4.41</w:t>
            </w:r>
          </w:p>
        </w:tc>
        <w:tc>
          <w:tcPr/>
          <w:p>
            <w:pPr>
              <w:pStyle w:val="Compact"/>
            </w:pPr>
            <w:r>
              <w:t xml:space="preserve">low</w:t>
            </w:r>
          </w:p>
        </w:tc>
        <w:tc>
          <w:tcPr/>
          <w:p>
            <w:pPr>
              <w:pStyle w:val="Compact"/>
            </w:pPr>
            <w:r>
              <w:t xml:space="preserve">low</w:t>
            </w:r>
          </w:p>
        </w:tc>
      </w:tr>
      <w:tr>
        <w:tc>
          <w:tcPr/>
          <w:p>
            <w:pPr>
              <w:pStyle w:val="Compact"/>
            </w:pPr>
            <w:r>
              <w:t xml:space="preserve">207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4.68</w:t>
            </w:r>
          </w:p>
        </w:tc>
        <w:tc>
          <w:tcPr/>
          <w:p>
            <w:pPr>
              <w:pStyle w:val="Compact"/>
            </w:pPr>
            <w:r>
              <w:t xml:space="preserve">low</w:t>
            </w:r>
          </w:p>
        </w:tc>
        <w:tc>
          <w:tcPr/>
          <w:p>
            <w:pPr>
              <w:pStyle w:val="Compact"/>
            </w:pPr>
            <w:r>
              <w:t xml:space="preserve">low</w:t>
            </w:r>
          </w:p>
        </w:tc>
      </w:tr>
      <w:tr>
        <w:tc>
          <w:tcPr/>
          <w:p>
            <w:pPr>
              <w:pStyle w:val="Compact"/>
            </w:pPr>
            <w:r>
              <w:t xml:space="preserve">215</w:t>
            </w:r>
          </w:p>
        </w:tc>
        <w:tc>
          <w:tcPr/>
          <w:p>
            <w:pPr>
              <w:pStyle w:val="Compact"/>
            </w:pPr>
            <w:r>
              <w:t xml:space="preserve">0.0</w:t>
            </w:r>
          </w:p>
        </w:tc>
        <w:tc>
          <w:tcPr/>
          <w:p>
            <w:pPr>
              <w:pStyle w:val="Compact"/>
            </w:pPr>
            <w:r>
              <w:t xml:space="preserve">0.023</w:t>
            </w:r>
          </w:p>
        </w:tc>
        <w:tc>
          <w:tcPr/>
          <w:p>
            <w:pPr>
              <w:pStyle w:val="Compact"/>
            </w:pPr>
            <w:r>
              <w:t xml:space="preserve">0.114</w:t>
            </w:r>
          </w:p>
        </w:tc>
        <w:tc>
          <w:tcPr/>
          <w:p>
            <w:pPr>
              <w:pStyle w:val="Compact"/>
            </w:pPr>
            <w:r>
              <w:t xml:space="preserve">6.22</w:t>
            </w:r>
          </w:p>
        </w:tc>
        <w:tc>
          <w:tcPr/>
          <w:p>
            <w:pPr>
              <w:pStyle w:val="Compact"/>
            </w:pPr>
            <w:r>
              <w:t xml:space="preserve">low</w:t>
            </w:r>
          </w:p>
        </w:tc>
        <w:tc>
          <w:tcPr/>
          <w:p>
            <w:pPr>
              <w:pStyle w:val="Compact"/>
            </w:pPr>
            <w:r>
              <w:t xml:space="preserve">low</w:t>
            </w:r>
          </w:p>
        </w:tc>
      </w:tr>
      <w:tr>
        <w:tc>
          <w:tcPr/>
          <w:p>
            <w:pPr>
              <w:pStyle w:val="Compact"/>
            </w:pPr>
            <w:r>
              <w:t xml:space="preserve">219</w:t>
            </w:r>
          </w:p>
        </w:tc>
        <w:tc>
          <w:tcPr/>
          <w:p>
            <w:pPr>
              <w:pStyle w:val="Compact"/>
            </w:pPr>
            <w:r>
              <w:t xml:space="preserve">0.011</w:t>
            </w:r>
          </w:p>
        </w:tc>
        <w:tc>
          <w:tcPr/>
          <w:p>
            <w:pPr>
              <w:pStyle w:val="Compact"/>
            </w:pPr>
            <w:r>
              <w:t xml:space="preserve">1.0</w:t>
            </w:r>
          </w:p>
        </w:tc>
        <w:tc>
          <w:tcPr/>
          <w:p>
            <w:pPr>
              <w:pStyle w:val="Compact"/>
            </w:pPr>
            <w:r>
              <w:t xml:space="preserve">1.0</w:t>
            </w:r>
          </w:p>
        </w:tc>
        <w:tc>
          <w:tcPr/>
          <w:p>
            <w:pPr>
              <w:pStyle w:val="Compact"/>
            </w:pPr>
            <w:r>
              <w:t xml:space="preserve">2.79</w:t>
            </w:r>
          </w:p>
        </w:tc>
        <w:tc>
          <w:tcPr/>
          <w:p>
            <w:pPr>
              <w:pStyle w:val="Compact"/>
            </w:pPr>
            <w:r>
              <w:t xml:space="preserve">low</w:t>
            </w:r>
          </w:p>
        </w:tc>
        <w:tc>
          <w:tcPr/>
          <w:p>
            <w:pPr>
              <w:pStyle w:val="Compact"/>
            </w:pPr>
            <w:r>
              <w:t xml:space="preserve">low</w:t>
            </w:r>
          </w:p>
        </w:tc>
      </w:tr>
      <w:tr>
        <w:tc>
          <w:tcPr/>
          <w:p>
            <w:pPr>
              <w:pStyle w:val="Compact"/>
            </w:pPr>
            <w:r>
              <w:t xml:space="preserve">107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3.69</w:t>
            </w:r>
          </w:p>
        </w:tc>
        <w:tc>
          <w:tcPr/>
          <w:p>
            <w:pPr>
              <w:pStyle w:val="Compact"/>
            </w:pPr>
            <w:r>
              <w:t xml:space="preserve">low</w:t>
            </w:r>
          </w:p>
        </w:tc>
        <w:tc>
          <w:tcPr/>
          <w:p>
            <w:pPr>
              <w:pStyle w:val="Compact"/>
            </w:pPr>
            <w:r>
              <w:t xml:space="preserve">low</w:t>
            </w:r>
          </w:p>
        </w:tc>
      </w:tr>
      <w:tr>
        <w:tc>
          <w:tcPr/>
          <w:p>
            <w:pPr>
              <w:pStyle w:val="Compact"/>
            </w:pPr>
            <w:r>
              <w:t xml:space="preserve">115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3.52</w:t>
            </w:r>
          </w:p>
        </w:tc>
        <w:tc>
          <w:tcPr/>
          <w:p>
            <w:pPr>
              <w:pStyle w:val="Compact"/>
            </w:pPr>
            <w:r>
              <w:t xml:space="preserve">low</w:t>
            </w:r>
          </w:p>
        </w:tc>
        <w:tc>
          <w:tcPr/>
          <w:p>
            <w:pPr>
              <w:pStyle w:val="Compact"/>
            </w:pPr>
            <w:r>
              <w:t xml:space="preserve">low</w:t>
            </w:r>
          </w:p>
        </w:tc>
      </w:tr>
      <w:tr>
        <w:tc>
          <w:tcPr/>
          <w:p>
            <w:pPr>
              <w:pStyle w:val="Compact"/>
            </w:pPr>
            <w:r>
              <w:t xml:space="preserve">121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2.81</w:t>
            </w:r>
          </w:p>
        </w:tc>
        <w:tc>
          <w:tcPr/>
          <w:p>
            <w:pPr>
              <w:pStyle w:val="Compact"/>
            </w:pPr>
            <w:r>
              <w:t xml:space="preserve">low</w:t>
            </w:r>
          </w:p>
        </w:tc>
        <w:tc>
          <w:tcPr/>
          <w:p>
            <w:pPr>
              <w:pStyle w:val="Compact"/>
            </w:pPr>
            <w:r>
              <w:t xml:space="preserve">low</w:t>
            </w:r>
          </w:p>
        </w:tc>
      </w:tr>
      <w:tr>
        <w:tc>
          <w:tcPr/>
          <w:p>
            <w:pPr>
              <w:pStyle w:val="Compact"/>
            </w:pPr>
            <w:r>
              <w:t xml:space="preserve">157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3.49</w:t>
            </w:r>
          </w:p>
        </w:tc>
        <w:tc>
          <w:tcPr/>
          <w:p>
            <w:pPr>
              <w:pStyle w:val="Compact"/>
            </w:pPr>
            <w:r>
              <w:t xml:space="preserve">low</w:t>
            </w:r>
          </w:p>
        </w:tc>
        <w:tc>
          <w:tcPr/>
          <w:p>
            <w:pPr>
              <w:pStyle w:val="Compact"/>
            </w:pPr>
            <w:r>
              <w:t xml:space="preserve">low</w:t>
            </w:r>
          </w:p>
        </w:tc>
      </w:tr>
      <w:tr>
        <w:tc>
          <w:tcPr/>
          <w:p>
            <w:pPr>
              <w:pStyle w:val="Compact"/>
            </w:pPr>
            <w:r>
              <w:t xml:space="preserve">159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2.79</w:t>
            </w:r>
          </w:p>
        </w:tc>
        <w:tc>
          <w:tcPr/>
          <w:p>
            <w:pPr>
              <w:pStyle w:val="Compact"/>
            </w:pPr>
            <w:r>
              <w:t xml:space="preserve">low</w:t>
            </w:r>
          </w:p>
        </w:tc>
        <w:tc>
          <w:tcPr/>
          <w:p>
            <w:pPr>
              <w:pStyle w:val="Compact"/>
            </w:pPr>
            <w:r>
              <w:t xml:space="preserve">low</w:t>
            </w:r>
          </w:p>
        </w:tc>
      </w:tr>
      <w:tr>
        <w:tc>
          <w:tcPr/>
          <w:p>
            <w:pPr>
              <w:pStyle w:val="Compact"/>
            </w:pPr>
            <w:r>
              <w:t xml:space="preserve">171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2.65</w:t>
            </w:r>
          </w:p>
        </w:tc>
        <w:tc>
          <w:tcPr/>
          <w:p>
            <w:pPr>
              <w:pStyle w:val="Compact"/>
            </w:pPr>
            <w:r>
              <w:t xml:space="preserve">low</w:t>
            </w:r>
          </w:p>
        </w:tc>
        <w:tc>
          <w:tcPr/>
          <w:p>
            <w:pPr>
              <w:pStyle w:val="Compact"/>
            </w:pPr>
            <w:r>
              <w:t xml:space="preserve">low</w:t>
            </w:r>
          </w:p>
        </w:tc>
      </w:tr>
      <w:tr>
        <w:tc>
          <w:tcPr/>
          <w:p>
            <w:pPr>
              <w:pStyle w:val="Compact"/>
            </w:pPr>
            <w:r>
              <w:t xml:space="preserve">177</w:t>
            </w:r>
          </w:p>
        </w:tc>
        <w:tc>
          <w:tcPr/>
          <w:p>
            <w:pPr>
              <w:pStyle w:val="Compact"/>
            </w:pPr>
            <w:r>
              <w:t xml:space="preserve">0.0</w:t>
            </w:r>
          </w:p>
        </w:tc>
        <w:tc>
          <w:tcPr/>
          <w:p>
            <w:pPr>
              <w:pStyle w:val="Compact"/>
            </w:pPr>
            <w:r>
              <w:t xml:space="preserve">1.0</w:t>
            </w:r>
          </w:p>
        </w:tc>
        <w:tc>
          <w:tcPr/>
          <w:p>
            <w:pPr>
              <w:pStyle w:val="Compact"/>
            </w:pPr>
            <w:r>
              <w:t xml:space="preserve">1.0</w:t>
            </w:r>
          </w:p>
        </w:tc>
        <w:tc>
          <w:tcPr/>
          <w:p>
            <w:pPr>
              <w:pStyle w:val="Compact"/>
            </w:pPr>
            <w:r>
              <w:t xml:space="preserve">3.93</w:t>
            </w:r>
          </w:p>
        </w:tc>
        <w:tc>
          <w:tcPr/>
          <w:p>
            <w:pPr>
              <w:pStyle w:val="Compact"/>
            </w:pPr>
            <w:r>
              <w:t xml:space="preserve">low</w:t>
            </w:r>
          </w:p>
        </w:tc>
        <w:tc>
          <w:tcPr/>
          <w:p>
            <w:pPr>
              <w:pStyle w:val="Compact"/>
            </w:pPr>
            <w:r>
              <w:t xml:space="preserve">low</w:t>
            </w:r>
          </w:p>
        </w:tc>
      </w:tr>
      <w:tr>
        <w:tc>
          <w:tcPr/>
          <w:p>
            <w:pPr>
              <w:pStyle w:val="Compact"/>
            </w:pPr>
            <w:r>
              <w:t xml:space="preserve">185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1.73</w:t>
            </w:r>
          </w:p>
        </w:tc>
        <w:tc>
          <w:tcPr/>
          <w:p>
            <w:pPr>
              <w:pStyle w:val="Compact"/>
            </w:pPr>
            <w:r>
              <w:t xml:space="preserve">low</w:t>
            </w:r>
          </w:p>
        </w:tc>
        <w:tc>
          <w:tcPr/>
          <w:p>
            <w:pPr>
              <w:pStyle w:val="Compact"/>
            </w:pPr>
            <w:r>
              <w:t xml:space="preserve">low</w:t>
            </w:r>
          </w:p>
        </w:tc>
      </w:tr>
      <w:tr>
        <w:tc>
          <w:tcPr/>
          <w:p>
            <w:pPr>
              <w:pStyle w:val="Compact"/>
            </w:pPr>
            <w:r>
              <w:t xml:space="preserve">201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3.01</w:t>
            </w:r>
          </w:p>
        </w:tc>
        <w:tc>
          <w:tcPr/>
          <w:p>
            <w:pPr>
              <w:pStyle w:val="Compact"/>
            </w:pPr>
            <w:r>
              <w:t xml:space="preserve">low</w:t>
            </w:r>
          </w:p>
        </w:tc>
        <w:tc>
          <w:tcPr/>
          <w:p>
            <w:pPr>
              <w:pStyle w:val="Compact"/>
            </w:pPr>
            <w:r>
              <w:t xml:space="preserve">low</w:t>
            </w:r>
          </w:p>
        </w:tc>
      </w:tr>
      <w:tr>
        <w:tc>
          <w:tcPr/>
          <w:p>
            <w:pPr>
              <w:pStyle w:val="Compact"/>
            </w:pPr>
            <w:r>
              <w:t xml:space="preserve">229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4.33</w:t>
            </w:r>
          </w:p>
        </w:tc>
        <w:tc>
          <w:tcPr/>
          <w:p>
            <w:pPr>
              <w:pStyle w:val="Compact"/>
            </w:pPr>
            <w:r>
              <w:t xml:space="preserve">low</w:t>
            </w:r>
          </w:p>
        </w:tc>
        <w:tc>
          <w:tcPr/>
          <w:p>
            <w:pPr>
              <w:pStyle w:val="Compact"/>
            </w:pPr>
            <w:r>
              <w:t xml:space="preserve">low</w:t>
            </w:r>
          </w:p>
        </w:tc>
      </w:tr>
      <w:tr>
        <w:tc>
          <w:tcPr/>
          <w:p>
            <w:pPr>
              <w:pStyle w:val="Compact"/>
            </w:pPr>
            <w:r>
              <w:t xml:space="preserve">239</w:t>
            </w:r>
          </w:p>
        </w:tc>
        <w:tc>
          <w:tcPr/>
          <w:p>
            <w:pPr>
              <w:pStyle w:val="Compact"/>
            </w:pPr>
            <w:r>
              <w:t xml:space="preserve">0.0</w:t>
            </w:r>
          </w:p>
        </w:tc>
        <w:tc>
          <w:tcPr/>
          <w:p>
            <w:pPr>
              <w:pStyle w:val="Compact"/>
            </w:pPr>
            <w:r>
              <w:t xml:space="preserve">0.832</w:t>
            </w:r>
          </w:p>
        </w:tc>
        <w:tc>
          <w:tcPr/>
          <w:p>
            <w:pPr>
              <w:pStyle w:val="Compact"/>
            </w:pPr>
            <w:r>
              <w:t xml:space="preserve">0.986</w:t>
            </w:r>
          </w:p>
        </w:tc>
        <w:tc>
          <w:tcPr/>
          <w:p>
            <w:pPr>
              <w:pStyle w:val="Compact"/>
            </w:pPr>
            <w:r>
              <w:t xml:space="preserve">3.01</w:t>
            </w:r>
          </w:p>
        </w:tc>
        <w:tc>
          <w:tcPr/>
          <w:p>
            <w:pPr>
              <w:pStyle w:val="Compact"/>
            </w:pPr>
            <w:r>
              <w:t xml:space="preserve">low</w:t>
            </w:r>
          </w:p>
        </w:tc>
        <w:tc>
          <w:tcPr/>
          <w:p>
            <w:pPr>
              <w:pStyle w:val="Compact"/>
            </w:pPr>
            <w:r>
              <w:t xml:space="preserve">low</w:t>
            </w:r>
          </w:p>
        </w:tc>
      </w:tr>
      <w:tr>
        <w:tc>
          <w:tcPr/>
          <w:p>
            <w:pPr>
              <w:pStyle w:val="Compact"/>
            </w:pPr>
            <w:r>
              <w:t xml:space="preserve">225</w:t>
            </w:r>
          </w:p>
        </w:tc>
        <w:tc>
          <w:tcPr/>
          <w:p>
            <w:pPr>
              <w:pStyle w:val="Compact"/>
            </w:pPr>
            <w:r>
              <w:t xml:space="preserve">0.03</w:t>
            </w:r>
          </w:p>
        </w:tc>
        <w:tc>
          <w:tcPr/>
          <w:p>
            <w:pPr>
              <w:pStyle w:val="Compact"/>
            </w:pPr>
            <w:r>
              <w:t xml:space="preserve">1.0</w:t>
            </w:r>
          </w:p>
        </w:tc>
        <w:tc>
          <w:tcPr/>
          <w:p>
            <w:pPr>
              <w:pStyle w:val="Compact"/>
            </w:pPr>
            <w:r>
              <w:t xml:space="preserve">1.0</w:t>
            </w:r>
          </w:p>
        </w:tc>
        <w:tc>
          <w:tcPr/>
          <w:p>
            <w:pPr>
              <w:pStyle w:val="Compact"/>
            </w:pPr>
            <w:r>
              <w:t xml:space="preserve">1.54</w:t>
            </w:r>
          </w:p>
        </w:tc>
        <w:tc>
          <w:tcPr/>
          <w:p>
            <w:pPr>
              <w:pStyle w:val="Compact"/>
            </w:pPr>
            <w:r>
              <w:t xml:space="preserve">low</w:t>
            </w:r>
          </w:p>
        </w:tc>
        <w:tc>
          <w:tcPr/>
          <w:p>
            <w:pPr>
              <w:pStyle w:val="Compact"/>
            </w:pPr>
            <w:r>
              <w:t xml:space="preserve">low</w:t>
            </w:r>
          </w:p>
        </w:tc>
      </w:tr>
      <w:tr>
        <w:tc>
          <w:tcPr/>
          <w:p>
            <w:pPr>
              <w:pStyle w:val="Compact"/>
            </w:pPr>
            <w:r>
              <w:t xml:space="preserve">231</w:t>
            </w:r>
          </w:p>
        </w:tc>
        <w:tc>
          <w:tcPr/>
          <w:p>
            <w:pPr>
              <w:pStyle w:val="Compact"/>
            </w:pPr>
            <w:r>
              <w:t xml:space="preserve">0.001</w:t>
            </w:r>
          </w:p>
        </w:tc>
        <w:tc>
          <w:tcPr/>
          <w:p>
            <w:pPr>
              <w:pStyle w:val="Compact"/>
            </w:pPr>
            <w:r>
              <w:t xml:space="preserve">1.0</w:t>
            </w:r>
          </w:p>
        </w:tc>
        <w:tc>
          <w:tcPr/>
          <w:p>
            <w:pPr>
              <w:pStyle w:val="Compact"/>
            </w:pPr>
            <w:r>
              <w:t xml:space="preserve">1.0</w:t>
            </w:r>
          </w:p>
        </w:tc>
        <w:tc>
          <w:tcPr/>
          <w:p>
            <w:pPr>
              <w:pStyle w:val="Compact"/>
            </w:pPr>
            <w:r>
              <w:t xml:space="preserve">1.11</w:t>
            </w:r>
          </w:p>
        </w:tc>
        <w:tc>
          <w:tcPr/>
          <w:p>
            <w:pPr>
              <w:pStyle w:val="Compact"/>
            </w:pPr>
            <w:r>
              <w:t xml:space="preserve">low</w:t>
            </w:r>
          </w:p>
        </w:tc>
        <w:tc>
          <w:tcPr/>
          <w:p>
            <w:pPr>
              <w:pStyle w:val="Compact"/>
            </w:pPr>
            <w:r>
              <w:t xml:space="preserve">low</w:t>
            </w:r>
          </w:p>
        </w:tc>
      </w:tr>
      <w:tr>
        <w:tc>
          <w:tcPr/>
          <w:p>
            <w:pPr>
              <w:pStyle w:val="Compact"/>
            </w:pPr>
            <w:r>
              <w:t xml:space="preserve">113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1.35</w:t>
            </w:r>
          </w:p>
        </w:tc>
        <w:tc>
          <w:tcPr/>
          <w:p>
            <w:pPr>
              <w:pStyle w:val="Compact"/>
            </w:pPr>
            <w:r>
              <w:t xml:space="preserve">low</w:t>
            </w:r>
          </w:p>
        </w:tc>
        <w:tc>
          <w:tcPr/>
          <w:p>
            <w:pPr>
              <w:pStyle w:val="Compact"/>
            </w:pPr>
            <w:r>
              <w:t xml:space="preserve">low</w:t>
            </w:r>
          </w:p>
        </w:tc>
      </w:tr>
      <w:tr>
        <w:tc>
          <w:tcPr/>
          <w:p>
            <w:pPr>
              <w:pStyle w:val="Compact"/>
            </w:pPr>
            <w:r>
              <w:t xml:space="preserve">161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1.07</w:t>
            </w:r>
          </w:p>
        </w:tc>
        <w:tc>
          <w:tcPr/>
          <w:p>
            <w:pPr>
              <w:pStyle w:val="Compact"/>
            </w:pPr>
            <w:r>
              <w:t xml:space="preserve">low</w:t>
            </w:r>
          </w:p>
        </w:tc>
        <w:tc>
          <w:tcPr/>
          <w:p>
            <w:pPr>
              <w:pStyle w:val="Compact"/>
            </w:pPr>
            <w:r>
              <w:t xml:space="preserve">low</w:t>
            </w:r>
          </w:p>
        </w:tc>
      </w:tr>
      <w:tr>
        <w:tc>
          <w:tcPr/>
          <w:p>
            <w:pPr>
              <w:pStyle w:val="Compact"/>
            </w:pPr>
            <w:r>
              <w:t xml:space="preserve">163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0.64</w:t>
            </w:r>
          </w:p>
        </w:tc>
        <w:tc>
          <w:tcPr/>
          <w:p>
            <w:pPr>
              <w:pStyle w:val="Compact"/>
            </w:pPr>
            <w:r>
              <w:t xml:space="preserve">low</w:t>
            </w:r>
          </w:p>
        </w:tc>
        <w:tc>
          <w:tcPr/>
          <w:p>
            <w:pPr>
              <w:pStyle w:val="Compact"/>
            </w:pPr>
            <w:r>
              <w:t xml:space="preserve">low</w:t>
            </w:r>
          </w:p>
        </w:tc>
      </w:tr>
      <w:tr>
        <w:tc>
          <w:tcPr/>
          <w:p>
            <w:pPr>
              <w:pStyle w:val="Compact"/>
            </w:pPr>
            <w:r>
              <w:t xml:space="preserve">166</w:t>
            </w:r>
          </w:p>
        </w:tc>
        <w:tc>
          <w:tcPr/>
          <w:p>
            <w:pPr>
              <w:pStyle w:val="Compact"/>
            </w:pPr>
            <w:r>
              <w:t xml:space="preserve">0.0</w:t>
            </w:r>
          </w:p>
        </w:tc>
        <w:tc>
          <w:tcPr/>
          <w:p>
            <w:pPr>
              <w:pStyle w:val="Compact"/>
            </w:pPr>
            <w:r>
              <w:t xml:space="preserve">0.483</w:t>
            </w:r>
          </w:p>
        </w:tc>
        <w:tc>
          <w:tcPr/>
          <w:p>
            <w:pPr>
              <w:pStyle w:val="Compact"/>
            </w:pPr>
            <w:r>
              <w:t xml:space="preserve">0.492</w:t>
            </w:r>
          </w:p>
        </w:tc>
        <w:tc>
          <w:tcPr/>
          <w:p>
            <w:pPr>
              <w:pStyle w:val="Compact"/>
            </w:pPr>
            <w:r>
              <w:t xml:space="preserve">0.18</w:t>
            </w:r>
          </w:p>
        </w:tc>
        <w:tc>
          <w:tcPr/>
          <w:p>
            <w:pPr>
              <w:pStyle w:val="Compact"/>
            </w:pPr>
            <w:r>
              <w:t xml:space="preserve">low</w:t>
            </w:r>
          </w:p>
        </w:tc>
        <w:tc>
          <w:tcPr/>
          <w:p>
            <w:pPr>
              <w:pStyle w:val="Compact"/>
            </w:pPr>
            <w:r>
              <w:t xml:space="preserve">low</w:t>
            </w:r>
          </w:p>
        </w:tc>
      </w:tr>
      <w:tr>
        <w:tc>
          <w:tcPr/>
          <w:p>
            <w:pPr>
              <w:pStyle w:val="Compact"/>
            </w:pPr>
            <w:r>
              <w:t xml:space="preserve">167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0.98</w:t>
            </w:r>
          </w:p>
        </w:tc>
        <w:tc>
          <w:tcPr/>
          <w:p>
            <w:pPr>
              <w:pStyle w:val="Compact"/>
            </w:pPr>
            <w:r>
              <w:t xml:space="preserve">low</w:t>
            </w:r>
          </w:p>
        </w:tc>
        <w:tc>
          <w:tcPr/>
          <w:p>
            <w:pPr>
              <w:pStyle w:val="Compact"/>
            </w:pPr>
            <w:r>
              <w:t xml:space="preserve">low</w:t>
            </w:r>
          </w:p>
        </w:tc>
      </w:tr>
      <w:tr>
        <w:tc>
          <w:tcPr/>
          <w:p>
            <w:pPr>
              <w:pStyle w:val="Compact"/>
            </w:pPr>
            <w:r>
              <w:t xml:space="preserve">197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1.15</w:t>
            </w:r>
          </w:p>
        </w:tc>
        <w:tc>
          <w:tcPr/>
          <w:p>
            <w:pPr>
              <w:pStyle w:val="Compact"/>
            </w:pPr>
            <w:r>
              <w:t xml:space="preserve">low</w:t>
            </w:r>
          </w:p>
        </w:tc>
        <w:tc>
          <w:tcPr/>
          <w:p>
            <w:pPr>
              <w:pStyle w:val="Compact"/>
            </w:pPr>
            <w:r>
              <w:t xml:space="preserve">low</w:t>
            </w:r>
          </w:p>
        </w:tc>
      </w:tr>
      <w:tr>
        <w:tc>
          <w:tcPr/>
          <w:p>
            <w:pPr>
              <w:pStyle w:val="Compact"/>
            </w:pPr>
            <w:r>
              <w:t xml:space="preserve">209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0.06</w:t>
            </w:r>
          </w:p>
        </w:tc>
        <w:tc>
          <w:tcPr/>
          <w:p>
            <w:pPr>
              <w:pStyle w:val="Compact"/>
            </w:pPr>
            <w:r>
              <w:t xml:space="preserve">low</w:t>
            </w:r>
          </w:p>
        </w:tc>
        <w:tc>
          <w:tcPr/>
          <w:p>
            <w:pPr>
              <w:pStyle w:val="Compact"/>
            </w:pPr>
            <w:r>
              <w:t xml:space="preserve">low</w:t>
            </w:r>
          </w:p>
        </w:tc>
      </w:tr>
      <w:tr>
        <w:tc>
          <w:tcPr/>
          <w:p>
            <w:pPr>
              <w:pStyle w:val="Compact"/>
            </w:pPr>
            <w:r>
              <w:t xml:space="preserve">211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0.59</w:t>
            </w:r>
          </w:p>
        </w:tc>
        <w:tc>
          <w:tcPr/>
          <w:p>
            <w:pPr>
              <w:pStyle w:val="Compact"/>
            </w:pPr>
            <w:r>
              <w:t xml:space="preserve">low</w:t>
            </w:r>
          </w:p>
        </w:tc>
        <w:tc>
          <w:tcPr/>
          <w:p>
            <w:pPr>
              <w:pStyle w:val="Compact"/>
            </w:pPr>
            <w:r>
              <w:t xml:space="preserve">low</w:t>
            </w:r>
          </w:p>
        </w:tc>
      </w:tr>
      <w:tr>
        <w:tc>
          <w:tcPr/>
          <w:p>
            <w:pPr>
              <w:pStyle w:val="Compact"/>
            </w:pPr>
            <w:r>
              <w:t xml:space="preserve">213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0.94</w:t>
            </w:r>
          </w:p>
        </w:tc>
        <w:tc>
          <w:tcPr/>
          <w:p>
            <w:pPr>
              <w:pStyle w:val="Compact"/>
            </w:pPr>
            <w:r>
              <w:t xml:space="preserve">low</w:t>
            </w:r>
          </w:p>
        </w:tc>
        <w:tc>
          <w:tcPr/>
          <w:p>
            <w:pPr>
              <w:pStyle w:val="Compact"/>
            </w:pPr>
            <w:r>
              <w:t xml:space="preserve">low</w:t>
            </w:r>
          </w:p>
        </w:tc>
      </w:tr>
      <w:tr>
        <w:tc>
          <w:tcPr/>
          <w:p>
            <w:pPr>
              <w:pStyle w:val="Compact"/>
            </w:pPr>
            <w:r>
              <w:t xml:space="preserve">217</w:t>
            </w:r>
          </w:p>
        </w:tc>
        <w:tc>
          <w:tcPr/>
          <w:p>
            <w:pPr>
              <w:pStyle w:val="Compact"/>
            </w:pPr>
            <w:r>
              <w:t xml:space="preserve">0.0</w:t>
            </w:r>
          </w:p>
        </w:tc>
        <w:tc>
          <w:tcPr/>
          <w:p>
            <w:pPr>
              <w:pStyle w:val="Compact"/>
            </w:pPr>
            <w:r>
              <w:t xml:space="preserve">0.403</w:t>
            </w:r>
          </w:p>
        </w:tc>
        <w:tc>
          <w:tcPr/>
          <w:p>
            <w:pPr>
              <w:pStyle w:val="Compact"/>
            </w:pPr>
            <w:r>
              <w:t xml:space="preserve">0.748</w:t>
            </w:r>
          </w:p>
        </w:tc>
        <w:tc>
          <w:tcPr/>
          <w:p>
            <w:pPr>
              <w:pStyle w:val="Compact"/>
            </w:pPr>
            <w:r>
              <w:t xml:space="preserve">1.63</w:t>
            </w:r>
          </w:p>
        </w:tc>
        <w:tc>
          <w:tcPr/>
          <w:p>
            <w:pPr>
              <w:pStyle w:val="Compact"/>
            </w:pPr>
            <w:r>
              <w:t xml:space="preserve">low</w:t>
            </w:r>
          </w:p>
        </w:tc>
        <w:tc>
          <w:tcPr/>
          <w:p>
            <w:pPr>
              <w:pStyle w:val="Compact"/>
            </w:pPr>
            <w:r>
              <w:t xml:space="preserve">low</w:t>
            </w:r>
          </w:p>
        </w:tc>
      </w:tr>
      <w:tr>
        <w:tc>
          <w:tcPr/>
          <w:p>
            <w:pPr>
              <w:pStyle w:val="Compact"/>
            </w:pPr>
            <w:r>
              <w:t xml:space="preserve">237</w:t>
            </w:r>
          </w:p>
        </w:tc>
        <w:tc>
          <w:tcPr/>
          <w:p>
            <w:pPr>
              <w:pStyle w:val="Compact"/>
            </w:pPr>
            <w:r>
              <w:t xml:space="preserve">0.0</w:t>
            </w:r>
          </w:p>
        </w:tc>
        <w:tc>
          <w:tcPr/>
          <w:p>
            <w:pPr>
              <w:pStyle w:val="Compact"/>
            </w:pPr>
            <w:r>
              <w:t xml:space="preserve">0.0</w:t>
            </w:r>
          </w:p>
        </w:tc>
        <w:tc>
          <w:tcPr/>
          <w:p>
            <w:pPr>
              <w:pStyle w:val="Compact"/>
            </w:pPr>
            <w:r>
              <w:t xml:space="preserve">0.001</w:t>
            </w:r>
          </w:p>
        </w:tc>
        <w:tc>
          <w:tcPr/>
          <w:p>
            <w:pPr>
              <w:pStyle w:val="Compact"/>
            </w:pPr>
            <w:r>
              <w:t xml:space="preserve">1.05</w:t>
            </w:r>
          </w:p>
        </w:tc>
        <w:tc>
          <w:tcPr/>
          <w:p>
            <w:pPr>
              <w:pStyle w:val="Compact"/>
            </w:pPr>
            <w:r>
              <w:t xml:space="preserve">low</w:t>
            </w:r>
          </w:p>
        </w:tc>
        <w:tc>
          <w:tcPr/>
          <w:p>
            <w:pPr>
              <w:pStyle w:val="Compact"/>
            </w:pPr>
            <w:r>
              <w:t xml:space="preserve">low</w:t>
            </w:r>
          </w:p>
        </w:tc>
      </w:tr>
      <w:tr>
        <w:tc>
          <w:tcPr/>
          <w:p>
            <w:pPr>
              <w:pStyle w:val="Compact"/>
            </w:pPr>
            <w:r>
              <w:t xml:space="preserve">20</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50</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129</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241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40</w:t>
            </w:r>
          </w:p>
        </w:tc>
        <w:tc>
          <w:tcPr/>
          <w:p>
            <w:pPr>
              <w:pStyle w:val="Compact"/>
            </w:pPr>
            <w:r>
              <w:t xml:space="preserve">0.0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60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601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61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120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164</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169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173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179</w:t>
            </w:r>
          </w:p>
        </w:tc>
        <w:tc>
          <w:tcPr/>
          <w:p>
            <w:pPr>
              <w:pStyle w:val="Compact"/>
            </w:pPr>
            <w:r>
              <w:t xml:space="preserve">0.0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181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183</w:t>
            </w:r>
          </w:p>
        </w:tc>
        <w:tc>
          <w:tcPr/>
          <w:p>
            <w:pPr>
              <w:pStyle w:val="Compact"/>
            </w:pPr>
            <w:r>
              <w:t xml:space="preserve">0.0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184</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187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195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204</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206</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208</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249</w:t>
            </w:r>
          </w:p>
        </w:tc>
        <w:tc>
          <w:tcPr/>
          <w:p>
            <w:pPr>
              <w:pStyle w:val="Compact"/>
            </w:pPr>
            <w:r>
              <w:t xml:space="preserve">0.0</w:t>
            </w:r>
          </w:p>
        </w:tc>
        <w:tc>
          <w:tcPr/>
          <w:p>
            <w:pPr>
              <w:pStyle w:val="Compact"/>
            </w:pPr>
            <w:r>
              <w:t xml:space="preserve">0.122</w:t>
            </w:r>
          </w:p>
        </w:tc>
        <w:tc>
          <w:tcPr/>
          <w:p>
            <w:pPr>
              <w:pStyle w:val="Compact"/>
            </w:pPr>
            <w:r>
              <w:t xml:space="preserve">0.533</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257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259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271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273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275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bl>
    <w:bookmarkEnd w:id="166"/>
    <w:bookmarkStart w:id="167" w:name="X514ef38f2df5d3fe48656593e9361161d514c31"/>
    <w:p>
      <w:pPr>
        <w:pStyle w:val="Heading2"/>
      </w:pPr>
      <w:r>
        <w:t xml:space="preserve">Appendix I. Section-to-script map and reproduction</w:t>
      </w:r>
    </w:p>
    <w:p>
      <w:pPr>
        <w:pStyle w:val="FirstParagraph"/>
      </w:pPr>
      <w:r>
        <w:t xml:space="preserve">The analysis code, the cached result artifacts and this paper’s figure and table generators are archived at</w:t>
      </w:r>
    </w:p>
    <w:p>
      <w:pPr>
        <w:pStyle w:val="BlockText"/>
      </w:pPr>
      <w:r>
        <w:rPr>
          <w:b/>
          <w:bCs/>
        </w:rPr>
        <w:t xml:space="preserve">[REPOSITORY URL AND RELEASE TAG TO BE INSERTED BEFORE SUBMISSION]</w:t>
      </w:r>
    </w:p>
    <w:p>
      <w:pPr>
        <w:pStyle w:val="FirstParagraph"/>
      </w:pPr>
      <w:r>
        <w:t xml:space="preserve">and every number in this paper was produced at that release. The frozen Net3 input file is hash-checked on import, and the environment is pinned to exact library versions, which matters here because the study documents version-specific WNTR behaviour. The verification checks of Section 2.2.4 are runnable:</w:t>
      </w:r>
      <w:r>
        <w:t xml:space="preserve"> </w:t>
      </w:r>
      <w:r>
        <w:rPr>
          <w:rStyle w:val="VerbatimChar"/>
        </w:rPr>
        <w:t xml:space="preserve">provenance.py --check</w:t>
      </w:r>
      <w:r>
        <w:t xml:space="preserve"> </w:t>
      </w:r>
      <w:r>
        <w:t xml:space="preserve">confirms that the environment matches the one that produced the cached results, and</w:t>
      </w:r>
      <w:r>
        <w:t xml:space="preserve"> </w:t>
      </w:r>
      <w:r>
        <w:rPr>
          <w:rStyle w:val="VerbatimChar"/>
        </w:rPr>
        <w:t xml:space="preserve">validate_artifacts.py</w:t>
      </w:r>
      <w:r>
        <w:t xml:space="preserve"> </w:t>
      </w:r>
      <w:r>
        <w:t xml:space="preserve">cross-checks the written numbers against the artifacts.</w:t>
      </w:r>
    </w:p>
    <w:p>
      <w:pPr>
        <w:pStyle w:val="BodyText"/>
      </w:pPr>
      <w:r>
        <w:t xml:space="preserve">Each script writes</w:t>
      </w:r>
      <w:r>
        <w:t xml:space="preserve"> </w:t>
      </w:r>
      <w:r>
        <w:rPr>
          <w:rStyle w:val="VerbatimChar"/>
        </w:rPr>
        <w:t xml:space="preserve">Net3/baseline_cache/&lt;script name&gt;.json</w:t>
      </w:r>
      <w:r>
        <w:t xml:space="preserve">, so the artifact column that would</w:t>
      </w:r>
      <w:r>
        <w:t xml:space="preserve"> </w:t>
      </w:r>
      <w:r>
        <w:t xml:space="preserve">otherwise repeat this table is omitted. Five entries depart from that naming rule.</w:t>
      </w:r>
      <w:r>
        <w:t xml:space="preserve"> </w:t>
      </w:r>
      <w:r>
        <w:rPr>
          <w:rStyle w:val="VerbatimChar"/>
        </w:rPr>
        <w:t xml:space="preserve">step1_freeze_baseline.py</w:t>
      </w:r>
      <w:r>
        <w:t xml:space="preserve"> </w:t>
      </w:r>
      <w:r>
        <w:t xml:space="preserve">writes</w:t>
      </w:r>
      <w:r>
        <w:t xml:space="preserve"> </w:t>
      </w:r>
      <w:r>
        <w:rPr>
          <w:rStyle w:val="VerbatimChar"/>
        </w:rPr>
        <w:t xml:space="preserve">baseline_meta.json</w:t>
      </w:r>
      <w:r>
        <w:t xml:space="preserve"> </w:t>
      </w:r>
      <w:r>
        <w:t xml:space="preserve">and</w:t>
      </w:r>
      <w:r>
        <w:t xml:space="preserve"> </w:t>
      </w:r>
      <w:r>
        <w:rPr>
          <w:rStyle w:val="VerbatimChar"/>
        </w:rPr>
        <w:t xml:space="preserve">baseline.npz</w:t>
      </w:r>
      <w:r>
        <w:t xml:space="preserve">;</w:t>
      </w:r>
      <w:r>
        <w:t xml:space="preserve"> </w:t>
      </w:r>
      <w:r>
        <w:rPr>
          <w:rStyle w:val="VerbatimChar"/>
        </w:rPr>
        <w:t xml:space="preserve">step3_threshold_sensitivity.py</w:t>
      </w:r>
      <w:r>
        <w:t xml:space="preserve"> </w:t>
      </w:r>
      <w:r>
        <w:t xml:space="preserve">writes</w:t>
      </w:r>
      <w:r>
        <w:t xml:space="preserve"> </w:t>
      </w:r>
      <w:r>
        <w:rPr>
          <w:rStyle w:val="VerbatimChar"/>
        </w:rPr>
        <w:t xml:space="preserve">step3_threshold.json</w:t>
      </w:r>
      <w:r>
        <w:t xml:space="preserve">;</w:t>
      </w:r>
      <w:r>
        <w:t xml:space="preserve"> </w:t>
      </w:r>
      <w:r>
        <w:rPr>
          <w:rStyle w:val="VerbatimChar"/>
        </w:rPr>
        <w:t xml:space="preserve">step12_scenarios.py</w:t>
      </w:r>
      <w:r>
        <w:t xml:space="preserve"> </w:t>
      </w:r>
      <w:r>
        <w:t xml:space="preserve">also writes</w:t>
      </w:r>
      <w:r>
        <w:t xml:space="preserve"> </w:t>
      </w:r>
      <w:r>
        <w:rPr>
          <w:rStyle w:val="VerbatimChar"/>
        </w:rPr>
        <w:t xml:space="preserve">step12_risk_register.csv</w:t>
      </w:r>
      <w:r>
        <w:t xml:space="preserve">;</w:t>
      </w:r>
      <w:r>
        <w:t xml:space="preserve"> </w:t>
      </w:r>
      <w:r>
        <w:rPr>
          <w:rStyle w:val="VerbatimChar"/>
        </w:rPr>
        <w:t xml:space="preserve">paper_figs.py</w:t>
      </w:r>
      <w:r>
        <w:t xml:space="preserve"> </w:t>
      </w:r>
      <w:r>
        <w:t xml:space="preserve">and</w:t>
      </w:r>
      <w:r>
        <w:t xml:space="preserve"> </w:t>
      </w:r>
      <w:r>
        <w:rPr>
          <w:rStyle w:val="VerbatimChar"/>
        </w:rPr>
        <w:t xml:space="preserve">appendix_tables.py</w:t>
      </w:r>
      <w:r>
        <w:t xml:space="preserve"> </w:t>
      </w:r>
      <w:r>
        <w:t xml:space="preserve">write into</w:t>
      </w:r>
      <w:r>
        <w:t xml:space="preserve"> </w:t>
      </w:r>
      <w:r>
        <w:rPr>
          <w:rStyle w:val="VerbatimChar"/>
        </w:rPr>
        <w:t xml:space="preserve">Net3/Figures/paper/</w:t>
      </w:r>
      <w:r>
        <w:t xml:space="preserve">; and</w:t>
      </w:r>
      <w:r>
        <w:t xml:space="preserve"> </w:t>
      </w:r>
      <w:r>
        <w:rPr>
          <w:rStyle w:val="VerbatimChar"/>
        </w:rPr>
        <w:t xml:space="preserve">provenance.py</w:t>
      </w:r>
      <w:r>
        <w:t xml:space="preserve"> </w:t>
      </w:r>
      <w:r>
        <w:t xml:space="preserve">writes</w:t>
      </w:r>
      <w:r>
        <w:t xml:space="preserve"> </w:t>
      </w:r>
      <w:r>
        <w:rPr>
          <w:rStyle w:val="VerbatimChar"/>
        </w:rPr>
        <w:t xml:space="preserve">cache_manifest.json</w:t>
      </w:r>
      <w:r>
        <w:t xml:space="preserve">, which</w:t>
      </w:r>
      <w:r>
        <w:t xml:space="preserve"> </w:t>
      </w:r>
      <w:r>
        <w:rPr>
          <w:rStyle w:val="VerbatimChar"/>
        </w:rPr>
        <w:t xml:space="preserve">validate_artifacts.py</w:t>
      </w:r>
      <w:r>
        <w:t xml:space="preserve"> </w:t>
      </w:r>
      <w:r>
        <w:t xml:space="preserve">reads without writing an artifact of its own.</w:t>
      </w:r>
    </w:p>
    <w:p>
      <w:pPr>
        <w:pStyle w:val="BodyText"/>
      </w:pPr>
      <w:r>
        <w:t xml:space="preserve">One dependency crosses sections and is easy to miss when reproducing a single result. Every</w:t>
      </w:r>
      <w:r>
        <w:t xml:space="preserve"> </w:t>
      </w:r>
      <w:r>
        <w:t xml:space="preserve">displacement reported in baseline posterior standard deviations is divided by the median</w:t>
      </w:r>
      <w:r>
        <w:t xml:space="preserve"> </w:t>
      </w:r>
      <w:r>
        <w:t xml:space="preserve">posterior standard deviation over 30 noise realisations at the baseline noise level, which</w:t>
      </w:r>
      <w:r>
        <w:t xml:space="preserve"> </w:t>
      </w:r>
      <w:r>
        <w:rPr>
          <w:rStyle w:val="VerbatimChar"/>
        </w:rPr>
        <w:t xml:space="preserve">step6_noise_sensitivity.py</w:t>
      </w:r>
      <w:r>
        <w:t xml:space="preserve"> </w:t>
      </w:r>
      <w:r>
        <w:t xml:space="preserve">writes, and not by the standard deviation of the run being reported.</w:t>
      </w:r>
    </w:p>
    <w:tbl>
      <w:tblPr>
        <w:tblStyle w:val="Table"/>
        <w:tblW w:type="pct" w:w="5000"/>
        <w:tblLayout w:type="fixed"/>
        <w:tblLook w:firstRow="1" w:lastRow="0" w:firstColumn="0" w:lastColumn="0" w:noHBand="0" w:noVBand="0" w:val="0020"/>
      </w:tblPr>
      <w:tblGrid>
        <w:gridCol w:w="2169"/>
        <w:gridCol w:w="5750"/>
      </w:tblGrid>
      <w:tr>
        <w:trPr>
          <w:tblHeader w:val="on"/>
        </w:trPr>
        <w:tc>
          <w:tcPr/>
          <w:p>
            <w:pPr>
              <w:pStyle w:val="Compact"/>
            </w:pPr>
            <w:r>
              <w:t xml:space="preserve">Paper section</w:t>
            </w:r>
          </w:p>
        </w:tc>
        <w:tc>
          <w:tcPr/>
          <w:p>
            <w:pPr>
              <w:pStyle w:val="Compact"/>
            </w:pPr>
            <w:r>
              <w:t xml:space="preserve">Script</w:t>
            </w:r>
          </w:p>
        </w:tc>
      </w:tr>
      <w:tr>
        <w:tc>
          <w:tcPr/>
          <w:p>
            <w:pPr>
              <w:pStyle w:val="Compact"/>
            </w:pPr>
            <w:r>
              <w:t xml:space="preserve">2.2.2, Appendix A</w:t>
            </w:r>
          </w:p>
        </w:tc>
        <w:tc>
          <w:tcPr/>
          <w:p>
            <w:pPr>
              <w:pStyle w:val="Compact"/>
            </w:pPr>
            <w:r>
              <w:rPr>
                <w:rStyle w:val="VerbatimChar"/>
              </w:rPr>
              <w:t xml:space="preserve">step0_warmup_convergence.py</w:t>
            </w:r>
          </w:p>
        </w:tc>
      </w:tr>
      <w:tr>
        <w:tc>
          <w:tcPr/>
          <w:p>
            <w:pPr>
              <w:pStyle w:val="Compact"/>
            </w:pPr>
            <w:r>
              <w:t xml:space="preserve">2.2.4, Appendix B</w:t>
            </w:r>
          </w:p>
        </w:tc>
        <w:tc>
          <w:tcPr/>
          <w:p>
            <w:pPr>
              <w:pStyle w:val="Compact"/>
            </w:pPr>
            <w:r>
              <w:rPr>
                <w:rStyle w:val="VerbatimChar"/>
              </w:rPr>
              <w:t xml:space="preserve">step13_known_answer.py</w:t>
            </w:r>
            <w:r>
              <w:t xml:space="preserve">,</w:t>
            </w:r>
            <w:r>
              <w:t xml:space="preserve"> </w:t>
            </w:r>
            <w:r>
              <w:rPr>
                <w:rStyle w:val="VerbatimChar"/>
              </w:rPr>
              <w:t xml:space="preserve">step15_unit_equivalence.py</w:t>
            </w:r>
          </w:p>
        </w:tc>
      </w:tr>
      <w:tr>
        <w:tc>
          <w:tcPr/>
          <w:p>
            <w:pPr>
              <w:pStyle w:val="Compact"/>
            </w:pPr>
            <w:r>
              <w:t xml:space="preserve">2.3, 3.2.1</w:t>
            </w:r>
          </w:p>
        </w:tc>
        <w:tc>
          <w:tcPr/>
          <w:p>
            <w:pPr>
              <w:pStyle w:val="Compact"/>
            </w:pPr>
            <w:r>
              <w:rPr>
                <w:rStyle w:val="VerbatimChar"/>
              </w:rPr>
              <w:t xml:space="preserve">step1_freeze_baseline.py</w:t>
            </w:r>
          </w:p>
        </w:tc>
      </w:tr>
      <w:tr>
        <w:tc>
          <w:tcPr/>
          <w:p>
            <w:pPr>
              <w:pStyle w:val="Compact"/>
            </w:pPr>
            <w:r>
              <w:t xml:space="preserve">3.2.2, Appendix C</w:t>
            </w:r>
          </w:p>
        </w:tc>
        <w:tc>
          <w:tcPr/>
          <w:p>
            <w:pPr>
              <w:pStyle w:val="Compact"/>
            </w:pPr>
            <w:r>
              <w:rPr>
                <w:rStyle w:val="VerbatimChar"/>
              </w:rPr>
              <w:t xml:space="preserve">step3_threshold_sensitivity.py</w:t>
            </w:r>
            <w:r>
              <w:t xml:space="preserve">,</w:t>
            </w:r>
            <w:r>
              <w:t xml:space="preserve"> </w:t>
            </w:r>
            <w:r>
              <w:rPr>
                <w:rStyle w:val="VerbatimChar"/>
              </w:rPr>
              <w:t xml:space="preserve">step4d_displaced_robust.py</w:t>
            </w:r>
          </w:p>
        </w:tc>
      </w:tr>
      <w:tr>
        <w:tc>
          <w:tcPr/>
          <w:p>
            <w:pPr>
              <w:pStyle w:val="Compact"/>
            </w:pPr>
            <w:r>
              <w:t xml:space="preserve">2.4.3, 3.3.3, Appendix D</w:t>
            </w:r>
          </w:p>
        </w:tc>
        <w:tc>
          <w:tcPr/>
          <w:p>
            <w:pPr>
              <w:pStyle w:val="Compact"/>
            </w:pPr>
            <w:r>
              <w:rPr>
                <w:rStyle w:val="VerbatimChar"/>
              </w:rPr>
              <w:t xml:space="preserve">step7_fisher.py</w:t>
            </w:r>
          </w:p>
        </w:tc>
      </w:tr>
      <w:tr>
        <w:tc>
          <w:tcPr/>
          <w:p>
            <w:pPr>
              <w:pStyle w:val="Compact"/>
            </w:pPr>
            <w:r>
              <w:t xml:space="preserve">2.4.4, 3.2.3</w:t>
            </w:r>
          </w:p>
        </w:tc>
        <w:tc>
          <w:tcPr/>
          <w:p>
            <w:pPr>
              <w:pStyle w:val="Compact"/>
            </w:pPr>
            <w:r>
              <w:rPr>
                <w:rStyle w:val="VerbatimChar"/>
              </w:rPr>
              <w:t xml:space="preserve">step7b_profile.py</w:t>
            </w:r>
          </w:p>
        </w:tc>
      </w:tr>
      <w:tr>
        <w:tc>
          <w:tcPr/>
          <w:p>
            <w:pPr>
              <w:pStyle w:val="Compact"/>
            </w:pPr>
            <w:r>
              <w:t xml:space="preserve">2.5.1, 3.3.1, and the standardising denominator for 3.3.2, 3.4 and 3.6.2</w:t>
            </w:r>
          </w:p>
        </w:tc>
        <w:tc>
          <w:tcPr/>
          <w:p>
            <w:pPr>
              <w:pStyle w:val="Compact"/>
            </w:pPr>
            <w:r>
              <w:rPr>
                <w:rStyle w:val="VerbatimChar"/>
              </w:rPr>
              <w:t xml:space="preserve">step6_noise_sensitivity.py</w:t>
            </w:r>
          </w:p>
        </w:tc>
      </w:tr>
      <w:tr>
        <w:tc>
          <w:tcPr/>
          <w:p>
            <w:pPr>
              <w:pStyle w:val="Compact"/>
            </w:pPr>
            <w:r>
              <w:t xml:space="preserve">2.5.2, 3.3.1</w:t>
            </w:r>
          </w:p>
        </w:tc>
        <w:tc>
          <w:tcPr/>
          <w:p>
            <w:pPr>
              <w:pStyle w:val="Compact"/>
            </w:pPr>
            <w:r>
              <w:rPr>
                <w:rStyle w:val="VerbatimChar"/>
              </w:rPr>
              <w:t xml:space="preserve">step7c_ar1.py</w:t>
            </w:r>
            <w:r>
              <w:t xml:space="preserve">,</w:t>
            </w:r>
            <w:r>
              <w:t xml:space="preserve"> </w:t>
            </w:r>
            <w:r>
              <w:rPr>
                <w:rStyle w:val="VerbatimChar"/>
              </w:rPr>
              <w:t xml:space="preserve">step7c_profile_ar1.py</w:t>
            </w:r>
          </w:p>
        </w:tc>
      </w:tr>
      <w:tr>
        <w:tc>
          <w:tcPr/>
          <w:p>
            <w:pPr>
              <w:pStyle w:val="Compact"/>
            </w:pPr>
            <w:r>
              <w:t xml:space="preserve">2.5.3, 3.3.2, 3.6.2, Appendix F</w:t>
            </w:r>
          </w:p>
        </w:tc>
        <w:tc>
          <w:tcPr/>
          <w:p>
            <w:pPr>
              <w:pStyle w:val="Compact"/>
            </w:pPr>
            <w:r>
              <w:rPr>
                <w:rStyle w:val="VerbatimChar"/>
              </w:rPr>
              <w:t xml:space="preserve">step8_sensor_bias.py</w:t>
            </w:r>
            <w:r>
              <w:t xml:space="preserve">,</w:t>
            </w:r>
            <w:r>
              <w:t xml:space="preserve"> </w:t>
            </w:r>
            <w:r>
              <w:rPr>
                <w:rStyle w:val="VerbatimChar"/>
              </w:rPr>
              <w:t xml:space="preserve">step8c_bias_bynode.py</w:t>
            </w:r>
            <w:r>
              <w:t xml:space="preserve">,</w:t>
            </w:r>
            <w:r>
              <w:t xml:space="preserve"> </w:t>
            </w:r>
            <w:r>
              <w:rPr>
                <w:rStyle w:val="VerbatimChar"/>
              </w:rPr>
              <w:t xml:space="preserve">step8d_sensor_drift.py</w:t>
            </w:r>
          </w:p>
        </w:tc>
      </w:tr>
      <w:tr>
        <w:tc>
          <w:tcPr/>
          <w:p>
            <w:pPr>
              <w:pStyle w:val="Compact"/>
            </w:pPr>
            <w:r>
              <w:t xml:space="preserve">2.5.5, 3.3.3, 3.6.2</w:t>
            </w:r>
          </w:p>
        </w:tc>
        <w:tc>
          <w:tcPr/>
          <w:p>
            <w:pPr>
              <w:pStyle w:val="Compact"/>
            </w:pPr>
            <w:r>
              <w:rPr>
                <w:rStyle w:val="VerbatimChar"/>
              </w:rPr>
              <w:t xml:space="preserve">step8b_kb_sensitivity.py</w:t>
            </w:r>
          </w:p>
        </w:tc>
      </w:tr>
      <w:tr>
        <w:tc>
          <w:tcPr/>
          <w:p>
            <w:pPr>
              <w:pStyle w:val="Compact"/>
            </w:pPr>
            <w:r>
              <w:t xml:space="preserve">2.6, 3.4, Appendix E</w:t>
            </w:r>
          </w:p>
        </w:tc>
        <w:tc>
          <w:tcPr/>
          <w:p>
            <w:pPr>
              <w:pStyle w:val="Compact"/>
            </w:pPr>
            <w:r>
              <w:rPr>
                <w:rStyle w:val="VerbatimChar"/>
              </w:rPr>
              <w:t xml:space="preserve">step5_structural_error.py</w:t>
            </w:r>
            <w:r>
              <w:t xml:space="preserve">,</w:t>
            </w:r>
            <w:r>
              <w:t xml:space="preserve"> </w:t>
            </w:r>
            <w:r>
              <w:rPr>
                <w:rStyle w:val="VerbatimChar"/>
              </w:rPr>
              <w:t xml:space="preserve">step5c_jitter_sweep.py</w:t>
            </w:r>
            <w:r>
              <w:t xml:space="preserve">,</w:t>
            </w:r>
            <w:r>
              <w:t xml:space="preserve"> </w:t>
            </w:r>
            <w:r>
              <w:rPr>
                <w:rStyle w:val="VerbatimChar"/>
              </w:rPr>
              <w:t xml:space="preserve">step5d_structured.py</w:t>
            </w:r>
          </w:p>
        </w:tc>
      </w:tr>
      <w:tr>
        <w:tc>
          <w:tcPr/>
          <w:p>
            <w:pPr>
              <w:pStyle w:val="Compact"/>
            </w:pPr>
            <w:r>
              <w:t xml:space="preserve">2.7, 3.5</w:t>
            </w:r>
          </w:p>
        </w:tc>
        <w:tc>
          <w:tcPr/>
          <w:p>
            <w:pPr>
              <w:pStyle w:val="Compact"/>
            </w:pPr>
            <w:r>
              <w:rPr>
                <w:rStyle w:val="VerbatimChar"/>
              </w:rPr>
              <w:t xml:space="preserve">step11_loo.py</w:t>
            </w:r>
          </w:p>
        </w:tc>
      </w:tr>
      <w:tr>
        <w:tc>
          <w:tcPr/>
          <w:p>
            <w:pPr>
              <w:pStyle w:val="Compact"/>
            </w:pPr>
            <w:r>
              <w:t xml:space="preserve">2.8, 3.6, Appendices G and H</w:t>
            </w:r>
          </w:p>
        </w:tc>
        <w:tc>
          <w:tcPr/>
          <w:p>
            <w:pPr>
              <w:pStyle w:val="Compact"/>
            </w:pPr>
            <w:r>
              <w:rPr>
                <w:rStyle w:val="VerbatimChar"/>
              </w:rPr>
              <w:t xml:space="preserve">step10_risk_metrics.py</w:t>
            </w:r>
            <w:r>
              <w:t xml:space="preserve">,</w:t>
            </w:r>
            <w:r>
              <w:t xml:space="preserve"> </w:t>
            </w:r>
            <w:r>
              <w:rPr>
                <w:rStyle w:val="VerbatimChar"/>
              </w:rPr>
              <w:t xml:space="preserve">step12_scenarios.py</w:t>
            </w:r>
          </w:p>
        </w:tc>
      </w:tr>
      <w:tr>
        <w:tc>
          <w:tcPr/>
          <w:p>
            <w:pPr>
              <w:pStyle w:val="Compact"/>
            </w:pPr>
            <w:r>
              <w:t xml:space="preserve">3.2.3 (repeated-noise calibration)</w:t>
            </w:r>
          </w:p>
        </w:tc>
        <w:tc>
          <w:tcPr/>
          <w:p>
            <w:pPr>
              <w:pStyle w:val="Compact"/>
            </w:pPr>
            <w:r>
              <w:rPr>
                <w:rStyle w:val="VerbatimChar"/>
              </w:rPr>
              <w:t xml:space="preserve">step14_repeated_noise.py</w:t>
            </w:r>
          </w:p>
        </w:tc>
      </w:tr>
      <w:tr>
        <w:tc>
          <w:tcPr/>
          <w:p>
            <w:pPr>
              <w:pStyle w:val="Compact"/>
            </w:pPr>
            <w:r>
              <w:t xml:space="preserve">Figures 1 to 7, Tables 1 and 3 to 5</w:t>
            </w:r>
          </w:p>
        </w:tc>
        <w:tc>
          <w:tcPr/>
          <w:p>
            <w:pPr>
              <w:pStyle w:val="Compact"/>
            </w:pPr>
            <w:r>
              <w:rPr>
                <w:rStyle w:val="VerbatimChar"/>
              </w:rPr>
              <w:t xml:space="preserve">paper_figs.py</w:t>
            </w:r>
          </w:p>
        </w:tc>
      </w:tr>
      <w:tr>
        <w:tc>
          <w:tcPr/>
          <w:p>
            <w:pPr>
              <w:pStyle w:val="Compact"/>
            </w:pPr>
            <w:r>
              <w:t xml:space="preserve">Appendix tables</w:t>
            </w:r>
          </w:p>
        </w:tc>
        <w:tc>
          <w:tcPr/>
          <w:p>
            <w:pPr>
              <w:pStyle w:val="Compact"/>
            </w:pPr>
            <w:r>
              <w:rPr>
                <w:rStyle w:val="VerbatimChar"/>
              </w:rPr>
              <w:t xml:space="preserve">appendix_tables.py</w:t>
            </w:r>
          </w:p>
        </w:tc>
      </w:tr>
      <w:tr>
        <w:tc>
          <w:tcPr/>
          <w:p>
            <w:pPr>
              <w:pStyle w:val="Compact"/>
            </w:pPr>
            <w:r>
              <w:t xml:space="preserve">Provenance and verification</w:t>
            </w:r>
          </w:p>
        </w:tc>
        <w:tc>
          <w:tcPr/>
          <w:p>
            <w:pPr>
              <w:pStyle w:val="Compact"/>
            </w:pPr>
            <w:r>
              <w:rPr>
                <w:rStyle w:val="VerbatimChar"/>
              </w:rPr>
              <w:t xml:space="preserve">provenance.py</w:t>
            </w:r>
            <w:r>
              <w:t xml:space="preserve">,</w:t>
            </w:r>
            <w:r>
              <w:t xml:space="preserve"> </w:t>
            </w:r>
            <w:r>
              <w:rPr>
                <w:rStyle w:val="VerbatimChar"/>
              </w:rPr>
              <w:t xml:space="preserve">validate_artifacts.py</w:t>
            </w:r>
          </w:p>
        </w:tc>
      </w:tr>
    </w:tbl>
    <w:bookmarkEnd w:id="167"/>
    <w:bookmarkEnd w:id="168"/>
    <w:sectPr>
      <w:pgSz w:h="16838" w:w="11906"/>
      <w:pgMar w:bottom="1417" w:footer="708" w:gutter="0" w:header="708" w:left="1417" w:right="1417" w:top="1417"/>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line="360" w:lineRule="auto"/>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24"/>
      <w:szCs w:val="24"/>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4"/>
      <w:szCs w:val="24"/>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4"/>
      <w:szCs w:val="24"/>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4"/>
      <w:szCs w:val="24"/>
    </w:rPr>
  </w:style>
  <w:style w:customStyle="1" w:styleId="Abstract" w:type="paragraph">
    <w:name w:val="Abstract"/>
    <w:basedOn w:val="Normal"/>
    <w:next w:val="BodyText"/>
    <w:qFormat/>
    <w:pPr>
      <w:keepNext/>
      <w:keepLines/>
      <w:spacing w:after="300" w:before="100"/>
    </w:pPr>
    <w:rPr>
      <w:sz w:val="24"/>
      <w:szCs w:val="24"/>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24"/>
      <w:szCs w:val="2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4"/>
      <w:szCs w:val="24"/>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24"/>
      <w:szCs w:val="24"/>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24"/>
      <w:szCs w:val="24"/>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4"/>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4" Target="media/rId54.png" /><Relationship Type="http://schemas.openxmlformats.org/officeDocument/2006/relationships/image" Id="rId59" Target="media/rId59.png" /><Relationship Type="http://schemas.openxmlformats.org/officeDocument/2006/relationships/image" Id="rId64" Target="media/rId64.png" /><Relationship Type="http://schemas.openxmlformats.org/officeDocument/2006/relationships/image" Id="rId71" Target="media/rId71.png" /><Relationship Type="http://schemas.openxmlformats.org/officeDocument/2006/relationships/image" Id="rId77" Target="media/rId77.png" /><Relationship Type="http://schemas.openxmlformats.org/officeDocument/2006/relationships/image" Id="rId84" Target="media/rId84.png" /><Relationship Type="http://schemas.openxmlformats.org/officeDocument/2006/relationships/image" Id="rId91" Target="media/rId91.png" /><Relationship Type="http://schemas.openxmlformats.org/officeDocument/2006/relationships/hyperlink" Id="rId106" Target="https://claude.ai" TargetMode="External" /><Relationship Type="http://schemas.openxmlformats.org/officeDocument/2006/relationships/hyperlink" Id="rId110" Target="https://doi.org/10.1002/hyp.10082" TargetMode="External" /><Relationship Type="http://schemas.openxmlformats.org/officeDocument/2006/relationships/hyperlink" Id="rId108" Target="https://doi.org/10.1002/hyp.3360060305" TargetMode="External" /><Relationship Type="http://schemas.openxmlformats.org/officeDocument/2006/relationships/hyperlink" Id="rId150" Target="https://doi.org/10.1002/j.1551-8833.1997.tb08259.x" TargetMode="External" /><Relationship Type="http://schemas.openxmlformats.org/officeDocument/2006/relationships/hyperlink" Id="rId132" Target="https://doi.org/10.1006/jcom.1998.0487" TargetMode="External" /><Relationship Type="http://schemas.openxmlformats.org/officeDocument/2006/relationships/hyperlink" Id="rId146" Target="https://doi.org/10.1016/0041-5553(67)90144-9" TargetMode="External" /><Relationship Type="http://schemas.openxmlformats.org/officeDocument/2006/relationships/hyperlink" Id="rId116" Target="https://doi.org/10.1016/S0043-1354(02)00056-8" TargetMode="External" /><Relationship Type="http://schemas.openxmlformats.org/officeDocument/2006/relationships/hyperlink" Id="rId118" Target="https://doi.org/10.1016/S0043-1354(98)00519-3" TargetMode="External" /><Relationship Type="http://schemas.openxmlformats.org/officeDocument/2006/relationships/hyperlink" Id="rId136" Target="https://doi.org/10.1016/S0043-1354(99)00097-4" TargetMode="External" /><Relationship Type="http://schemas.openxmlformats.org/officeDocument/2006/relationships/hyperlink" Id="rId124" Target="https://doi.org/10.1016/j.envsoft.2017.06.022" TargetMode="External" /><Relationship Type="http://schemas.openxmlformats.org/officeDocument/2006/relationships/hyperlink" Id="rId126" Target="https://doi.org/10.1016/j.jhydrol.2006.04.046" TargetMode="External" /><Relationship Type="http://schemas.openxmlformats.org/officeDocument/2006/relationships/hyperlink" Id="rId134" Target="https://doi.org/10.1016/j.mex.2019.03.008" TargetMode="External" /><Relationship Type="http://schemas.openxmlformats.org/officeDocument/2006/relationships/hyperlink" Id="rId130" Target="https://doi.org/10.1016/j.proeng.2014.02.135" TargetMode="External" /><Relationship Type="http://schemas.openxmlformats.org/officeDocument/2006/relationships/hyperlink" Id="rId112" Target="https://doi.org/10.1029/2000WR900350" TargetMode="External" /><Relationship Type="http://schemas.openxmlformats.org/officeDocument/2006/relationships/hyperlink" Id="rId148" Target="https://doi.org/10.1029/2008WR006822" TargetMode="External" /><Relationship Type="http://schemas.openxmlformats.org/officeDocument/2006/relationships/hyperlink" Id="rId143" Target="https://doi.org/10.1061/(ASCE)0733-9372(1994)120:4(803)" TargetMode="External" /><Relationship Type="http://schemas.openxmlformats.org/officeDocument/2006/relationships/hyperlink" Id="rId128" Target="https://doi.org/10.1061/(ASCE)0733-9496(2003)129:2(124)" TargetMode="External" /><Relationship Type="http://schemas.openxmlformats.org/officeDocument/2006/relationships/hyperlink" Id="rId120" Target="https://doi.org/10.1061/(ASCE)WR.1943-5452.0000325" TargetMode="External" /><Relationship Type="http://schemas.openxmlformats.org/officeDocument/2006/relationships/hyperlink" Id="rId138" Target="https://doi.org/10.1061/(ASCE)WR.1943-5452.0001118" TargetMode="External" /><Relationship Type="http://schemas.openxmlformats.org/officeDocument/2006/relationships/hyperlink" Id="rId140" Target="https://doi.org/10.1093/bioinformatics/btp358" TargetMode="External" /><Relationship Type="http://schemas.openxmlformats.org/officeDocument/2006/relationships/hyperlink" Id="rId122" Target="https://doi.org/10.15131/shef.data.29921225" TargetMode="External" /><Relationship Type="http://schemas.openxmlformats.org/officeDocument/2006/relationships/hyperlink" Id="rId104" Target="https://doi.org/10.3390/engproc2024069144" TargetMode="External" /><Relationship Type="http://schemas.openxmlformats.org/officeDocument/2006/relationships/hyperlink" Id="rId114" Target="https://doi.org/10.3390/pr11030676" TargetMode="External" /><Relationship Type="http://schemas.openxmlformats.org/officeDocument/2006/relationships/hyperlink" Id="rId154" Target="https://doi.org/10.5194/hess-26-1203-2022" TargetMode="External" /><Relationship Type="http://schemas.openxmlformats.org/officeDocument/2006/relationships/hyperlink" Id="rId152" Target="https://usepa.github.io/WNTR/units.html" TargetMode="External" /></Relationships>
</file>

<file path=word/_rels/footnotes.xml.rels><?xml version="1.0" encoding="UTF-8"?><Relationships xmlns="http://schemas.openxmlformats.org/package/2006/relationships"><Relationship Type="http://schemas.openxmlformats.org/officeDocument/2006/relationships/hyperlink" Id="rId106" Target="https://claude.ai" TargetMode="External" /><Relationship Type="http://schemas.openxmlformats.org/officeDocument/2006/relationships/hyperlink" Id="rId110" Target="https://doi.org/10.1002/hyp.10082" TargetMode="External" /><Relationship Type="http://schemas.openxmlformats.org/officeDocument/2006/relationships/hyperlink" Id="rId108" Target="https://doi.org/10.1002/hyp.3360060305" TargetMode="External" /><Relationship Type="http://schemas.openxmlformats.org/officeDocument/2006/relationships/hyperlink" Id="rId150" Target="https://doi.org/10.1002/j.1551-8833.1997.tb08259.x" TargetMode="External" /><Relationship Type="http://schemas.openxmlformats.org/officeDocument/2006/relationships/hyperlink" Id="rId132" Target="https://doi.org/10.1006/jcom.1998.0487" TargetMode="External" /><Relationship Type="http://schemas.openxmlformats.org/officeDocument/2006/relationships/hyperlink" Id="rId146" Target="https://doi.org/10.1016/0041-5553(67)90144-9" TargetMode="External" /><Relationship Type="http://schemas.openxmlformats.org/officeDocument/2006/relationships/hyperlink" Id="rId116" Target="https://doi.org/10.1016/S0043-1354(02)00056-8" TargetMode="External" /><Relationship Type="http://schemas.openxmlformats.org/officeDocument/2006/relationships/hyperlink" Id="rId118" Target="https://doi.org/10.1016/S0043-1354(98)00519-3" TargetMode="External" /><Relationship Type="http://schemas.openxmlformats.org/officeDocument/2006/relationships/hyperlink" Id="rId136" Target="https://doi.org/10.1016/S0043-1354(99)00097-4" TargetMode="External" /><Relationship Type="http://schemas.openxmlformats.org/officeDocument/2006/relationships/hyperlink" Id="rId124" Target="https://doi.org/10.1016/j.envsoft.2017.06.022" TargetMode="External" /><Relationship Type="http://schemas.openxmlformats.org/officeDocument/2006/relationships/hyperlink" Id="rId126" Target="https://doi.org/10.1016/j.jhydrol.2006.04.046" TargetMode="External" /><Relationship Type="http://schemas.openxmlformats.org/officeDocument/2006/relationships/hyperlink" Id="rId134" Target="https://doi.org/10.1016/j.mex.2019.03.008" TargetMode="External" /><Relationship Type="http://schemas.openxmlformats.org/officeDocument/2006/relationships/hyperlink" Id="rId130" Target="https://doi.org/10.1016/j.proeng.2014.02.135" TargetMode="External" /><Relationship Type="http://schemas.openxmlformats.org/officeDocument/2006/relationships/hyperlink" Id="rId112" Target="https://doi.org/10.1029/2000WR900350" TargetMode="External" /><Relationship Type="http://schemas.openxmlformats.org/officeDocument/2006/relationships/hyperlink" Id="rId148" Target="https://doi.org/10.1029/2008WR006822" TargetMode="External" /><Relationship Type="http://schemas.openxmlformats.org/officeDocument/2006/relationships/hyperlink" Id="rId143" Target="https://doi.org/10.1061/(ASCE)0733-9372(1994)120:4(803)" TargetMode="External" /><Relationship Type="http://schemas.openxmlformats.org/officeDocument/2006/relationships/hyperlink" Id="rId128" Target="https://doi.org/10.1061/(ASCE)0733-9496(2003)129:2(124)" TargetMode="External" /><Relationship Type="http://schemas.openxmlformats.org/officeDocument/2006/relationships/hyperlink" Id="rId120" Target="https://doi.org/10.1061/(ASCE)WR.1943-5452.0000325" TargetMode="External" /><Relationship Type="http://schemas.openxmlformats.org/officeDocument/2006/relationships/hyperlink" Id="rId138" Target="https://doi.org/10.1061/(ASCE)WR.1943-5452.0001118" TargetMode="External" /><Relationship Type="http://schemas.openxmlformats.org/officeDocument/2006/relationships/hyperlink" Id="rId140" Target="https://doi.org/10.1093/bioinformatics/btp358" TargetMode="External" /><Relationship Type="http://schemas.openxmlformats.org/officeDocument/2006/relationships/hyperlink" Id="rId122" Target="https://doi.org/10.15131/shef.data.29921225" TargetMode="External" /><Relationship Type="http://schemas.openxmlformats.org/officeDocument/2006/relationships/hyperlink" Id="rId104" Target="https://doi.org/10.3390/engproc2024069144" TargetMode="External" /><Relationship Type="http://schemas.openxmlformats.org/officeDocument/2006/relationships/hyperlink" Id="rId114" Target="https://doi.org/10.3390/pr11030676" TargetMode="External" /><Relationship Type="http://schemas.openxmlformats.org/officeDocument/2006/relationships/hyperlink" Id="rId154" Target="https://doi.org/10.5194/hess-26-1203-2022" TargetMode="External" /><Relationship Type="http://schemas.openxmlformats.org/officeDocument/2006/relationships/hyperlink" Id="rId152" Target="https://usepa.github.io/WNTR/unit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Parameter Identifiability to Operational Risk: Uncertainty-Aware Calibration of Grouped Chlorine Wall Decay in EPANET Net3</dc:title>
  <dc:creator>Ruixin Peng</dc:creator>
  <dc:language>en-GB</dc:language>
  <cp:keywords/>
  <dcterms:created xsi:type="dcterms:W3CDTF">2026-08-12T19:07:07Z</dcterms:created>
  <dcterms:modified xsi:type="dcterms:W3CDTF">2026-08-12T19:07:07Z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refs.bib</vt:lpwstr>
  </property>
  <property fmtid="{D5CDD505-2E9C-101B-9397-08002B2CF9AE}" pid="3" name="csl">
    <vt:lpwstr>./imperial-harvard.csl</vt:lpwstr>
  </property>
  <property fmtid="{D5CDD505-2E9C-101B-9397-08002B2CF9AE}" pid="4" name="date">
    <vt:lpwstr>August 2026</vt:lpwstr>
  </property>
</Properties>
</file>