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Townhouse Development</w:t>
      </w:r>
    </w:p>
    <w:p>
      <w:pPr>
        <w:spacing w:after="120"/>
      </w:pPr>
      <w:r>
        <w:rPr>
          <w:i/>
          <w:color w:val="7A7A7A"/>
          <w:sz w:val="20"/>
        </w:rPr>
        <w:t>Feasibility assessment  ·  13 September 2026</w:t>
      </w:r>
    </w:p>
    <w:tbl>
      <w:tblPr>
        <w:tblStyle w:val="TableGrid"/>
        <w:tblW w:type="auto" w:w="0"/>
        <w:tblLook w:firstColumn="1" w:firstRow="1" w:lastColumn="0" w:lastRow="0" w:noHBand="0" w:noVBand="1" w:val="04A0"/>
      </w:tblPr>
      <w:tblGrid>
        <w:gridCol w:w="9638"/>
      </w:tblGrid>
      <w:tr>
        <w:tc>
          <w:tcPr>
            <w:tcW w:type="dxa" w:w="9638"/>
            <w:shd w:val="clear" w:fill="F6D5D2"/>
          </w:tcPr>
          <w:p>
            <w:pPr>
              <w:spacing w:before="40" w:after="40"/>
              <w:jc w:val="center"/>
            </w:pPr>
            <w:r/>
            <w:r>
              <w:rPr>
                <w:b/>
                <w:color w:val="B3261E"/>
                <w:sz w:val="36"/>
              </w:rPr>
              <w:t>BELOW THRESHOLD</w:t>
            </w:r>
          </w:p>
        </w:tc>
      </w:tr>
    </w:tbl>
    <w:p>
      <w:pPr>
        <w:spacing w:after="120"/>
      </w:pPr>
      <w:r>
        <w:rPr>
          <w:i w:val="0"/>
          <w:color w:val="1A1A1A"/>
          <w:sz w:val="19"/>
        </w:rPr>
      </w:r>
    </w:p>
    <w:tbl>
      <w:tblPr>
        <w:tblStyle w:val="TableGrid"/>
        <w:tblW w:type="auto" w:w="0"/>
        <w:jc w:val="left"/>
        <w:tblLook w:firstColumn="1" w:firstRow="1" w:lastColumn="0" w:lastRow="0" w:noHBand="0" w:noVBand="1" w:val="04A0"/>
      </w:tblPr>
      <w:tblGrid>
        <w:gridCol w:w="4819"/>
        <w:gridCol w:w="4819"/>
      </w:tblGrid>
      <w:tr>
        <w:tc>
          <w:tcPr>
            <w:tcW w:type="dxa" w:w="4535"/>
            <w:shd w:val="clear" w:fill="F4F6F9"/>
          </w:tcPr>
          <w:p>
            <w:pPr>
              <w:spacing w:before="40" w:after="40"/>
            </w:pPr>
            <w:r/>
            <w:r>
              <w:rPr>
                <w:b w:val="0"/>
                <w:color w:val="1A1A1A"/>
                <w:sz w:val="18"/>
              </w:rPr>
              <w:t>Net profit</w:t>
            </w:r>
          </w:p>
        </w:tc>
        <w:tc>
          <w:tcPr>
            <w:tcW w:type="dxa" w:w="2835"/>
          </w:tcPr>
          <w:p>
            <w:pPr>
              <w:spacing w:before="40" w:after="40"/>
              <w:jc w:val="right"/>
            </w:pPr>
            <w:r/>
            <w:r>
              <w:rPr>
                <w:b/>
                <w:color w:val="1A1A1A"/>
                <w:sz w:val="18"/>
              </w:rPr>
              <w:t>$962,694</w:t>
            </w:r>
          </w:p>
        </w:tc>
      </w:tr>
      <w:tr>
        <w:tc>
          <w:tcPr>
            <w:tcW w:type="dxa" w:w="4535"/>
            <w:shd w:val="clear" w:fill="F4F6F9"/>
          </w:tcPr>
          <w:p>
            <w:pPr>
              <w:spacing w:before="40" w:after="40"/>
            </w:pPr>
            <w:r/>
            <w:r>
              <w:rPr>
                <w:b w:val="0"/>
                <w:color w:val="1A1A1A"/>
                <w:sz w:val="18"/>
              </w:rPr>
              <w:t>Profit on cost</w:t>
            </w:r>
          </w:p>
        </w:tc>
        <w:tc>
          <w:tcPr>
            <w:tcW w:type="dxa" w:w="2835"/>
          </w:tcPr>
          <w:p>
            <w:pPr>
              <w:spacing w:before="40" w:after="40"/>
              <w:jc w:val="right"/>
            </w:pPr>
            <w:r/>
            <w:r>
              <w:rPr>
                <w:b/>
                <w:color w:val="1A1A1A"/>
                <w:sz w:val="18"/>
              </w:rPr>
              <w:t>11.8%</w:t>
            </w:r>
          </w:p>
        </w:tc>
      </w:tr>
      <w:tr>
        <w:tc>
          <w:tcPr>
            <w:tcW w:type="dxa" w:w="4535"/>
            <w:shd w:val="clear" w:fill="F4F6F9"/>
          </w:tcPr>
          <w:p>
            <w:pPr>
              <w:spacing w:before="40" w:after="40"/>
            </w:pPr>
            <w:r/>
            <w:r>
              <w:rPr>
                <w:b w:val="0"/>
                <w:color w:val="1A1A1A"/>
                <w:sz w:val="18"/>
              </w:rPr>
              <w:t>Threshold applied</w:t>
            </w:r>
          </w:p>
        </w:tc>
        <w:tc>
          <w:tcPr>
            <w:tcW w:type="dxa" w:w="2835"/>
          </w:tcPr>
          <w:p>
            <w:pPr>
              <w:spacing w:before="40" w:after="40"/>
              <w:jc w:val="right"/>
            </w:pPr>
            <w:r/>
            <w:r>
              <w:rPr>
                <w:b/>
                <w:color w:val="1A1A1A"/>
                <w:sz w:val="18"/>
              </w:rPr>
              <w:t>25%</w:t>
            </w:r>
          </w:p>
        </w:tc>
      </w:tr>
      <w:tr>
        <w:tc>
          <w:tcPr>
            <w:tcW w:type="dxa" w:w="4535"/>
            <w:shd w:val="clear" w:fill="F4F6F9"/>
          </w:tcPr>
          <w:p>
            <w:pPr>
              <w:spacing w:before="40" w:after="40"/>
            </w:pPr>
            <w:r/>
            <w:r>
              <w:rPr>
                <w:b w:val="0"/>
                <w:color w:val="1A1A1A"/>
                <w:sz w:val="18"/>
              </w:rPr>
              <w:t>Total cost</w:t>
            </w:r>
          </w:p>
        </w:tc>
        <w:tc>
          <w:tcPr>
            <w:tcW w:type="dxa" w:w="2835"/>
          </w:tcPr>
          <w:p>
            <w:pPr>
              <w:spacing w:before="40" w:after="40"/>
              <w:jc w:val="right"/>
            </w:pPr>
            <w:r/>
            <w:r>
              <w:rPr>
                <w:b/>
                <w:color w:val="1A1A1A"/>
                <w:sz w:val="18"/>
              </w:rPr>
              <w:t>$8,171,106</w:t>
            </w:r>
          </w:p>
        </w:tc>
      </w:tr>
      <w:tr>
        <w:tc>
          <w:tcPr>
            <w:tcW w:type="dxa" w:w="4535"/>
            <w:shd w:val="clear" w:fill="F4F6F9"/>
          </w:tcPr>
          <w:p>
            <w:pPr>
              <w:spacing w:before="40" w:after="40"/>
            </w:pPr>
            <w:r/>
            <w:r>
              <w:rPr>
                <w:b w:val="0"/>
                <w:color w:val="1A1A1A"/>
                <w:sz w:val="18"/>
              </w:rPr>
              <w:t>Gross realisation</w:t>
            </w:r>
          </w:p>
        </w:tc>
        <w:tc>
          <w:tcPr>
            <w:tcW w:type="dxa" w:w="2835"/>
          </w:tcPr>
          <w:p>
            <w:pPr>
              <w:spacing w:before="40" w:after="40"/>
              <w:jc w:val="right"/>
            </w:pPr>
            <w:r/>
            <w:r>
              <w:rPr>
                <w:b/>
                <w:color w:val="1A1A1A"/>
                <w:sz w:val="18"/>
              </w:rPr>
              <w:t>$9,368,000</w:t>
            </w:r>
          </w:p>
        </w:tc>
      </w:tr>
      <w:tr>
        <w:tc>
          <w:tcPr>
            <w:tcW w:type="dxa" w:w="4535"/>
            <w:shd w:val="clear" w:fill="F4F6F9"/>
          </w:tcPr>
          <w:p>
            <w:pPr>
              <w:spacing w:before="40" w:after="40"/>
            </w:pPr>
            <w:r/>
            <w:r>
              <w:rPr>
                <w:b w:val="0"/>
                <w:color w:val="1A1A1A"/>
                <w:sz w:val="18"/>
              </w:rPr>
              <w:t>Net realisation</w:t>
            </w:r>
          </w:p>
        </w:tc>
        <w:tc>
          <w:tcPr>
            <w:tcW w:type="dxa" w:w="2835"/>
          </w:tcPr>
          <w:p>
            <w:pPr>
              <w:spacing w:before="40" w:after="40"/>
              <w:jc w:val="right"/>
            </w:pPr>
            <w:r/>
            <w:r>
              <w:rPr>
                <w:b/>
                <w:color w:val="1A1A1A"/>
                <w:sz w:val="18"/>
              </w:rPr>
              <w:t>$9,133,800</w:t>
            </w:r>
          </w:p>
        </w:tc>
      </w:tr>
    </w:tbl>
    <w:p>
      <w:pPr>
        <w:jc w:val="center"/>
      </w:pPr>
      <w:r>
        <w:drawing>
          <wp:inline xmlns:a="http://schemas.openxmlformats.org/drawingml/2006/main" xmlns:pic="http://schemas.openxmlformats.org/drawingml/2006/picture">
            <wp:extent cx="5940000" cy="1046525"/>
            <wp:docPr id="1" name="Picture 1"/>
            <wp:cNvGraphicFramePr>
              <a:graphicFrameLocks noChangeAspect="1"/>
            </wp:cNvGraphicFramePr>
            <a:graphic>
              <a:graphicData uri="http://schemas.openxmlformats.org/drawingml/2006/picture">
                <pic:pic>
                  <pic:nvPicPr>
                    <pic:cNvPr id="0" name="margin_Townhouse.png"/>
                    <pic:cNvPicPr/>
                  </pic:nvPicPr>
                  <pic:blipFill>
                    <a:blip r:embed="rId11"/>
                    <a:stretch>
                      <a:fillRect/>
                    </a:stretch>
                  </pic:blipFill>
                  <pic:spPr>
                    <a:xfrm>
                      <a:off x="0" y="0"/>
                      <a:ext cx="5940000" cy="1046525"/>
                    </a:xfrm>
                    <a:prstGeom prst="rect"/>
                  </pic:spPr>
                </pic:pic>
              </a:graphicData>
            </a:graphic>
          </wp:inline>
        </w:drawing>
      </w:r>
    </w:p>
    <w:p>
      <w:pPr>
        <w:spacing w:after="120"/>
      </w:pPr>
      <w:r>
        <w:rPr>
          <w:i w:val="0"/>
          <w:color w:val="1A1A1A"/>
          <w:sz w:val="19"/>
        </w:rPr>
        <w:t>The scheme returns 11.8% on cost against a 25% threshold — 13.2 percentage points below the bar. Net profit is $962,694 on a total cost of $8,171,106.</w:t>
      </w:r>
    </w:p>
    <w:p>
      <w:r>
        <w:br w:type="page"/>
      </w:r>
    </w:p>
    <w:p>
      <w:pPr>
        <w:spacing w:before="320" w:after="120"/>
      </w:pPr>
      <w:r>
        <w:rPr>
          <w:b/>
          <w:color w:val="1F3A5F"/>
          <w:sz w:val="26"/>
        </w:rPr>
        <w:t>1. The deal as entered</w:t>
      </w:r>
    </w:p>
    <w:tbl>
      <w:tblPr>
        <w:tblStyle w:val="TableGrid"/>
        <w:tblW w:type="auto" w:w="0"/>
        <w:jc w:val="left"/>
        <w:tblLook w:firstColumn="1" w:firstRow="1" w:lastColumn="0" w:lastRow="0" w:noHBand="0" w:noVBand="1" w:val="04A0"/>
      </w:tblPr>
      <w:tblGrid>
        <w:gridCol w:w="4819"/>
        <w:gridCol w:w="4819"/>
      </w:tblGrid>
      <w:tr>
        <w:tc>
          <w:tcPr>
            <w:tcW w:type="dxa" w:w="4535"/>
            <w:shd w:val="clear" w:fill="F4F6F9"/>
          </w:tcPr>
          <w:p>
            <w:pPr>
              <w:spacing w:before="40" w:after="40"/>
            </w:pPr>
            <w:r/>
            <w:r>
              <w:rPr>
                <w:b w:val="0"/>
                <w:color w:val="1A1A1A"/>
                <w:sz w:val="18"/>
              </w:rPr>
              <w:t>Average raw land value (per lot)</w:t>
            </w:r>
          </w:p>
        </w:tc>
        <w:tc>
          <w:tcPr>
            <w:tcW w:type="dxa" w:w="2835"/>
          </w:tcPr>
          <w:p>
            <w:pPr>
              <w:spacing w:before="40" w:after="40"/>
              <w:jc w:val="right"/>
            </w:pPr>
            <w:r/>
            <w:r>
              <w:rPr>
                <w:b/>
                <w:color w:val="1A1A1A"/>
                <w:sz w:val="18"/>
              </w:rPr>
              <w:t>$450,000</w:t>
            </w:r>
          </w:p>
        </w:tc>
      </w:tr>
      <w:tr>
        <w:tc>
          <w:tcPr>
            <w:tcW w:type="dxa" w:w="4535"/>
            <w:shd w:val="clear" w:fill="F4F6F9"/>
          </w:tcPr>
          <w:p>
            <w:pPr>
              <w:spacing w:before="40" w:after="40"/>
            </w:pPr>
            <w:r/>
            <w:r>
              <w:rPr>
                <w:b w:val="0"/>
                <w:color w:val="1A1A1A"/>
                <w:sz w:val="18"/>
              </w:rPr>
              <w:t>Average retail value (per dwelling)</w:t>
            </w:r>
          </w:p>
        </w:tc>
        <w:tc>
          <w:tcPr>
            <w:tcW w:type="dxa" w:w="2835"/>
          </w:tcPr>
          <w:p>
            <w:pPr>
              <w:spacing w:before="40" w:after="40"/>
              <w:jc w:val="right"/>
            </w:pPr>
            <w:r/>
            <w:r>
              <w:rPr>
                <w:b/>
                <w:color w:val="1A1A1A"/>
                <w:sz w:val="18"/>
              </w:rPr>
              <w:t>$1,171,000</w:t>
            </w:r>
          </w:p>
        </w:tc>
      </w:tr>
      <w:tr>
        <w:tc>
          <w:tcPr>
            <w:tcW w:type="dxa" w:w="4535"/>
            <w:shd w:val="clear" w:fill="F4F6F9"/>
          </w:tcPr>
          <w:p>
            <w:pPr>
              <w:spacing w:before="40" w:after="40"/>
            </w:pPr>
            <w:r/>
            <w:r>
              <w:rPr>
                <w:b w:val="0"/>
                <w:color w:val="1A1A1A"/>
                <w:sz w:val="18"/>
              </w:rPr>
              <w:t>Number of dwellings</w:t>
            </w:r>
          </w:p>
        </w:tc>
        <w:tc>
          <w:tcPr>
            <w:tcW w:type="dxa" w:w="2835"/>
          </w:tcPr>
          <w:p>
            <w:pPr>
              <w:spacing w:before="40" w:after="40"/>
              <w:jc w:val="right"/>
            </w:pPr>
            <w:r/>
            <w:r>
              <w:rPr>
                <w:b/>
                <w:color w:val="1A1A1A"/>
                <w:sz w:val="18"/>
              </w:rPr>
              <w:t>8</w:t>
            </w:r>
          </w:p>
        </w:tc>
      </w:tr>
      <w:tr>
        <w:tc>
          <w:tcPr>
            <w:tcW w:type="dxa" w:w="4535"/>
            <w:shd w:val="clear" w:fill="F4F6F9"/>
          </w:tcPr>
          <w:p>
            <w:pPr>
              <w:spacing w:before="40" w:after="40"/>
            </w:pPr>
            <w:r/>
            <w:r>
              <w:rPr>
                <w:b w:val="0"/>
                <w:color w:val="1A1A1A"/>
                <w:sz w:val="18"/>
              </w:rPr>
              <w:t>Build cost per dwelling</w:t>
            </w:r>
          </w:p>
        </w:tc>
        <w:tc>
          <w:tcPr>
            <w:tcW w:type="dxa" w:w="2835"/>
          </w:tcPr>
          <w:p>
            <w:pPr>
              <w:spacing w:before="40" w:after="40"/>
              <w:jc w:val="right"/>
            </w:pPr>
            <w:r/>
            <w:r>
              <w:rPr>
                <w:b/>
                <w:color w:val="1A1A1A"/>
                <w:sz w:val="18"/>
              </w:rPr>
              <w:t>$395,000</w:t>
            </w:r>
          </w:p>
        </w:tc>
      </w:tr>
      <w:tr>
        <w:tc>
          <w:tcPr>
            <w:tcW w:type="dxa" w:w="4535"/>
            <w:shd w:val="clear" w:fill="F4F6F9"/>
          </w:tcPr>
          <w:p>
            <w:pPr>
              <w:spacing w:before="40" w:after="40"/>
            </w:pPr>
            <w:r/>
            <w:r>
              <w:rPr>
                <w:b w:val="0"/>
                <w:color w:val="1A1A1A"/>
                <w:sz w:val="18"/>
              </w:rPr>
              <w:t>Council contributions per dwelling</w:t>
            </w:r>
          </w:p>
        </w:tc>
        <w:tc>
          <w:tcPr>
            <w:tcW w:type="dxa" w:w="2835"/>
          </w:tcPr>
          <w:p>
            <w:pPr>
              <w:spacing w:before="40" w:after="40"/>
              <w:jc w:val="right"/>
            </w:pPr>
            <w:r/>
            <w:r>
              <w:rPr>
                <w:b/>
                <w:color w:val="1A1A1A"/>
                <w:sz w:val="18"/>
              </w:rPr>
              <w:t>$34,000</w:t>
            </w:r>
          </w:p>
        </w:tc>
      </w:tr>
      <w:tr>
        <w:tc>
          <w:tcPr>
            <w:tcW w:type="dxa" w:w="4535"/>
            <w:shd w:val="clear" w:fill="F4F6F9"/>
          </w:tcPr>
          <w:p>
            <w:pPr>
              <w:spacing w:before="40" w:after="40"/>
            </w:pPr>
            <w:r/>
            <w:r>
              <w:rPr>
                <w:b w:val="0"/>
                <w:color w:val="1A1A1A"/>
                <w:sz w:val="18"/>
              </w:rPr>
              <w:t>Stamp duty</w:t>
            </w:r>
          </w:p>
        </w:tc>
        <w:tc>
          <w:tcPr>
            <w:tcW w:type="dxa" w:w="2835"/>
          </w:tcPr>
          <w:p>
            <w:pPr>
              <w:spacing w:before="40" w:after="40"/>
              <w:jc w:val="right"/>
            </w:pPr>
            <w:r/>
            <w:r>
              <w:rPr>
                <w:b/>
                <w:color w:val="1A1A1A"/>
                <w:sz w:val="18"/>
              </w:rPr>
              <w:t>5.5%</w:t>
            </w:r>
          </w:p>
        </w:tc>
      </w:tr>
      <w:tr>
        <w:tc>
          <w:tcPr>
            <w:tcW w:type="dxa" w:w="4535"/>
            <w:shd w:val="clear" w:fill="F4F6F9"/>
          </w:tcPr>
          <w:p>
            <w:pPr>
              <w:spacing w:before="40" w:after="40"/>
            </w:pPr>
            <w:r/>
            <w:r>
              <w:rPr>
                <w:b w:val="0"/>
                <w:color w:val="1A1A1A"/>
                <w:sz w:val="18"/>
              </w:rPr>
              <w:t>Professional fees</w:t>
            </w:r>
          </w:p>
        </w:tc>
        <w:tc>
          <w:tcPr>
            <w:tcW w:type="dxa" w:w="2835"/>
          </w:tcPr>
          <w:p>
            <w:pPr>
              <w:spacing w:before="40" w:after="40"/>
              <w:jc w:val="right"/>
            </w:pPr>
            <w:r/>
            <w:r>
              <w:rPr>
                <w:b/>
                <w:color w:val="1A1A1A"/>
                <w:sz w:val="18"/>
              </w:rPr>
              <w:t>8.0%</w:t>
            </w:r>
          </w:p>
        </w:tc>
      </w:tr>
      <w:tr>
        <w:tc>
          <w:tcPr>
            <w:tcW w:type="dxa" w:w="4535"/>
            <w:shd w:val="clear" w:fill="F4F6F9"/>
          </w:tcPr>
          <w:p>
            <w:pPr>
              <w:spacing w:before="40" w:after="40"/>
            </w:pPr>
            <w:r/>
            <w:r>
              <w:rPr>
                <w:b w:val="0"/>
                <w:color w:val="1A1A1A"/>
                <w:sz w:val="18"/>
              </w:rPr>
              <w:t>Contingency</w:t>
            </w:r>
          </w:p>
        </w:tc>
        <w:tc>
          <w:tcPr>
            <w:tcW w:type="dxa" w:w="2835"/>
          </w:tcPr>
          <w:p>
            <w:pPr>
              <w:spacing w:before="40" w:after="40"/>
              <w:jc w:val="right"/>
            </w:pPr>
            <w:r/>
            <w:r>
              <w:rPr>
                <w:b/>
                <w:color w:val="1A1A1A"/>
                <w:sz w:val="18"/>
              </w:rPr>
              <w:t>6.0%</w:t>
            </w:r>
          </w:p>
        </w:tc>
      </w:tr>
      <w:tr>
        <w:tc>
          <w:tcPr>
            <w:tcW w:type="dxa" w:w="4535"/>
            <w:shd w:val="clear" w:fill="F4F6F9"/>
          </w:tcPr>
          <w:p>
            <w:pPr>
              <w:spacing w:before="40" w:after="40"/>
            </w:pPr>
            <w:r/>
            <w:r>
              <w:rPr>
                <w:b w:val="0"/>
                <w:color w:val="1A1A1A"/>
                <w:sz w:val="18"/>
              </w:rPr>
              <w:t>Selling costs</w:t>
            </w:r>
          </w:p>
        </w:tc>
        <w:tc>
          <w:tcPr>
            <w:tcW w:type="dxa" w:w="2835"/>
          </w:tcPr>
          <w:p>
            <w:pPr>
              <w:spacing w:before="40" w:after="40"/>
              <w:jc w:val="right"/>
            </w:pPr>
            <w:r/>
            <w:r>
              <w:rPr>
                <w:b/>
                <w:color w:val="1A1A1A"/>
                <w:sz w:val="18"/>
              </w:rPr>
              <w:t>2.5%</w:t>
            </w:r>
          </w:p>
        </w:tc>
      </w:tr>
      <w:tr>
        <w:tc>
          <w:tcPr>
            <w:tcW w:type="dxa" w:w="4535"/>
            <w:shd w:val="clear" w:fill="F4F6F9"/>
          </w:tcPr>
          <w:p>
            <w:pPr>
              <w:spacing w:before="40" w:after="40"/>
            </w:pPr>
            <w:r/>
            <w:r>
              <w:rPr>
                <w:b w:val="0"/>
                <w:color w:val="1A1A1A"/>
                <w:sz w:val="18"/>
              </w:rPr>
              <w:t>Finance costs</w:t>
            </w:r>
          </w:p>
        </w:tc>
        <w:tc>
          <w:tcPr>
            <w:tcW w:type="dxa" w:w="2835"/>
          </w:tcPr>
          <w:p>
            <w:pPr>
              <w:spacing w:before="40" w:after="40"/>
              <w:jc w:val="right"/>
            </w:pPr>
            <w:r/>
            <w:r>
              <w:rPr>
                <w:b/>
                <w:color w:val="1A1A1A"/>
                <w:sz w:val="18"/>
              </w:rPr>
              <w:t>6.5%</w:t>
            </w:r>
          </w:p>
        </w:tc>
      </w:tr>
    </w:tbl>
    <w:p>
      <w:pPr>
        <w:spacing w:before="200" w:after="120"/>
      </w:pPr>
      <w:r>
        <w:rPr>
          <w:b/>
          <w:color w:val="1A1A1A"/>
          <w:sz w:val="21"/>
        </w:rPr>
        <w:t>1.1 Comparables used</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A5F"/>
          </w:tcPr>
          <w:p>
            <w:pPr>
              <w:spacing w:before="40" w:after="40"/>
              <w:jc w:val="center"/>
            </w:pPr>
            <w:r/>
            <w:r>
              <w:rPr>
                <w:b/>
                <w:color w:val="FFFFFF"/>
                <w:sz w:val="18"/>
              </w:rPr>
              <w:t>#</w:t>
            </w:r>
          </w:p>
        </w:tc>
        <w:tc>
          <w:tcPr>
            <w:tcW w:type="dxa" w:w="3213"/>
            <w:shd w:val="clear" w:fill="1F3A5F"/>
          </w:tcPr>
          <w:p>
            <w:pPr>
              <w:spacing w:before="40" w:after="40"/>
              <w:jc w:val="center"/>
            </w:pPr>
            <w:r/>
            <w:r>
              <w:rPr>
                <w:b/>
                <w:color w:val="FFFFFF"/>
                <w:sz w:val="18"/>
              </w:rPr>
              <w:t>Raw land</w:t>
            </w:r>
          </w:p>
        </w:tc>
        <w:tc>
          <w:tcPr>
            <w:tcW w:type="dxa" w:w="3213"/>
            <w:shd w:val="clear" w:fill="1F3A5F"/>
          </w:tcPr>
          <w:p>
            <w:pPr>
              <w:spacing w:before="40" w:after="40"/>
              <w:jc w:val="center"/>
            </w:pPr>
            <w:r/>
            <w:r>
              <w:rPr>
                <w:b/>
                <w:color w:val="FFFFFF"/>
                <w:sz w:val="18"/>
              </w:rPr>
              <w:t>Retail</w:t>
            </w:r>
          </w:p>
        </w:tc>
      </w:tr>
      <w:tr>
        <w:tc>
          <w:tcPr>
            <w:tcW w:type="dxa" w:w="3213"/>
          </w:tcPr>
          <w:p>
            <w:pPr>
              <w:spacing w:before="40" w:after="40"/>
              <w:jc w:val="center"/>
            </w:pPr>
            <w:r/>
            <w:r>
              <w:rPr>
                <w:b w:val="0"/>
                <w:color w:val="1A1A1A"/>
                <w:sz w:val="18"/>
              </w:rPr>
              <w:t>1</w:t>
            </w:r>
          </w:p>
        </w:tc>
        <w:tc>
          <w:tcPr>
            <w:tcW w:type="dxa" w:w="3213"/>
          </w:tcPr>
          <w:p>
            <w:pPr>
              <w:spacing w:before="40" w:after="40"/>
              <w:jc w:val="right"/>
            </w:pPr>
            <w:r/>
            <w:r>
              <w:rPr>
                <w:b w:val="0"/>
                <w:color w:val="1A1A1A"/>
                <w:sz w:val="18"/>
              </w:rPr>
              <w:t>$442,000</w:t>
            </w:r>
          </w:p>
        </w:tc>
        <w:tc>
          <w:tcPr>
            <w:tcW w:type="dxa" w:w="3213"/>
          </w:tcPr>
          <w:p>
            <w:pPr>
              <w:spacing w:before="40" w:after="40"/>
              <w:jc w:val="right"/>
            </w:pPr>
            <w:r/>
            <w:r>
              <w:rPr>
                <w:b w:val="0"/>
                <w:color w:val="1A1A1A"/>
                <w:sz w:val="18"/>
              </w:rPr>
              <w:t>$1,160,000</w:t>
            </w:r>
          </w:p>
        </w:tc>
      </w:tr>
      <w:tr>
        <w:tc>
          <w:tcPr>
            <w:tcW w:type="dxa" w:w="3213"/>
          </w:tcPr>
          <w:p>
            <w:pPr>
              <w:spacing w:before="40" w:after="40"/>
              <w:jc w:val="center"/>
            </w:pPr>
            <w:r/>
            <w:r>
              <w:rPr>
                <w:b w:val="0"/>
                <w:color w:val="1A1A1A"/>
                <w:sz w:val="18"/>
              </w:rPr>
              <w:t>2</w:t>
            </w:r>
          </w:p>
        </w:tc>
        <w:tc>
          <w:tcPr>
            <w:tcW w:type="dxa" w:w="3213"/>
          </w:tcPr>
          <w:p>
            <w:pPr>
              <w:spacing w:before="40" w:after="40"/>
              <w:jc w:val="right"/>
            </w:pPr>
            <w:r/>
            <w:r>
              <w:rPr>
                <w:b w:val="0"/>
                <w:color w:val="1A1A1A"/>
                <w:sz w:val="18"/>
              </w:rPr>
              <w:t>$455,000</w:t>
            </w:r>
          </w:p>
        </w:tc>
        <w:tc>
          <w:tcPr>
            <w:tcW w:type="dxa" w:w="3213"/>
          </w:tcPr>
          <w:p>
            <w:pPr>
              <w:spacing w:before="40" w:after="40"/>
              <w:jc w:val="right"/>
            </w:pPr>
            <w:r/>
            <w:r>
              <w:rPr>
                <w:b w:val="0"/>
                <w:color w:val="1A1A1A"/>
                <w:sz w:val="18"/>
              </w:rPr>
              <w:t>$1,178,000</w:t>
            </w:r>
          </w:p>
        </w:tc>
      </w:tr>
      <w:tr>
        <w:tc>
          <w:tcPr>
            <w:tcW w:type="dxa" w:w="3213"/>
          </w:tcPr>
          <w:p>
            <w:pPr>
              <w:spacing w:before="40" w:after="40"/>
              <w:jc w:val="center"/>
            </w:pPr>
            <w:r/>
            <w:r>
              <w:rPr>
                <w:b w:val="0"/>
                <w:color w:val="1A1A1A"/>
                <w:sz w:val="18"/>
              </w:rPr>
              <w:t>3</w:t>
            </w:r>
          </w:p>
        </w:tc>
        <w:tc>
          <w:tcPr>
            <w:tcW w:type="dxa" w:w="3213"/>
          </w:tcPr>
          <w:p>
            <w:pPr>
              <w:spacing w:before="40" w:after="40"/>
              <w:jc w:val="right"/>
            </w:pPr>
            <w:r/>
            <w:r>
              <w:rPr>
                <w:b w:val="0"/>
                <w:color w:val="1A1A1A"/>
                <w:sz w:val="18"/>
              </w:rPr>
              <w:t>$448,000</w:t>
            </w:r>
          </w:p>
        </w:tc>
        <w:tc>
          <w:tcPr>
            <w:tcW w:type="dxa" w:w="3213"/>
          </w:tcPr>
          <w:p>
            <w:pPr>
              <w:spacing w:before="40" w:after="40"/>
              <w:jc w:val="right"/>
            </w:pPr>
            <w:r/>
            <w:r>
              <w:rPr>
                <w:b w:val="0"/>
                <w:color w:val="1A1A1A"/>
                <w:sz w:val="18"/>
              </w:rPr>
              <w:t>$1,165,000</w:t>
            </w:r>
          </w:p>
        </w:tc>
      </w:tr>
      <w:tr>
        <w:tc>
          <w:tcPr>
            <w:tcW w:type="dxa" w:w="3213"/>
          </w:tcPr>
          <w:p>
            <w:pPr>
              <w:spacing w:before="40" w:after="40"/>
              <w:jc w:val="center"/>
            </w:pPr>
            <w:r/>
            <w:r>
              <w:rPr>
                <w:b w:val="0"/>
                <w:color w:val="1A1A1A"/>
                <w:sz w:val="18"/>
              </w:rPr>
              <w:t>4</w:t>
            </w:r>
          </w:p>
        </w:tc>
        <w:tc>
          <w:tcPr>
            <w:tcW w:type="dxa" w:w="3213"/>
          </w:tcPr>
          <w:p>
            <w:pPr>
              <w:spacing w:before="40" w:after="40"/>
              <w:jc w:val="right"/>
            </w:pPr>
            <w:r/>
            <w:r>
              <w:rPr>
                <w:b w:val="0"/>
                <w:color w:val="1A1A1A"/>
                <w:sz w:val="18"/>
              </w:rPr>
              <w:t>$455,000</w:t>
            </w:r>
          </w:p>
        </w:tc>
        <w:tc>
          <w:tcPr>
            <w:tcW w:type="dxa" w:w="3213"/>
          </w:tcPr>
          <w:p>
            <w:pPr>
              <w:spacing w:before="40" w:after="40"/>
              <w:jc w:val="right"/>
            </w:pPr>
            <w:r/>
            <w:r>
              <w:rPr>
                <w:b w:val="0"/>
                <w:color w:val="1A1A1A"/>
                <w:sz w:val="18"/>
              </w:rPr>
              <w:t>$1,181,000</w:t>
            </w:r>
          </w:p>
        </w:tc>
      </w:tr>
      <w:tr>
        <w:tc>
          <w:tcPr>
            <w:tcW w:type="dxa" w:w="3213"/>
            <w:shd w:val="clear" w:fill="F4F6F9"/>
          </w:tcPr>
          <w:p>
            <w:pPr>
              <w:spacing w:before="40" w:after="40"/>
              <w:jc w:val="center"/>
            </w:pPr>
            <w:r/>
            <w:r>
              <w:rPr>
                <w:b/>
                <w:color w:val="1A1A1A"/>
                <w:sz w:val="18"/>
              </w:rPr>
              <w:t>avg</w:t>
            </w:r>
          </w:p>
        </w:tc>
        <w:tc>
          <w:tcPr>
            <w:tcW w:type="dxa" w:w="3213"/>
            <w:shd w:val="clear" w:fill="F4F6F9"/>
          </w:tcPr>
          <w:p>
            <w:pPr>
              <w:spacing w:before="40" w:after="40"/>
              <w:jc w:val="right"/>
            </w:pPr>
            <w:r/>
            <w:r>
              <w:rPr>
                <w:b/>
                <w:color w:val="1A1A1A"/>
                <w:sz w:val="18"/>
              </w:rPr>
              <w:t>$450,000</w:t>
            </w:r>
          </w:p>
        </w:tc>
        <w:tc>
          <w:tcPr>
            <w:tcW w:type="dxa" w:w="3213"/>
            <w:shd w:val="clear" w:fill="F4F6F9"/>
          </w:tcPr>
          <w:p>
            <w:pPr>
              <w:spacing w:before="40" w:after="40"/>
              <w:jc w:val="right"/>
            </w:pPr>
            <w:r/>
            <w:r>
              <w:rPr>
                <w:b/>
                <w:color w:val="1A1A1A"/>
                <w:sz w:val="18"/>
              </w:rPr>
              <w:t>$1,171,000</w:t>
            </w:r>
          </w:p>
        </w:tc>
      </w:tr>
    </w:tbl>
    <w:p>
      <w:pPr>
        <w:spacing w:before="320" w:after="120"/>
      </w:pPr>
      <w:r>
        <w:rPr>
          <w:b/>
          <w:color w:val="1F3A5F"/>
          <w:sz w:val="26"/>
        </w:rPr>
        <w:t>2. Where the money goes</w:t>
      </w:r>
    </w:p>
    <w:p>
      <w:pPr>
        <w:jc w:val="center"/>
      </w:pPr>
      <w:r>
        <w:drawing>
          <wp:inline xmlns:a="http://schemas.openxmlformats.org/drawingml/2006/main" xmlns:pic="http://schemas.openxmlformats.org/drawingml/2006/picture">
            <wp:extent cx="5940000" cy="2735208"/>
            <wp:docPr id="2" name="Picture 2"/>
            <wp:cNvGraphicFramePr>
              <a:graphicFrameLocks noChangeAspect="1"/>
            </wp:cNvGraphicFramePr>
            <a:graphic>
              <a:graphicData uri="http://schemas.openxmlformats.org/drawingml/2006/picture">
                <pic:pic>
                  <pic:nvPicPr>
                    <pic:cNvPr id="0" name="costs_Townhouse.png"/>
                    <pic:cNvPicPr/>
                  </pic:nvPicPr>
                  <pic:blipFill>
                    <a:blip r:embed="rId12"/>
                    <a:stretch>
                      <a:fillRect/>
                    </a:stretch>
                  </pic:blipFill>
                  <pic:spPr>
                    <a:xfrm>
                      <a:off x="0" y="0"/>
                      <a:ext cx="5940000" cy="2735208"/>
                    </a:xfrm>
                    <a:prstGeom prst="rect"/>
                  </pic:spPr>
                </pic:pic>
              </a:graphicData>
            </a:graphic>
          </wp:inline>
        </w:drawing>
      </w:r>
    </w:p>
    <w:p>
      <w:pPr>
        <w:spacing w:after="120"/>
      </w:pPr>
      <w:r>
        <w:rPr>
          <w:i/>
          <w:color w:val="7A7A7A"/>
          <w:sz w:val="18"/>
        </w:rPr>
        <w:t>Land and stamp duty account for 46% of total cost, build for 39%. Together they are the only two lines large enough to change the verdict on their own.</w:t>
      </w:r>
    </w:p>
    <w:p>
      <w:r>
        <w:br w:type="page"/>
      </w:r>
    </w:p>
    <w:p>
      <w:pPr>
        <w:spacing w:before="320" w:after="120"/>
      </w:pPr>
      <w:r>
        <w:rPr>
          <w:b/>
          <w:color w:val="1F3A5F"/>
          <w:sz w:val="26"/>
        </w:rPr>
        <w:t>3. What breaks it</w:t>
      </w:r>
    </w:p>
    <w:p>
      <w:pPr>
        <w:spacing w:after="120"/>
      </w:pPr>
      <w:r>
        <w:rPr>
          <w:i w:val="0"/>
          <w:color w:val="1A1A1A"/>
          <w:sz w:val="19"/>
        </w:rPr>
        <w:t>Profit on cost if retail values and build costs move against the assumptions above. Bold figures clear the threshold.</w:t>
      </w:r>
    </w:p>
    <w:p>
      <w:pPr>
        <w:jc w:val="center"/>
      </w:pPr>
      <w:r>
        <w:drawing>
          <wp:inline xmlns:a="http://schemas.openxmlformats.org/drawingml/2006/main" xmlns:pic="http://schemas.openxmlformats.org/drawingml/2006/picture">
            <wp:extent cx="5220000" cy="2946316"/>
            <wp:docPr id="3" name="Picture 3"/>
            <wp:cNvGraphicFramePr>
              <a:graphicFrameLocks noChangeAspect="1"/>
            </wp:cNvGraphicFramePr>
            <a:graphic>
              <a:graphicData uri="http://schemas.openxmlformats.org/drawingml/2006/picture">
                <pic:pic>
                  <pic:nvPicPr>
                    <pic:cNvPr id="0" name="sens_Townhouse.png"/>
                    <pic:cNvPicPr/>
                  </pic:nvPicPr>
                  <pic:blipFill>
                    <a:blip r:embed="rId13"/>
                    <a:stretch>
                      <a:fillRect/>
                    </a:stretch>
                  </pic:blipFill>
                  <pic:spPr>
                    <a:xfrm>
                      <a:off x="0" y="0"/>
                      <a:ext cx="5220000" cy="2946316"/>
                    </a:xfrm>
                    <a:prstGeom prst="rect"/>
                  </pic:spPr>
                </pic:pic>
              </a:graphicData>
            </a:graphic>
          </wp:inline>
        </w:drawing>
      </w:r>
    </w:p>
    <w:p>
      <w:pPr>
        <w:spacing w:after="120"/>
      </w:pPr>
      <w:r>
        <w:rPr>
          <w:i w:val="0"/>
          <w:color w:val="1A1A1A"/>
          <w:sz w:val="19"/>
        </w:rPr>
        <w:t>A 5% fall in retail values takes the return to 6.2%. A 5% rise in build cost takes it to 9.2%. The revenue side moves the answer roughly twice as hard as the cost side, which is why comparable selection deserves more scrutiny than the build estimate.</w:t>
      </w:r>
    </w:p>
    <w:p>
      <w:pPr>
        <w:spacing w:before="320" w:after="120"/>
      </w:pPr>
      <w:r>
        <w:rPr>
          <w:b/>
          <w:color w:val="1F3A5F"/>
          <w:sz w:val="26"/>
        </w:rPr>
        <w:t>4. Method and limits</w:t>
      </w:r>
    </w:p>
    <w:p>
      <w:pPr>
        <w:spacing w:after="120"/>
      </w:pPr>
      <w:r>
        <w:rPr>
          <w:i w:val="0"/>
          <w:color w:val="1A1A1A"/>
          <w:sz w:val="19"/>
        </w:rPr>
        <w:t>Gross realisation is average retail value times dwelling count. Net realisation deducts selling costs. Total cost is land plus stamp duty plus build, council contributions, professional fees, contingency and finance. Profit on cost is net profit divided by total cost, and the verdict tests it against the threshold entered on the sheet.</w:t>
      </w:r>
    </w:p>
    <w:p>
      <w:pPr>
        <w:spacing w:after="120"/>
      </w:pPr>
      <w:r>
        <w:rPr>
          <w:i/>
          <w:color w:val="7A7A7A"/>
          <w:sz w:val="18"/>
        </w:rPr>
        <w:t>This is a screening tool, not a full feasibility study. It does not model GST or the margin scheme, a project timeline, staged finance drawdown, demolition or site servicing, or strata establishment. Figures are only as good as the comparables entered.</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separate"/>
      <w:t>1</w:t>
      <w:fldChar w:fldCharType="end"/>
    </w:r>
    <w:r>
      <w:rPr>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7A7A"/>
        <w:sz w:val="16"/>
      </w:rPr>
      <w:t>Townhouse Feasibility  ·  FEAS-202609-TOW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