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Residential Development</w:t>
      </w:r>
    </w:p>
    <w:p>
      <w:pPr>
        <w:spacing w:after="120"/>
      </w:pPr>
      <w:r>
        <w:rPr>
          <w:i/>
          <w:color w:val="7A7A7A"/>
          <w:sz w:val="20"/>
        </w:rPr>
        <w:t>Feasibility assessment  ·  14 September 2026</w:t>
      </w:r>
    </w:p>
    <w:tbl>
      <w:tblPr>
        <w:tblStyle w:val="TableGrid"/>
        <w:tblW w:type="auto" w:w="0"/>
        <w:tblLook w:firstColumn="1" w:firstRow="1" w:lastColumn="0" w:lastRow="0" w:noHBand="0" w:noVBand="1" w:val="04A0"/>
      </w:tblPr>
      <w:tblGrid>
        <w:gridCol w:w="9638"/>
      </w:tblGrid>
      <w:tr>
        <w:tc>
          <w:tcPr>
            <w:tcW w:type="dxa" w:w="9638"/>
            <w:shd w:val="clear" w:fill="DDEEE2"/>
          </w:tcPr>
          <w:p>
            <w:pPr>
              <w:spacing w:before="40" w:after="40"/>
              <w:jc w:val="center"/>
            </w:pPr>
            <w:r/>
            <w:r>
              <w:rPr>
                <w:b/>
                <w:color w:val="3A7D5D"/>
                <w:sz w:val="36"/>
              </w:rPr>
              <w:t>MEETS THRESHOLD</w:t>
            </w:r>
          </w:p>
        </w:tc>
      </w:tr>
    </w:tbl>
    <w:p>
      <w:pPr>
        <w:spacing w:after="120"/>
      </w:pPr>
      <w:r>
        <w:rPr>
          <w:i w:val="0"/>
          <w:color w:val="1A1A1A"/>
          <w:sz w:val="19"/>
        </w:rPr>
      </w:r>
    </w:p>
    <w:tbl>
      <w:tblPr>
        <w:tblStyle w:val="TableGrid"/>
        <w:tblW w:type="auto" w:w="0"/>
        <w:jc w:val="left"/>
        <w:tblLook w:firstColumn="1" w:firstRow="1" w:lastColumn="0" w:lastRow="0" w:noHBand="0" w:noVBand="1" w:val="04A0"/>
      </w:tblPr>
      <w:tblGrid>
        <w:gridCol w:w="4819"/>
        <w:gridCol w:w="4819"/>
      </w:tblGrid>
      <w:tr>
        <w:tc>
          <w:tcPr>
            <w:tcW w:type="dxa" w:w="4535"/>
            <w:shd w:val="clear" w:fill="F4F6F9"/>
          </w:tcPr>
          <w:p>
            <w:pPr>
              <w:spacing w:before="40" w:after="40"/>
            </w:pPr>
            <w:r/>
            <w:r>
              <w:rPr>
                <w:b w:val="0"/>
                <w:color w:val="1A1A1A"/>
                <w:sz w:val="18"/>
              </w:rPr>
              <w:t>Net profit</w:t>
            </w:r>
          </w:p>
        </w:tc>
        <w:tc>
          <w:tcPr>
            <w:tcW w:type="dxa" w:w="2835"/>
          </w:tcPr>
          <w:p>
            <w:pPr>
              <w:spacing w:before="40" w:after="40"/>
              <w:jc w:val="right"/>
            </w:pPr>
            <w:r/>
            <w:r>
              <w:rPr>
                <w:b/>
                <w:color w:val="1A1A1A"/>
                <w:sz w:val="18"/>
              </w:rPr>
              <w:t>$1,246,038</w:t>
            </w:r>
          </w:p>
        </w:tc>
      </w:tr>
      <w:tr>
        <w:tc>
          <w:tcPr>
            <w:tcW w:type="dxa" w:w="4535"/>
            <w:shd w:val="clear" w:fill="F4F6F9"/>
          </w:tcPr>
          <w:p>
            <w:pPr>
              <w:spacing w:before="40" w:after="40"/>
            </w:pPr>
            <w:r/>
            <w:r>
              <w:rPr>
                <w:b w:val="0"/>
                <w:color w:val="1A1A1A"/>
                <w:sz w:val="18"/>
              </w:rPr>
              <w:t>Profit on cost</w:t>
            </w:r>
          </w:p>
        </w:tc>
        <w:tc>
          <w:tcPr>
            <w:tcW w:type="dxa" w:w="2835"/>
          </w:tcPr>
          <w:p>
            <w:pPr>
              <w:spacing w:before="40" w:after="40"/>
              <w:jc w:val="right"/>
            </w:pPr>
            <w:r/>
            <w:r>
              <w:rPr>
                <w:b/>
                <w:color w:val="1A1A1A"/>
                <w:sz w:val="18"/>
              </w:rPr>
              <w:t>28.3%</w:t>
            </w:r>
          </w:p>
        </w:tc>
      </w:tr>
      <w:tr>
        <w:tc>
          <w:tcPr>
            <w:tcW w:type="dxa" w:w="4535"/>
            <w:shd w:val="clear" w:fill="F4F6F9"/>
          </w:tcPr>
          <w:p>
            <w:pPr>
              <w:spacing w:before="40" w:after="40"/>
            </w:pPr>
            <w:r/>
            <w:r>
              <w:rPr>
                <w:b w:val="0"/>
                <w:color w:val="1A1A1A"/>
                <w:sz w:val="18"/>
              </w:rPr>
              <w:t>Threshold applied</w:t>
            </w:r>
          </w:p>
        </w:tc>
        <w:tc>
          <w:tcPr>
            <w:tcW w:type="dxa" w:w="2835"/>
          </w:tcPr>
          <w:p>
            <w:pPr>
              <w:spacing w:before="40" w:after="40"/>
              <w:jc w:val="right"/>
            </w:pPr>
            <w:r/>
            <w:r>
              <w:rPr>
                <w:b/>
                <w:color w:val="1A1A1A"/>
                <w:sz w:val="18"/>
              </w:rPr>
              <w:t>25%</w:t>
            </w:r>
          </w:p>
        </w:tc>
      </w:tr>
      <w:tr>
        <w:tc>
          <w:tcPr>
            <w:tcW w:type="dxa" w:w="4535"/>
            <w:shd w:val="clear" w:fill="F4F6F9"/>
          </w:tcPr>
          <w:p>
            <w:pPr>
              <w:spacing w:before="40" w:after="40"/>
            </w:pPr>
            <w:r/>
            <w:r>
              <w:rPr>
                <w:b w:val="0"/>
                <w:color w:val="1A1A1A"/>
                <w:sz w:val="18"/>
              </w:rPr>
              <w:t>Total cost</w:t>
            </w:r>
          </w:p>
        </w:tc>
        <w:tc>
          <w:tcPr>
            <w:tcW w:type="dxa" w:w="2835"/>
          </w:tcPr>
          <w:p>
            <w:pPr>
              <w:spacing w:before="40" w:after="40"/>
              <w:jc w:val="right"/>
            </w:pPr>
            <w:r/>
            <w:r>
              <w:rPr>
                <w:b/>
                <w:color w:val="1A1A1A"/>
                <w:sz w:val="18"/>
              </w:rPr>
              <w:t>$4,399,212</w:t>
            </w:r>
          </w:p>
        </w:tc>
      </w:tr>
      <w:tr>
        <w:tc>
          <w:tcPr>
            <w:tcW w:type="dxa" w:w="4535"/>
            <w:shd w:val="clear" w:fill="F4F6F9"/>
          </w:tcPr>
          <w:p>
            <w:pPr>
              <w:spacing w:before="40" w:after="40"/>
            </w:pPr>
            <w:r/>
            <w:r>
              <w:rPr>
                <w:b w:val="0"/>
                <w:color w:val="1A1A1A"/>
                <w:sz w:val="18"/>
              </w:rPr>
              <w:t>Gross realisation</w:t>
            </w:r>
          </w:p>
        </w:tc>
        <w:tc>
          <w:tcPr>
            <w:tcW w:type="dxa" w:w="2835"/>
          </w:tcPr>
          <w:p>
            <w:pPr>
              <w:spacing w:before="40" w:after="40"/>
              <w:jc w:val="right"/>
            </w:pPr>
            <w:r/>
            <w:r>
              <w:rPr>
                <w:b/>
                <w:color w:val="1A1A1A"/>
                <w:sz w:val="18"/>
              </w:rPr>
              <w:t>$5,790,000</w:t>
            </w:r>
          </w:p>
        </w:tc>
      </w:tr>
      <w:tr>
        <w:tc>
          <w:tcPr>
            <w:tcW w:type="dxa" w:w="4535"/>
            <w:shd w:val="clear" w:fill="F4F6F9"/>
          </w:tcPr>
          <w:p>
            <w:pPr>
              <w:spacing w:before="40" w:after="40"/>
            </w:pPr>
            <w:r/>
            <w:r>
              <w:rPr>
                <w:b w:val="0"/>
                <w:color w:val="1A1A1A"/>
                <w:sz w:val="18"/>
              </w:rPr>
              <w:t>Net realisation</w:t>
            </w:r>
          </w:p>
        </w:tc>
        <w:tc>
          <w:tcPr>
            <w:tcW w:type="dxa" w:w="2835"/>
          </w:tcPr>
          <w:p>
            <w:pPr>
              <w:spacing w:before="40" w:after="40"/>
              <w:jc w:val="right"/>
            </w:pPr>
            <w:r/>
            <w:r>
              <w:rPr>
                <w:b/>
                <w:color w:val="1A1A1A"/>
                <w:sz w:val="18"/>
              </w:rPr>
              <w:t>$5,645,250</w:t>
            </w:r>
          </w:p>
        </w:tc>
      </w:tr>
    </w:tbl>
    <w:p>
      <w:pPr>
        <w:jc w:val="center"/>
      </w:pPr>
      <w:r>
        <w:drawing>
          <wp:inline xmlns:a="http://schemas.openxmlformats.org/drawingml/2006/main" xmlns:pic="http://schemas.openxmlformats.org/drawingml/2006/picture">
            <wp:extent cx="5940000" cy="1049092"/>
            <wp:docPr id="1" name="Picture 1"/>
            <wp:cNvGraphicFramePr>
              <a:graphicFrameLocks noChangeAspect="1"/>
            </wp:cNvGraphicFramePr>
            <a:graphic>
              <a:graphicData uri="http://schemas.openxmlformats.org/drawingml/2006/picture">
                <pic:pic>
                  <pic:nvPicPr>
                    <pic:cNvPr id="0" name="margin_Residential.png"/>
                    <pic:cNvPicPr/>
                  </pic:nvPicPr>
                  <pic:blipFill>
                    <a:blip r:embed="rId11"/>
                    <a:stretch>
                      <a:fillRect/>
                    </a:stretch>
                  </pic:blipFill>
                  <pic:spPr>
                    <a:xfrm>
                      <a:off x="0" y="0"/>
                      <a:ext cx="5940000" cy="1049092"/>
                    </a:xfrm>
                    <a:prstGeom prst="rect"/>
                  </pic:spPr>
                </pic:pic>
              </a:graphicData>
            </a:graphic>
          </wp:inline>
        </w:drawing>
      </w:r>
    </w:p>
    <w:p>
      <w:pPr>
        <w:spacing w:after="120"/>
      </w:pPr>
      <w:r>
        <w:rPr>
          <w:i w:val="0"/>
          <w:color w:val="1A1A1A"/>
          <w:sz w:val="19"/>
        </w:rPr>
        <w:t>The scheme returns 28.3% on cost against a 25% threshold — 3.3 percentage points above the bar. Net profit is $1,246,038 on a total cost of $4,399,212.</w:t>
      </w:r>
    </w:p>
    <w:p>
      <w:r>
        <w:br w:type="page"/>
      </w:r>
    </w:p>
    <w:p>
      <w:pPr>
        <w:spacing w:before="320" w:after="120"/>
      </w:pPr>
      <w:r>
        <w:rPr>
          <w:b/>
          <w:color w:val="1F3A5F"/>
          <w:sz w:val="26"/>
        </w:rPr>
        <w:t>1. The deal as entered</w:t>
      </w:r>
    </w:p>
    <w:tbl>
      <w:tblPr>
        <w:tblStyle w:val="TableGrid"/>
        <w:tblW w:type="auto" w:w="0"/>
        <w:jc w:val="left"/>
        <w:tblLook w:firstColumn="1" w:firstRow="1" w:lastColumn="0" w:lastRow="0" w:noHBand="0" w:noVBand="1" w:val="04A0"/>
      </w:tblPr>
      <w:tblGrid>
        <w:gridCol w:w="4819"/>
        <w:gridCol w:w="4819"/>
      </w:tblGrid>
      <w:tr>
        <w:tc>
          <w:tcPr>
            <w:tcW w:type="dxa" w:w="4535"/>
            <w:shd w:val="clear" w:fill="F4F6F9"/>
          </w:tcPr>
          <w:p>
            <w:pPr>
              <w:spacing w:before="40" w:after="40"/>
            </w:pPr>
            <w:r/>
            <w:r>
              <w:rPr>
                <w:b w:val="0"/>
                <w:color w:val="1A1A1A"/>
                <w:sz w:val="18"/>
              </w:rPr>
              <w:t>Average raw land value (per lot)</w:t>
            </w:r>
          </w:p>
        </w:tc>
        <w:tc>
          <w:tcPr>
            <w:tcW w:type="dxa" w:w="2835"/>
          </w:tcPr>
          <w:p>
            <w:pPr>
              <w:spacing w:before="40" w:after="40"/>
              <w:jc w:val="right"/>
            </w:pPr>
            <w:r/>
            <w:r>
              <w:rPr>
                <w:b/>
                <w:color w:val="1A1A1A"/>
                <w:sz w:val="18"/>
              </w:rPr>
              <w:t>$300,000</w:t>
            </w:r>
          </w:p>
        </w:tc>
      </w:tr>
      <w:tr>
        <w:tc>
          <w:tcPr>
            <w:tcW w:type="dxa" w:w="4535"/>
            <w:shd w:val="clear" w:fill="F4F6F9"/>
          </w:tcPr>
          <w:p>
            <w:pPr>
              <w:spacing w:before="40" w:after="40"/>
            </w:pPr>
            <w:r/>
            <w:r>
              <w:rPr>
                <w:b w:val="0"/>
                <w:color w:val="1A1A1A"/>
                <w:sz w:val="18"/>
              </w:rPr>
              <w:t>Average retail value (per dwelling)</w:t>
            </w:r>
          </w:p>
        </w:tc>
        <w:tc>
          <w:tcPr>
            <w:tcW w:type="dxa" w:w="2835"/>
          </w:tcPr>
          <w:p>
            <w:pPr>
              <w:spacing w:before="40" w:after="40"/>
              <w:jc w:val="right"/>
            </w:pPr>
            <w:r/>
            <w:r>
              <w:rPr>
                <w:b/>
                <w:color w:val="1A1A1A"/>
                <w:sz w:val="18"/>
              </w:rPr>
              <w:t>$965,000</w:t>
            </w:r>
          </w:p>
        </w:tc>
      </w:tr>
      <w:tr>
        <w:tc>
          <w:tcPr>
            <w:tcW w:type="dxa" w:w="4535"/>
            <w:shd w:val="clear" w:fill="F4F6F9"/>
          </w:tcPr>
          <w:p>
            <w:pPr>
              <w:spacing w:before="40" w:after="40"/>
            </w:pPr>
            <w:r/>
            <w:r>
              <w:rPr>
                <w:b w:val="0"/>
                <w:color w:val="1A1A1A"/>
                <w:sz w:val="18"/>
              </w:rPr>
              <w:t>Number of dwellings</w:t>
            </w:r>
          </w:p>
        </w:tc>
        <w:tc>
          <w:tcPr>
            <w:tcW w:type="dxa" w:w="2835"/>
          </w:tcPr>
          <w:p>
            <w:pPr>
              <w:spacing w:before="40" w:after="40"/>
              <w:jc w:val="right"/>
            </w:pPr>
            <w:r/>
            <w:r>
              <w:rPr>
                <w:b/>
                <w:color w:val="1A1A1A"/>
                <w:sz w:val="18"/>
              </w:rPr>
              <w:t>6</w:t>
            </w:r>
          </w:p>
        </w:tc>
      </w:tr>
      <w:tr>
        <w:tc>
          <w:tcPr>
            <w:tcW w:type="dxa" w:w="4535"/>
            <w:shd w:val="clear" w:fill="F4F6F9"/>
          </w:tcPr>
          <w:p>
            <w:pPr>
              <w:spacing w:before="40" w:after="40"/>
            </w:pPr>
            <w:r/>
            <w:r>
              <w:rPr>
                <w:b w:val="0"/>
                <w:color w:val="1A1A1A"/>
                <w:sz w:val="18"/>
              </w:rPr>
              <w:t>Build cost per dwelling</w:t>
            </w:r>
          </w:p>
        </w:tc>
        <w:tc>
          <w:tcPr>
            <w:tcW w:type="dxa" w:w="2835"/>
          </w:tcPr>
          <w:p>
            <w:pPr>
              <w:spacing w:before="40" w:after="40"/>
              <w:jc w:val="right"/>
            </w:pPr>
            <w:r/>
            <w:r>
              <w:rPr>
                <w:b/>
                <w:color w:val="1A1A1A"/>
                <w:sz w:val="18"/>
              </w:rPr>
              <w:t>$310,000</w:t>
            </w:r>
          </w:p>
        </w:tc>
      </w:tr>
      <w:tr>
        <w:tc>
          <w:tcPr>
            <w:tcW w:type="dxa" w:w="4535"/>
            <w:shd w:val="clear" w:fill="F4F6F9"/>
          </w:tcPr>
          <w:p>
            <w:pPr>
              <w:spacing w:before="40" w:after="40"/>
            </w:pPr>
            <w:r/>
            <w:r>
              <w:rPr>
                <w:b w:val="0"/>
                <w:color w:val="1A1A1A"/>
                <w:sz w:val="18"/>
              </w:rPr>
              <w:t>Council contributions per dwelling</w:t>
            </w:r>
          </w:p>
        </w:tc>
        <w:tc>
          <w:tcPr>
            <w:tcW w:type="dxa" w:w="2835"/>
          </w:tcPr>
          <w:p>
            <w:pPr>
              <w:spacing w:before="40" w:after="40"/>
              <w:jc w:val="right"/>
            </w:pPr>
            <w:r/>
            <w:r>
              <w:rPr>
                <w:b/>
                <w:color w:val="1A1A1A"/>
                <w:sz w:val="18"/>
              </w:rPr>
              <w:t>$28,000</w:t>
            </w:r>
          </w:p>
        </w:tc>
      </w:tr>
      <w:tr>
        <w:tc>
          <w:tcPr>
            <w:tcW w:type="dxa" w:w="4535"/>
            <w:shd w:val="clear" w:fill="F4F6F9"/>
          </w:tcPr>
          <w:p>
            <w:pPr>
              <w:spacing w:before="40" w:after="40"/>
            </w:pPr>
            <w:r/>
            <w:r>
              <w:rPr>
                <w:b w:val="0"/>
                <w:color w:val="1A1A1A"/>
                <w:sz w:val="18"/>
              </w:rPr>
              <w:t>Stamp duty</w:t>
            </w:r>
          </w:p>
        </w:tc>
        <w:tc>
          <w:tcPr>
            <w:tcW w:type="dxa" w:w="2835"/>
          </w:tcPr>
          <w:p>
            <w:pPr>
              <w:spacing w:before="40" w:after="40"/>
              <w:jc w:val="right"/>
            </w:pPr>
            <w:r/>
            <w:r>
              <w:rPr>
                <w:b/>
                <w:color w:val="1A1A1A"/>
                <w:sz w:val="18"/>
              </w:rPr>
              <w:t>5.5%</w:t>
            </w:r>
          </w:p>
        </w:tc>
      </w:tr>
      <w:tr>
        <w:tc>
          <w:tcPr>
            <w:tcW w:type="dxa" w:w="4535"/>
            <w:shd w:val="clear" w:fill="F4F6F9"/>
          </w:tcPr>
          <w:p>
            <w:pPr>
              <w:spacing w:before="40" w:after="40"/>
            </w:pPr>
            <w:r/>
            <w:r>
              <w:rPr>
                <w:b w:val="0"/>
                <w:color w:val="1A1A1A"/>
                <w:sz w:val="18"/>
              </w:rPr>
              <w:t>Professional fees</w:t>
            </w:r>
          </w:p>
        </w:tc>
        <w:tc>
          <w:tcPr>
            <w:tcW w:type="dxa" w:w="2835"/>
          </w:tcPr>
          <w:p>
            <w:pPr>
              <w:spacing w:before="40" w:after="40"/>
              <w:jc w:val="right"/>
            </w:pPr>
            <w:r/>
            <w:r>
              <w:rPr>
                <w:b/>
                <w:color w:val="1A1A1A"/>
                <w:sz w:val="18"/>
              </w:rPr>
              <w:t>7.0%</w:t>
            </w:r>
          </w:p>
        </w:tc>
      </w:tr>
      <w:tr>
        <w:tc>
          <w:tcPr>
            <w:tcW w:type="dxa" w:w="4535"/>
            <w:shd w:val="clear" w:fill="F4F6F9"/>
          </w:tcPr>
          <w:p>
            <w:pPr>
              <w:spacing w:before="40" w:after="40"/>
            </w:pPr>
            <w:r/>
            <w:r>
              <w:rPr>
                <w:b w:val="0"/>
                <w:color w:val="1A1A1A"/>
                <w:sz w:val="18"/>
              </w:rPr>
              <w:t>Contingency</w:t>
            </w:r>
          </w:p>
        </w:tc>
        <w:tc>
          <w:tcPr>
            <w:tcW w:type="dxa" w:w="2835"/>
          </w:tcPr>
          <w:p>
            <w:pPr>
              <w:spacing w:before="40" w:after="40"/>
              <w:jc w:val="right"/>
            </w:pPr>
            <w:r/>
            <w:r>
              <w:rPr>
                <w:b/>
                <w:color w:val="1A1A1A"/>
                <w:sz w:val="18"/>
              </w:rPr>
              <w:t>5.0%</w:t>
            </w:r>
          </w:p>
        </w:tc>
      </w:tr>
      <w:tr>
        <w:tc>
          <w:tcPr>
            <w:tcW w:type="dxa" w:w="4535"/>
            <w:shd w:val="clear" w:fill="F4F6F9"/>
          </w:tcPr>
          <w:p>
            <w:pPr>
              <w:spacing w:before="40" w:after="40"/>
            </w:pPr>
            <w:r/>
            <w:r>
              <w:rPr>
                <w:b w:val="0"/>
                <w:color w:val="1A1A1A"/>
                <w:sz w:val="18"/>
              </w:rPr>
              <w:t>Selling costs</w:t>
            </w:r>
          </w:p>
        </w:tc>
        <w:tc>
          <w:tcPr>
            <w:tcW w:type="dxa" w:w="2835"/>
          </w:tcPr>
          <w:p>
            <w:pPr>
              <w:spacing w:before="40" w:after="40"/>
              <w:jc w:val="right"/>
            </w:pPr>
            <w:r/>
            <w:r>
              <w:rPr>
                <w:b/>
                <w:color w:val="1A1A1A"/>
                <w:sz w:val="18"/>
              </w:rPr>
              <w:t>2.5%</w:t>
            </w:r>
          </w:p>
        </w:tc>
      </w:tr>
      <w:tr>
        <w:tc>
          <w:tcPr>
            <w:tcW w:type="dxa" w:w="4535"/>
            <w:shd w:val="clear" w:fill="F4F6F9"/>
          </w:tcPr>
          <w:p>
            <w:pPr>
              <w:spacing w:before="40" w:after="40"/>
            </w:pPr>
            <w:r/>
            <w:r>
              <w:rPr>
                <w:b w:val="0"/>
                <w:color w:val="1A1A1A"/>
                <w:sz w:val="18"/>
              </w:rPr>
              <w:t>Finance costs</w:t>
            </w:r>
          </w:p>
        </w:tc>
        <w:tc>
          <w:tcPr>
            <w:tcW w:type="dxa" w:w="2835"/>
          </w:tcPr>
          <w:p>
            <w:pPr>
              <w:spacing w:before="40" w:after="40"/>
              <w:jc w:val="right"/>
            </w:pPr>
            <w:r/>
            <w:r>
              <w:rPr>
                <w:b/>
                <w:color w:val="1A1A1A"/>
                <w:sz w:val="18"/>
              </w:rPr>
              <w:t>6.0%</w:t>
            </w:r>
          </w:p>
        </w:tc>
      </w:tr>
    </w:tbl>
    <w:p>
      <w:pPr>
        <w:spacing w:before="200" w:after="120"/>
      </w:pPr>
      <w:r>
        <w:rPr>
          <w:b/>
          <w:color w:val="1A1A1A"/>
          <w:sz w:val="21"/>
        </w:rPr>
        <w:t>1.1 Comparables used</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A5F"/>
          </w:tcPr>
          <w:p>
            <w:pPr>
              <w:spacing w:before="40" w:after="40"/>
              <w:jc w:val="center"/>
            </w:pPr>
            <w:r/>
            <w:r>
              <w:rPr>
                <w:b/>
                <w:color w:val="FFFFFF"/>
                <w:sz w:val="18"/>
              </w:rPr>
              <w:t>#</w:t>
            </w:r>
          </w:p>
        </w:tc>
        <w:tc>
          <w:tcPr>
            <w:tcW w:type="dxa" w:w="3213"/>
            <w:shd w:val="clear" w:fill="1F3A5F"/>
          </w:tcPr>
          <w:p>
            <w:pPr>
              <w:spacing w:before="40" w:after="40"/>
              <w:jc w:val="center"/>
            </w:pPr>
            <w:r/>
            <w:r>
              <w:rPr>
                <w:b/>
                <w:color w:val="FFFFFF"/>
                <w:sz w:val="18"/>
              </w:rPr>
              <w:t>Raw land</w:t>
            </w:r>
          </w:p>
        </w:tc>
        <w:tc>
          <w:tcPr>
            <w:tcW w:type="dxa" w:w="3213"/>
            <w:shd w:val="clear" w:fill="1F3A5F"/>
          </w:tcPr>
          <w:p>
            <w:pPr>
              <w:spacing w:before="40" w:after="40"/>
              <w:jc w:val="center"/>
            </w:pPr>
            <w:r/>
            <w:r>
              <w:rPr>
                <w:b/>
                <w:color w:val="FFFFFF"/>
                <w:sz w:val="18"/>
              </w:rPr>
              <w:t>Retail</w:t>
            </w:r>
          </w:p>
        </w:tc>
      </w:tr>
      <w:tr>
        <w:tc>
          <w:tcPr>
            <w:tcW w:type="dxa" w:w="3213"/>
          </w:tcPr>
          <w:p>
            <w:pPr>
              <w:spacing w:before="40" w:after="40"/>
              <w:jc w:val="center"/>
            </w:pPr>
            <w:r/>
            <w:r>
              <w:rPr>
                <w:b w:val="0"/>
                <w:color w:val="1A1A1A"/>
                <w:sz w:val="18"/>
              </w:rPr>
              <w:t>1</w:t>
            </w:r>
          </w:p>
        </w:tc>
        <w:tc>
          <w:tcPr>
            <w:tcW w:type="dxa" w:w="3213"/>
          </w:tcPr>
          <w:p>
            <w:pPr>
              <w:spacing w:before="40" w:after="40"/>
              <w:jc w:val="right"/>
            </w:pPr>
            <w:r/>
            <w:r>
              <w:rPr>
                <w:b w:val="0"/>
                <w:color w:val="1A1A1A"/>
                <w:sz w:val="18"/>
              </w:rPr>
              <w:t>$292,000</w:t>
            </w:r>
          </w:p>
        </w:tc>
        <w:tc>
          <w:tcPr>
            <w:tcW w:type="dxa" w:w="3213"/>
          </w:tcPr>
          <w:p>
            <w:pPr>
              <w:spacing w:before="40" w:after="40"/>
              <w:jc w:val="right"/>
            </w:pPr>
            <w:r/>
            <w:r>
              <w:rPr>
                <w:b w:val="0"/>
                <w:color w:val="1A1A1A"/>
                <w:sz w:val="18"/>
              </w:rPr>
              <w:t>$955,000</w:t>
            </w:r>
          </w:p>
        </w:tc>
      </w:tr>
      <w:tr>
        <w:tc>
          <w:tcPr>
            <w:tcW w:type="dxa" w:w="3213"/>
          </w:tcPr>
          <w:p>
            <w:pPr>
              <w:spacing w:before="40" w:after="40"/>
              <w:jc w:val="center"/>
            </w:pPr>
            <w:r/>
            <w:r>
              <w:rPr>
                <w:b w:val="0"/>
                <w:color w:val="1A1A1A"/>
                <w:sz w:val="18"/>
              </w:rPr>
              <w:t>2</w:t>
            </w:r>
          </w:p>
        </w:tc>
        <w:tc>
          <w:tcPr>
            <w:tcW w:type="dxa" w:w="3213"/>
          </w:tcPr>
          <w:p>
            <w:pPr>
              <w:spacing w:before="40" w:after="40"/>
              <w:jc w:val="right"/>
            </w:pPr>
            <w:r/>
            <w:r>
              <w:rPr>
                <w:b w:val="0"/>
                <w:color w:val="1A1A1A"/>
                <w:sz w:val="18"/>
              </w:rPr>
              <w:t>$305,000</w:t>
            </w:r>
          </w:p>
        </w:tc>
        <w:tc>
          <w:tcPr>
            <w:tcW w:type="dxa" w:w="3213"/>
          </w:tcPr>
          <w:p>
            <w:pPr>
              <w:spacing w:before="40" w:after="40"/>
              <w:jc w:val="right"/>
            </w:pPr>
            <w:r/>
            <w:r>
              <w:rPr>
                <w:b w:val="0"/>
                <w:color w:val="1A1A1A"/>
                <w:sz w:val="18"/>
              </w:rPr>
              <w:t>$972,000</w:t>
            </w:r>
          </w:p>
        </w:tc>
      </w:tr>
      <w:tr>
        <w:tc>
          <w:tcPr>
            <w:tcW w:type="dxa" w:w="3213"/>
          </w:tcPr>
          <w:p>
            <w:pPr>
              <w:spacing w:before="40" w:after="40"/>
              <w:jc w:val="center"/>
            </w:pPr>
            <w:r/>
            <w:r>
              <w:rPr>
                <w:b w:val="0"/>
                <w:color w:val="1A1A1A"/>
                <w:sz w:val="18"/>
              </w:rPr>
              <w:t>3</w:t>
            </w:r>
          </w:p>
        </w:tc>
        <w:tc>
          <w:tcPr>
            <w:tcW w:type="dxa" w:w="3213"/>
          </w:tcPr>
          <w:p>
            <w:pPr>
              <w:spacing w:before="40" w:after="40"/>
              <w:jc w:val="right"/>
            </w:pPr>
            <w:r/>
            <w:r>
              <w:rPr>
                <w:b w:val="0"/>
                <w:color w:val="1A1A1A"/>
                <w:sz w:val="18"/>
              </w:rPr>
              <w:t>$298,000</w:t>
            </w:r>
          </w:p>
        </w:tc>
        <w:tc>
          <w:tcPr>
            <w:tcW w:type="dxa" w:w="3213"/>
          </w:tcPr>
          <w:p>
            <w:pPr>
              <w:spacing w:before="40" w:after="40"/>
              <w:jc w:val="right"/>
            </w:pPr>
            <w:r/>
            <w:r>
              <w:rPr>
                <w:b w:val="0"/>
                <w:color w:val="1A1A1A"/>
                <w:sz w:val="18"/>
              </w:rPr>
              <w:t>$960,000</w:t>
            </w:r>
          </w:p>
        </w:tc>
      </w:tr>
      <w:tr>
        <w:tc>
          <w:tcPr>
            <w:tcW w:type="dxa" w:w="3213"/>
          </w:tcPr>
          <w:p>
            <w:pPr>
              <w:spacing w:before="40" w:after="40"/>
              <w:jc w:val="center"/>
            </w:pPr>
            <w:r/>
            <w:r>
              <w:rPr>
                <w:b w:val="0"/>
                <w:color w:val="1A1A1A"/>
                <w:sz w:val="18"/>
              </w:rPr>
              <w:t>4</w:t>
            </w:r>
          </w:p>
        </w:tc>
        <w:tc>
          <w:tcPr>
            <w:tcW w:type="dxa" w:w="3213"/>
          </w:tcPr>
          <w:p>
            <w:pPr>
              <w:spacing w:before="40" w:after="40"/>
              <w:jc w:val="right"/>
            </w:pPr>
            <w:r/>
            <w:r>
              <w:rPr>
                <w:b w:val="0"/>
                <w:color w:val="1A1A1A"/>
                <w:sz w:val="18"/>
              </w:rPr>
              <w:t>$305,000</w:t>
            </w:r>
          </w:p>
        </w:tc>
        <w:tc>
          <w:tcPr>
            <w:tcW w:type="dxa" w:w="3213"/>
          </w:tcPr>
          <w:p>
            <w:pPr>
              <w:spacing w:before="40" w:after="40"/>
              <w:jc w:val="right"/>
            </w:pPr>
            <w:r/>
            <w:r>
              <w:rPr>
                <w:b w:val="0"/>
                <w:color w:val="1A1A1A"/>
                <w:sz w:val="18"/>
              </w:rPr>
              <w:t>$973,000</w:t>
            </w:r>
          </w:p>
        </w:tc>
      </w:tr>
      <w:tr>
        <w:tc>
          <w:tcPr>
            <w:tcW w:type="dxa" w:w="3213"/>
            <w:shd w:val="clear" w:fill="F4F6F9"/>
          </w:tcPr>
          <w:p>
            <w:pPr>
              <w:spacing w:before="40" w:after="40"/>
              <w:jc w:val="center"/>
            </w:pPr>
            <w:r/>
            <w:r>
              <w:rPr>
                <w:b/>
                <w:color w:val="1A1A1A"/>
                <w:sz w:val="18"/>
              </w:rPr>
              <w:t>avg</w:t>
            </w:r>
          </w:p>
        </w:tc>
        <w:tc>
          <w:tcPr>
            <w:tcW w:type="dxa" w:w="3213"/>
            <w:shd w:val="clear" w:fill="F4F6F9"/>
          </w:tcPr>
          <w:p>
            <w:pPr>
              <w:spacing w:before="40" w:after="40"/>
              <w:jc w:val="right"/>
            </w:pPr>
            <w:r/>
            <w:r>
              <w:rPr>
                <w:b/>
                <w:color w:val="1A1A1A"/>
                <w:sz w:val="18"/>
              </w:rPr>
              <w:t>$300,000</w:t>
            </w:r>
          </w:p>
        </w:tc>
        <w:tc>
          <w:tcPr>
            <w:tcW w:type="dxa" w:w="3213"/>
            <w:shd w:val="clear" w:fill="F4F6F9"/>
          </w:tcPr>
          <w:p>
            <w:pPr>
              <w:spacing w:before="40" w:after="40"/>
              <w:jc w:val="right"/>
            </w:pPr>
            <w:r/>
            <w:r>
              <w:rPr>
                <w:b/>
                <w:color w:val="1A1A1A"/>
                <w:sz w:val="18"/>
              </w:rPr>
              <w:t>$965,000</w:t>
            </w:r>
          </w:p>
        </w:tc>
      </w:tr>
    </w:tbl>
    <w:p>
      <w:pPr>
        <w:spacing w:before="320" w:after="120"/>
      </w:pPr>
      <w:r>
        <w:rPr>
          <w:b/>
          <w:color w:val="1F3A5F"/>
          <w:sz w:val="26"/>
        </w:rPr>
        <w:t>2. Where the money goes</w:t>
      </w:r>
    </w:p>
    <w:p>
      <w:pPr>
        <w:jc w:val="center"/>
      </w:pPr>
      <w:r>
        <w:drawing>
          <wp:inline xmlns:a="http://schemas.openxmlformats.org/drawingml/2006/main" xmlns:pic="http://schemas.openxmlformats.org/drawingml/2006/picture">
            <wp:extent cx="5940000" cy="2735208"/>
            <wp:docPr id="2" name="Picture 2"/>
            <wp:cNvGraphicFramePr>
              <a:graphicFrameLocks noChangeAspect="1"/>
            </wp:cNvGraphicFramePr>
            <a:graphic>
              <a:graphicData uri="http://schemas.openxmlformats.org/drawingml/2006/picture">
                <pic:pic>
                  <pic:nvPicPr>
                    <pic:cNvPr id="0" name="costs_Residential.png"/>
                    <pic:cNvPicPr/>
                  </pic:nvPicPr>
                  <pic:blipFill>
                    <a:blip r:embed="rId12"/>
                    <a:stretch>
                      <a:fillRect/>
                    </a:stretch>
                  </pic:blipFill>
                  <pic:spPr>
                    <a:xfrm>
                      <a:off x="0" y="0"/>
                      <a:ext cx="5940000" cy="2735208"/>
                    </a:xfrm>
                    <a:prstGeom prst="rect"/>
                  </pic:spPr>
                </pic:pic>
              </a:graphicData>
            </a:graphic>
          </wp:inline>
        </w:drawing>
      </w:r>
    </w:p>
    <w:p>
      <w:pPr>
        <w:spacing w:after="120"/>
      </w:pPr>
      <w:r>
        <w:rPr>
          <w:i/>
          <w:color w:val="7A7A7A"/>
          <w:sz w:val="18"/>
        </w:rPr>
        <w:t>Land and stamp duty account for 43% of total cost, build for 42%. Together they are the only two lines large enough to change the verdict on their own.</w:t>
      </w:r>
    </w:p>
    <w:p>
      <w:r>
        <w:br w:type="page"/>
      </w:r>
    </w:p>
    <w:p>
      <w:pPr>
        <w:spacing w:before="320" w:after="120"/>
      </w:pPr>
      <w:r>
        <w:rPr>
          <w:b/>
          <w:color w:val="1F3A5F"/>
          <w:sz w:val="26"/>
        </w:rPr>
        <w:t>3. What breaks it</w:t>
      </w:r>
    </w:p>
    <w:p>
      <w:pPr>
        <w:spacing w:after="120"/>
      </w:pPr>
      <w:r>
        <w:rPr>
          <w:i w:val="0"/>
          <w:color w:val="1A1A1A"/>
          <w:sz w:val="19"/>
        </w:rPr>
        <w:t>Profit on cost if retail values and build costs move against the assumptions above. Bold figures clear the threshold.</w:t>
      </w:r>
    </w:p>
    <w:p>
      <w:pPr>
        <w:jc w:val="center"/>
      </w:pPr>
      <w:r>
        <w:drawing>
          <wp:inline xmlns:a="http://schemas.openxmlformats.org/drawingml/2006/main" xmlns:pic="http://schemas.openxmlformats.org/drawingml/2006/picture">
            <wp:extent cx="5220000" cy="2946316"/>
            <wp:docPr id="3" name="Picture 3"/>
            <wp:cNvGraphicFramePr>
              <a:graphicFrameLocks noChangeAspect="1"/>
            </wp:cNvGraphicFramePr>
            <a:graphic>
              <a:graphicData uri="http://schemas.openxmlformats.org/drawingml/2006/picture">
                <pic:pic>
                  <pic:nvPicPr>
                    <pic:cNvPr id="0" name="sens_Residential.png"/>
                    <pic:cNvPicPr/>
                  </pic:nvPicPr>
                  <pic:blipFill>
                    <a:blip r:embed="rId13"/>
                    <a:stretch>
                      <a:fillRect/>
                    </a:stretch>
                  </pic:blipFill>
                  <pic:spPr>
                    <a:xfrm>
                      <a:off x="0" y="0"/>
                      <a:ext cx="5220000" cy="2946316"/>
                    </a:xfrm>
                    <a:prstGeom prst="rect"/>
                  </pic:spPr>
                </pic:pic>
              </a:graphicData>
            </a:graphic>
          </wp:inline>
        </w:drawing>
      </w:r>
    </w:p>
    <w:p>
      <w:pPr>
        <w:spacing w:after="120"/>
      </w:pPr>
      <w:r>
        <w:rPr>
          <w:i w:val="0"/>
          <w:color w:val="1A1A1A"/>
          <w:sz w:val="19"/>
        </w:rPr>
        <w:t>A 5% fall in retail values takes the return to 21.9%. A 5% rise in build cost takes it to 25.2%. The revenue side moves the answer roughly twice as hard as the cost side, which is why comparable selection deserves more scrutiny than the build estimate.</w:t>
      </w:r>
    </w:p>
    <w:p>
      <w:pPr>
        <w:spacing w:before="320" w:after="120"/>
      </w:pPr>
      <w:r>
        <w:rPr>
          <w:b/>
          <w:color w:val="1F3A5F"/>
          <w:sz w:val="26"/>
        </w:rPr>
        <w:t>4. Method and limits</w:t>
      </w:r>
    </w:p>
    <w:p>
      <w:pPr>
        <w:spacing w:after="120"/>
      </w:pPr>
      <w:r>
        <w:rPr>
          <w:i w:val="0"/>
          <w:color w:val="1A1A1A"/>
          <w:sz w:val="19"/>
        </w:rPr>
        <w:t>Gross realisation is average retail value times dwelling count. Net realisation deducts selling costs. Total cost is land plus stamp duty plus build, council contributions, professional fees, contingency and finance. Profit on cost is net profit divided by total cost, and the verdict tests it against the threshold entered on the sheet.</w:t>
      </w:r>
    </w:p>
    <w:p>
      <w:pPr>
        <w:spacing w:after="120"/>
      </w:pPr>
      <w:r>
        <w:rPr>
          <w:i/>
          <w:color w:val="7A7A7A"/>
          <w:sz w:val="18"/>
        </w:rPr>
        <w:t>This is a screening tool, not a full feasibility study. It does not model GST or the margin scheme, a project timeline, staged finance drawdown, demolition or site servicing, or strata establishment. Figures are only as good as the comparables entered.</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t>1</w:t>
      <w:fldChar w:fldCharType="end"/>
    </w:r>
    <w:r>
      <w:rPr>
        <w:sz w:val="16"/>
      </w:rPr>
      <w:t xml:space="preserve"> of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A7A7A"/>
        <w:sz w:val="16"/>
      </w:rPr>
      <w:t>Residential Feasibility  ·  FEAS-202609-RES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