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E5" w:rsidRDefault="009A6EE5" w:rsidP="009A6EE5">
      <w:pPr>
        <w:spacing w:after="0" w:line="360" w:lineRule="auto"/>
      </w:pPr>
      <w:r>
        <w:t>Dear Robert and Didier,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I think there might be an issue for the non-paired test (e.g., one-way ANOVA and </w:t>
      </w:r>
      <w:proofErr w:type="spellStart"/>
      <w:r>
        <w:t>Kruskal</w:t>
      </w:r>
      <w:proofErr w:type="spellEnd"/>
      <w:r>
        <w:t xml:space="preserve"> test). I ran a simulation to illustrate why, please see below: 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I used the actual MAPE data series by the </w:t>
      </w:r>
      <w:r>
        <w:t>base-lift</w:t>
      </w:r>
      <w:r>
        <w:t xml:space="preserve"> method (average aroun</w:t>
      </w:r>
      <w:r>
        <w:t>d 30%, with 100 observations</w:t>
      </w:r>
      <w:r>
        <w:t xml:space="preserve">), </w:t>
      </w:r>
      <w:r w:rsidR="000F2F1A">
        <w:t>the data</w:t>
      </w:r>
      <w:r>
        <w:t xml:space="preserve"> are not normally distributed.</w:t>
      </w:r>
      <w:r w:rsidR="000F2F1A">
        <w:t xml:space="preserve"> </w:t>
      </w:r>
      <w:r>
        <w:t>Then I generated an artificial data series by subtracting a small random number fro</w:t>
      </w:r>
      <w:r>
        <w:t xml:space="preserve">m each of the 100 observations. The </w:t>
      </w:r>
      <w:r>
        <w:t>subtracted number</w:t>
      </w:r>
      <w:r>
        <w:t xml:space="preserve"> is between 0 to 1% and </w:t>
      </w:r>
      <w:r>
        <w:t>uniformly distributed</w:t>
      </w:r>
      <w:r>
        <w:t xml:space="preserve">. </w:t>
      </w:r>
      <w:r>
        <w:t xml:space="preserve">So </w:t>
      </w:r>
      <w:r w:rsidR="000F2F1A">
        <w:t>these</w:t>
      </w:r>
      <w:r>
        <w:t xml:space="preserve"> artificial </w:t>
      </w:r>
      <w:r w:rsidR="00FE7006">
        <w:t>data</w:t>
      </w:r>
      <w:r>
        <w:t xml:space="preserve"> should have better performance than the </w:t>
      </w:r>
      <w:r>
        <w:t xml:space="preserve">base-lift method </w:t>
      </w:r>
      <w:r>
        <w:t>by definition.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Then I conduct </w:t>
      </w:r>
      <w:r w:rsidR="00FE7006">
        <w:t>the following tests:</w:t>
      </w:r>
    </w:p>
    <w:p w:rsidR="009A6EE5" w:rsidRDefault="009A6EE5" w:rsidP="009A6EE5">
      <w:pPr>
        <w:spacing w:after="0" w:line="360" w:lineRule="auto"/>
      </w:pPr>
      <w:r>
        <w:t>1)</w:t>
      </w:r>
      <w:r>
        <w:tab/>
      </w:r>
      <w:r>
        <w:t>O</w:t>
      </w:r>
      <w:r>
        <w:t xml:space="preserve">ne-way ANOVA, </w:t>
      </w:r>
    </w:p>
    <w:p w:rsidR="003A680A" w:rsidRDefault="003A680A" w:rsidP="009A6EE5">
      <w:pPr>
        <w:spacing w:after="0" w:line="360" w:lineRule="auto"/>
      </w:pPr>
      <w:r>
        <w:t>2)</w:t>
      </w:r>
      <w:r>
        <w:tab/>
      </w:r>
      <w:proofErr w:type="spellStart"/>
      <w:r>
        <w:t>Kruskal</w:t>
      </w:r>
      <w:proofErr w:type="spellEnd"/>
      <w:r>
        <w:t xml:space="preserve"> test</w:t>
      </w:r>
    </w:p>
    <w:p w:rsidR="009A6EE5" w:rsidRDefault="003A680A" w:rsidP="009A6EE5">
      <w:pPr>
        <w:spacing w:after="0" w:line="360" w:lineRule="auto"/>
      </w:pPr>
      <w:r>
        <w:t>3)</w:t>
      </w:r>
      <w:r>
        <w:tab/>
        <w:t>paired-t test</w:t>
      </w:r>
    </w:p>
    <w:p w:rsidR="009A6EE5" w:rsidRDefault="009A6EE5" w:rsidP="009A6EE5">
      <w:pPr>
        <w:spacing w:after="0" w:line="360" w:lineRule="auto"/>
      </w:pPr>
      <w:r>
        <w:t>4)</w:t>
      </w:r>
      <w:r>
        <w:tab/>
      </w:r>
      <w:r w:rsidR="003A680A">
        <w:t>non-paired (</w:t>
      </w:r>
      <w:r>
        <w:t>independent</w:t>
      </w:r>
      <w:r w:rsidR="003A680A">
        <w:t>)-t test</w:t>
      </w:r>
    </w:p>
    <w:p w:rsidR="009A6EE5" w:rsidRDefault="003A680A" w:rsidP="009A6EE5">
      <w:pPr>
        <w:spacing w:after="0" w:line="360" w:lineRule="auto"/>
      </w:pPr>
      <w:r>
        <w:t>5)</w:t>
      </w:r>
      <w:r>
        <w:tab/>
        <w:t>Wilcoxon SR test (paired)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>The results:</w:t>
      </w:r>
    </w:p>
    <w:p w:rsidR="009A6EE5" w:rsidRDefault="00A87B3A" w:rsidP="009A6EE5">
      <w:pPr>
        <w:spacing w:after="0" w:line="360" w:lineRule="auto"/>
      </w:pPr>
      <w:r>
        <w:t>All the</w:t>
      </w:r>
      <w:r w:rsidR="009A6EE5">
        <w:t xml:space="preserve"> non-paired test</w:t>
      </w:r>
      <w:r>
        <w:t>s</w:t>
      </w:r>
      <w:r w:rsidR="009A6EE5">
        <w:t xml:space="preserve"> fail to detect the difference.</w:t>
      </w:r>
    </w:p>
    <w:p w:rsidR="009A6EE5" w:rsidRDefault="009A6EE5" w:rsidP="009A6EE5">
      <w:pPr>
        <w:spacing w:after="0" w:line="360" w:lineRule="auto"/>
      </w:pPr>
      <w:r>
        <w:t xml:space="preserve">One-way ANOVA and </w:t>
      </w:r>
      <w:proofErr w:type="spellStart"/>
      <w:r>
        <w:t>Kruskal</w:t>
      </w:r>
      <w:proofErr w:type="spellEnd"/>
      <w:r>
        <w:t xml:space="preserve"> test reported</w:t>
      </w:r>
      <w:r>
        <w:t xml:space="preserve"> p-values </w:t>
      </w:r>
      <w:r w:rsidR="00A87B3A">
        <w:t>of</w:t>
      </w:r>
      <w:r>
        <w:t xml:space="preserve"> 0.51 and 0.34. </w:t>
      </w:r>
      <w:r w:rsidR="00495ADD">
        <w:t>T</w:t>
      </w:r>
      <w:r>
        <w:t>he post-hoc test is not even needed because we ha</w:t>
      </w:r>
      <w:r>
        <w:t xml:space="preserve">ve two series in this </w:t>
      </w:r>
      <w:r w:rsidR="00495ADD">
        <w:t>condition</w:t>
      </w:r>
      <w:r>
        <w:t>. I</w:t>
      </w:r>
      <w:r>
        <w:t xml:space="preserve">ndependent </w:t>
      </w:r>
      <w:r w:rsidR="00495ADD">
        <w:t>two</w:t>
      </w:r>
      <w:r>
        <w:t>-group t-test reported a p-value of 0.54, which failed to detect the difference</w:t>
      </w:r>
      <w:r w:rsidR="00495ADD">
        <w:t xml:space="preserve"> as well</w:t>
      </w:r>
      <w:r>
        <w:t>.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However, </w:t>
      </w:r>
      <w:r>
        <w:t>Paired-t test and the Wilcoxon SR test both report p-values close to 0 (p-value &lt; 2.2e-16), which rejected the null of no difference.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p w:rsidR="009A6EE5" w:rsidRDefault="0040631C" w:rsidP="009A6EE5">
      <w:pPr>
        <w:spacing w:after="0" w:line="360" w:lineRule="auto"/>
      </w:pPr>
      <w:r>
        <w:t xml:space="preserve">I also tried with completely simulated data which are normally distributed </w:t>
      </w:r>
      <w:proofErr w:type="gramStart"/>
      <w:r>
        <w:t>and  found</w:t>
      </w:r>
      <w:proofErr w:type="gramEnd"/>
      <w:r>
        <w:t xml:space="preserve"> similar results. </w:t>
      </w:r>
      <w:r w:rsidR="009A6EE5">
        <w:t xml:space="preserve">So I think </w:t>
      </w:r>
      <w:r w:rsidR="002E3A9C">
        <w:t>it may not be the normality assumption which matters but</w:t>
      </w:r>
      <w:r w:rsidR="009A6EE5">
        <w:t xml:space="preserve"> the paired and non-paired assumption makes a big difference?</w:t>
      </w:r>
      <w:bookmarkStart w:id="0" w:name="_GoBack"/>
      <w:bookmarkEnd w:id="0"/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The Wilcoxon Sign Rank tests results for the models in our paper are shown below: most of the results are significant for IC, though moderate for EWC. However, I wonder do we </w:t>
      </w:r>
      <w:r>
        <w:lastRenderedPageBreak/>
        <w:t>include them or not (due to the limitation of applying statistical significance itself where were address by previous studies)?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>Thank you very much!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>Best regards,</w:t>
      </w:r>
    </w:p>
    <w:p w:rsidR="009A6EE5" w:rsidRDefault="009A6EE5" w:rsidP="009A6EE5">
      <w:pPr>
        <w:spacing w:after="0" w:line="360" w:lineRule="auto"/>
      </w:pPr>
      <w:r>
        <w:t xml:space="preserve">Tao 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tbl>
      <w:tblPr>
        <w:tblStyle w:val="ListTable1Light1"/>
        <w:tblW w:w="9923" w:type="dxa"/>
        <w:tblInd w:w="-567" w:type="dxa"/>
        <w:tblLook w:val="04A0" w:firstRow="1" w:lastRow="0" w:firstColumn="1" w:lastColumn="0" w:noHBand="0" w:noVBand="1"/>
      </w:tblPr>
      <w:tblGrid>
        <w:gridCol w:w="1560"/>
        <w:gridCol w:w="1180"/>
        <w:gridCol w:w="1088"/>
        <w:gridCol w:w="992"/>
        <w:gridCol w:w="850"/>
        <w:gridCol w:w="851"/>
        <w:gridCol w:w="850"/>
        <w:gridCol w:w="851"/>
        <w:gridCol w:w="850"/>
        <w:gridCol w:w="851"/>
      </w:tblGrid>
      <w:tr w:rsidR="00716ADA" w:rsidRPr="00344FA4" w:rsidTr="00B93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Model/Forecast horizon/error measure</w:t>
            </w:r>
          </w:p>
        </w:tc>
        <w:tc>
          <w:tcPr>
            <w:tcW w:w="3260" w:type="dxa"/>
            <w:gridSpan w:val="3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Forecast horizon= 1</w:t>
            </w:r>
          </w:p>
        </w:tc>
        <w:tc>
          <w:tcPr>
            <w:tcW w:w="2551" w:type="dxa"/>
            <w:gridSpan w:val="3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Forecast horizon= 4</w:t>
            </w:r>
          </w:p>
        </w:tc>
        <w:tc>
          <w:tcPr>
            <w:tcW w:w="2552" w:type="dxa"/>
            <w:gridSpan w:val="3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Forecast horizon= 12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MAPE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SMAPE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MASE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MAPE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SMAPE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MASE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MAPE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SMAPE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MASE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ADL-own-IC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0.015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0.133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0.273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0.000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0.019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0.079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0.001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0.003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ADL-own-EWC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0.949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0.246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0.114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0.494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0.680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0.498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0.365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0.392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0.579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ADL-IC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0.046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0.201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0.398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0.000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0.021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0.136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0.017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0.025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0.078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ADL-EWC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0.277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0.041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0.743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0.436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0.227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0.914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0.608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0.652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ADL-DI-IC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0.081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0.530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0.287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0.060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0.333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0.243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0.147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0.303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0.192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ADL-DI-EWC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0.452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0.408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0.158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0.942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0.662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0.594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0.911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0.718</w:t>
            </w:r>
          </w:p>
        </w:tc>
      </w:tr>
    </w:tbl>
    <w:p w:rsidR="00D2162F" w:rsidRDefault="0040631C" w:rsidP="009A6EE5">
      <w:pPr>
        <w:spacing w:after="0" w:line="360" w:lineRule="auto"/>
      </w:pPr>
    </w:p>
    <w:sectPr w:rsidR="00D2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27"/>
    <w:rsid w:val="000F2F1A"/>
    <w:rsid w:val="002E3A9C"/>
    <w:rsid w:val="003A680A"/>
    <w:rsid w:val="0040631C"/>
    <w:rsid w:val="00495ADD"/>
    <w:rsid w:val="00522027"/>
    <w:rsid w:val="0064498D"/>
    <w:rsid w:val="006E0179"/>
    <w:rsid w:val="00716ADA"/>
    <w:rsid w:val="00716D73"/>
    <w:rsid w:val="009A6EE5"/>
    <w:rsid w:val="00A87B3A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1D3"/>
  <w15:chartTrackingRefBased/>
  <w15:docId w15:val="{37430F5F-6107-4786-9A21-D9F1A20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6ADA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1Light1">
    <w:name w:val="List Table 1 Light1"/>
    <w:basedOn w:val="TableNormal"/>
    <w:next w:val="ListTable1Light"/>
    <w:uiPriority w:val="46"/>
    <w:rsid w:val="00716A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1Light">
    <w:name w:val="List Table 1 Light"/>
    <w:basedOn w:val="TableNormal"/>
    <w:uiPriority w:val="46"/>
    <w:rsid w:val="00716A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8</cp:revision>
  <dcterms:created xsi:type="dcterms:W3CDTF">2016-10-01T15:34:00Z</dcterms:created>
  <dcterms:modified xsi:type="dcterms:W3CDTF">2016-10-01T15:39:00Z</dcterms:modified>
</cp:coreProperties>
</file>