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 change in the effectiveness of the price and promotional activities,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Default="00B30BF6" w:rsidP="00324987">
      <w:pPr>
        <w:spacing w:after="0" w:line="360" w:lineRule="auto"/>
        <w:rPr>
          <w:rFonts w:cs="Times New Roman"/>
          <w:szCs w:val="24"/>
        </w:rPr>
      </w:pPr>
      <w:r>
        <w:rPr>
          <w:rFonts w:cs="Times New Roman"/>
          <w:szCs w:val="24"/>
        </w:rPr>
        <w:t>Selling point:</w:t>
      </w:r>
    </w:p>
    <w:p w:rsidR="00B30BF6" w:rsidRPr="004D35BF" w:rsidRDefault="00B30BF6" w:rsidP="00324987">
      <w:pPr>
        <w:spacing w:after="0" w:line="360" w:lineRule="auto"/>
        <w:rPr>
          <w:rFonts w:cs="Times New Roman"/>
          <w:szCs w:val="24"/>
        </w:rPr>
      </w:pPr>
      <w:r w:rsidRPr="00B30BF6">
        <w:rPr>
          <w:rFonts w:cs="Times New Roman"/>
          <w:szCs w:val="24"/>
          <w:highlight w:val="yellow"/>
        </w:rPr>
        <w:t>Easy to implement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EB4CE8">
        <w:rPr>
          <w:rFonts w:cs="Times New Roman"/>
          <w:szCs w:val="24"/>
        </w:rPr>
        <w:t>, scheduling, planning and strategical management {Petropoulos, 2014 #3}</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w:t>
      </w:r>
      <w:r w:rsidR="005B4B7D">
        <w:rPr>
          <w:rFonts w:cs="Times New Roman"/>
          <w:szCs w:val="24"/>
        </w:rPr>
        <w:t>constant</w:t>
      </w:r>
      <w:r w:rsidR="003653B4" w:rsidRPr="004D35BF">
        <w:rPr>
          <w:rFonts w:cs="Times New Roman"/>
          <w:szCs w:val="24"/>
        </w:rPr>
        <w:t xml:space="preserve"> </w:t>
      </w:r>
      <w:r w:rsidR="00E446EB" w:rsidRPr="004D35BF">
        <w:rPr>
          <w:rFonts w:cs="Times New Roman"/>
          <w:szCs w:val="24"/>
        </w:rPr>
        <w:t>effect</w:t>
      </w:r>
      <w:r w:rsidR="005B4B7D">
        <w:rPr>
          <w:rFonts w:cs="Times New Roman"/>
          <w:szCs w:val="24"/>
        </w:rPr>
        <w:t>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5B4B7D">
        <w:rPr>
          <w:rFonts w:cs="Times New Roman"/>
          <w:szCs w:val="24"/>
        </w:rPr>
        <w:t xml:space="preserve">evidence shows that </w:t>
      </w:r>
      <w:r w:rsidR="008961B6" w:rsidRPr="004D35BF">
        <w:rPr>
          <w:rFonts w:cs="Times New Roman"/>
          <w:szCs w:val="24"/>
        </w:rPr>
        <w:t>the</w:t>
      </w:r>
      <w:r w:rsidR="005B4B7D">
        <w:rPr>
          <w:rFonts w:cs="Times New Roman"/>
          <w:szCs w:val="24"/>
        </w:rPr>
        <w:t xml:space="preserve"> effect</w:t>
      </w:r>
      <w:r w:rsidRPr="004D35BF">
        <w:rPr>
          <w:rFonts w:cs="Times New Roman"/>
          <w:szCs w:val="24"/>
        </w:rPr>
        <w:t xml:space="preserve"> of price reductions and promotions </w:t>
      </w:r>
      <w:r w:rsidR="005B4B7D">
        <w:rPr>
          <w:rFonts w:cs="Times New Roman"/>
          <w:szCs w:val="24"/>
        </w:rPr>
        <w:t>tend to</w:t>
      </w:r>
      <w:r w:rsidRPr="004D35BF">
        <w:rPr>
          <w:rFonts w:cs="Times New Roman"/>
          <w:szCs w:val="24"/>
        </w:rPr>
        <w:t xml:space="preserve"> change </w:t>
      </w:r>
      <w:r w:rsidR="005B4B7D">
        <w:rPr>
          <w:rFonts w:cs="Times New Roman"/>
          <w:szCs w:val="24"/>
        </w:rPr>
        <w:t xml:space="preserve">overtime </w:t>
      </w:r>
      <w:r w:rsidRPr="004D35BF">
        <w:rPr>
          <w:rFonts w:cs="Times New Roman"/>
          <w:szCs w:val="24"/>
        </w:rPr>
        <w:t xml:space="preserve">due to </w:t>
      </w:r>
      <w:r w:rsidR="00E446EB" w:rsidRPr="004D35BF">
        <w:rPr>
          <w:rFonts w:cs="Times New Roman"/>
          <w:szCs w:val="24"/>
        </w:rPr>
        <w:t xml:space="preserve">many influencing factors </w:t>
      </w:r>
      <w:r w:rsidR="00A77706" w:rsidRPr="004D35BF">
        <w:rPr>
          <w:rFonts w:cs="Times New Roman"/>
          <w:szCs w:val="24"/>
        </w:rPr>
        <w:lastRenderedPageBreak/>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4248F1">
        <w:rPr>
          <w:rFonts w:cs="Times New Roman"/>
          <w:szCs w:val="24"/>
        </w:rPr>
        <w:t>For example, c</w:t>
      </w:r>
      <w:r w:rsidR="001F144B" w:rsidRPr="004D35BF">
        <w:rPr>
          <w:rFonts w:cs="Times New Roman"/>
          <w:szCs w:val="24"/>
        </w:rPr>
        <w:t>ustomers may become more price/deal sens</w:t>
      </w:r>
      <w:r w:rsidR="007771B6" w:rsidRPr="004D35BF">
        <w:rPr>
          <w:rFonts w:cs="Times New Roman"/>
          <w:szCs w:val="24"/>
        </w:rPr>
        <w:t xml:space="preserve">itive during an economic crunch. </w:t>
      </w:r>
      <w:r w:rsidR="004248F1">
        <w:rPr>
          <w:rFonts w:cs="Times New Roman"/>
          <w:szCs w:val="24"/>
        </w:rPr>
        <w:t>W</w:t>
      </w:r>
      <w:r w:rsidR="004248F1" w:rsidRPr="004D35BF">
        <w:rPr>
          <w:rFonts w:cs="Times New Roman"/>
          <w:szCs w:val="24"/>
        </w:rPr>
        <w:t>hen a new competitor enters the market</w:t>
      </w:r>
      <w:r w:rsidR="004248F1">
        <w:rPr>
          <w:rFonts w:cs="Times New Roman"/>
          <w:szCs w:val="24"/>
        </w:rPr>
        <w:t>, i</w:t>
      </w:r>
      <w:r w:rsidR="001F144B" w:rsidRPr="004D35BF">
        <w:rPr>
          <w:rFonts w:cs="Times New Roman"/>
          <w:szCs w:val="24"/>
        </w:rPr>
        <w:t>t become</w:t>
      </w:r>
      <w:r w:rsidR="004248F1">
        <w:rPr>
          <w:rFonts w:cs="Times New Roman"/>
          <w:szCs w:val="24"/>
        </w:rPr>
        <w:t>s</w:t>
      </w:r>
      <w:r w:rsidR="001F144B" w:rsidRPr="004D35BF">
        <w:rPr>
          <w:rFonts w:cs="Times New Roman"/>
          <w:szCs w:val="24"/>
        </w:rPr>
        <w:t xml:space="preserv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t>
      </w:r>
      <w:r w:rsidR="00964D03">
        <w:rPr>
          <w:rFonts w:cs="Times New Roman"/>
          <w:szCs w:val="24"/>
        </w:rPr>
        <w:t xml:space="preserve">In reality, </w:t>
      </w:r>
      <w:r w:rsidR="00E76C88" w:rsidRPr="004D35BF">
        <w:rPr>
          <w:rFonts w:cs="Times New Roman"/>
          <w:szCs w:val="24"/>
        </w:rPr>
        <w:t>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2D6E89">
        <w:rPr>
          <w:rFonts w:cs="Times New Roman"/>
          <w:noProof/>
          <w:szCs w:val="24"/>
        </w:rPr>
        <w:t>of</w:t>
      </w:r>
      <w:r w:rsidR="002D6E89">
        <w:rPr>
          <w:rFonts w:cs="Times New Roman"/>
          <w:szCs w:val="24"/>
        </w:rPr>
        <w:t xml:space="preserve"> the effect</w:t>
      </w:r>
      <w:r w:rsidR="001F144B" w:rsidRPr="004D35BF">
        <w:rPr>
          <w:rFonts w:cs="Times New Roman"/>
          <w:szCs w:val="24"/>
        </w:rPr>
        <w:t xml:space="preserve">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2D6E89">
        <w:rPr>
          <w:rFonts w:cs="Times New Roman"/>
          <w:szCs w:val="24"/>
        </w:rPr>
        <w:t xml:space="preserve">. A structural break </w:t>
      </w:r>
      <w:r w:rsidR="00E446EB" w:rsidRPr="004D35BF">
        <w:rPr>
          <w:rFonts w:cs="Times New Roman"/>
          <w:szCs w:val="24"/>
        </w:rPr>
        <w:t xml:space="preserve">is defined as </w:t>
      </w:r>
      <w:r w:rsidR="002D6E89">
        <w:rPr>
          <w:rFonts w:cs="Times New Roman"/>
          <w:szCs w:val="24"/>
        </w:rPr>
        <w:t xml:space="preserve">a </w:t>
      </w:r>
      <w:r w:rsidR="00E446EB" w:rsidRPr="004D35BF">
        <w:rPr>
          <w:rFonts w:cs="Times New Roman"/>
          <w:szCs w:val="24"/>
        </w:rPr>
        <w:t>large change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w:t>
      </w:r>
      <w:r w:rsidR="002D6E89">
        <w:rPr>
          <w:rFonts w:cs="Times New Roman"/>
          <w:szCs w:val="24"/>
        </w:rPr>
        <w:t xml:space="preserve">thus </w:t>
      </w:r>
      <w:r w:rsidR="00E446EB" w:rsidRPr="004D35BF">
        <w:rPr>
          <w:rFonts w:cs="Times New Roman"/>
          <w:szCs w:val="24"/>
        </w:rPr>
        <w:t>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have been </w:t>
      </w:r>
      <w:r w:rsidR="002D6E89">
        <w:rPr>
          <w:rFonts w:cs="Times New Roman"/>
          <w:szCs w:val="24"/>
        </w:rPr>
        <w:t xml:space="preserve">historically </w:t>
      </w:r>
      <w:r w:rsidR="00FD1379" w:rsidRPr="004D35BF">
        <w:rPr>
          <w:rFonts w:cs="Times New Roman"/>
          <w:szCs w:val="24"/>
        </w:rPr>
        <w:t>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w:t>
      </w:r>
      <w:r w:rsidR="00667E4F" w:rsidRPr="004D35BF">
        <w:rPr>
          <w:szCs w:val="24"/>
        </w:rPr>
        <w:lastRenderedPageBreak/>
        <w:t xml:space="preserve">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also </w:t>
      </w:r>
      <w:r w:rsidR="00C71E63" w:rsidRPr="004D35BF">
        <w:rPr>
          <w:szCs w:val="24"/>
        </w:rPr>
        <w:t xml:space="preserve">manufacturers when competitive promotional information become not accessible. </w:t>
      </w:r>
      <w:r w:rsidR="00F03A2E" w:rsidRPr="004D35BF">
        <w:rPr>
          <w:szCs w:val="24"/>
        </w:rPr>
        <w:t xml:space="preserve">4)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r w:rsidR="000048EC">
        <w:rPr>
          <w:szCs w:val="24"/>
        </w:rPr>
        <w:t xml:space="preserve"> The finding of the research can be used as a guidance for practitioners to select which forecasting method to use based on ex-ante analysis {Petropoulos, 2014 #3}. For example, they may decide whether or not implement the new forecasting method based on the potential benefit.</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w:t>
      </w:r>
      <w:r w:rsidR="00CB0095" w:rsidRPr="004D35BF">
        <w:rPr>
          <w:rFonts w:cs="Times New Roman"/>
          <w:szCs w:val="24"/>
        </w:rPr>
        <w:lastRenderedPageBreak/>
        <w:t>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and 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w:t>
      </w:r>
      <w:r w:rsidR="00806CD0">
        <w:rPr>
          <w:rFonts w:cs="Times New Roman"/>
          <w:szCs w:val="24"/>
        </w:rPr>
        <w:t>effect</w:t>
      </w:r>
      <w:r w:rsidRPr="004D35BF">
        <w:rPr>
          <w:rFonts w:cs="Times New Roman"/>
          <w:szCs w:val="24"/>
        </w:rPr>
        <w:t xml:space="preserve"> of marketing activities</w:t>
      </w:r>
      <w:r w:rsidR="00806CD0">
        <w:rPr>
          <w:rFonts w:cs="Times New Roman"/>
          <w:szCs w:val="24"/>
        </w:rPr>
        <w:t xml:space="preserve"> and the issue of structural break</w:t>
      </w:r>
    </w:p>
    <w:p w:rsidR="00EE7CF5" w:rsidRPr="004D35BF" w:rsidRDefault="00EE7CF5" w:rsidP="00324987">
      <w:pPr>
        <w:spacing w:after="0" w:line="360" w:lineRule="auto"/>
        <w:rPr>
          <w:rFonts w:cs="Times New Roman"/>
          <w:szCs w:val="24"/>
        </w:rPr>
      </w:pPr>
      <w:bookmarkStart w:id="1" w:name="_GoBack"/>
      <w:bookmarkEnd w:id="1"/>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w:t>
      </w:r>
      <w:r w:rsidR="000B0628" w:rsidRPr="004D35BF">
        <w:rPr>
          <w:rFonts w:cs="Times New Roman"/>
          <w:szCs w:val="24"/>
        </w:rPr>
        <w:lastRenderedPageBreak/>
        <w:t xml:space="preserve">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found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lastRenderedPageBreak/>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Kopalle, Mela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 xml:space="preserve">e.g., for ice </w:t>
      </w:r>
      <w:r w:rsidR="004D2784" w:rsidRPr="004D35BF">
        <w:rPr>
          <w:rFonts w:cs="Times New Roman"/>
          <w:szCs w:val="24"/>
        </w:rPr>
        <w:lastRenderedPageBreak/>
        <w:t>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630DBA"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r w:rsidR="002E4AEC" w:rsidRPr="004D35BF">
        <w:rPr>
          <w:rFonts w:cs="Times New Roman"/>
          <w:i/>
          <w:szCs w:val="24"/>
        </w:rPr>
        <w:t>m</w:t>
      </w:r>
      <w:r w:rsidR="002E4AEC" w:rsidRPr="004D35BF">
        <w:rPr>
          <w:rFonts w:cs="Times New Roman"/>
          <w:szCs w:val="24"/>
        </w:rPr>
        <w:t>,T] bec</w:t>
      </w:r>
      <w:r w:rsidR="002E4AEC" w:rsidRPr="003C0313">
        <w:rPr>
          <w:rFonts w:cs="Times New Roman"/>
          <w:noProof/>
          <w:szCs w:val="24"/>
        </w:rPr>
        <w:t>omes</w:t>
      </w:r>
      <w:r w:rsidR="005A2463" w:rsidRPr="003C0313">
        <w:rPr>
          <w:rFonts w:cs="Times New Roman"/>
          <w:noProof/>
          <w:szCs w:val="24"/>
        </w:rPr>
        <w:t>:</w:t>
      </w:r>
    </w:p>
    <w:p w:rsidR="00E446EB" w:rsidRPr="003C0313" w:rsidRDefault="00630DBA"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630DBA"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lastRenderedPageBreak/>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8F09DA" w:rsidRPr="004D35BF">
        <w:rPr>
          <w:rFonts w:cs="Times New Roman"/>
          <w:szCs w:val="24"/>
        </w:rPr>
        <w:t>Thus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630DBA"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630DBA"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630DBA"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 xml:space="preserve">line in </w:t>
      </w:r>
      <w:r w:rsidR="00EB2D15" w:rsidRPr="004D35BF">
        <w:rPr>
          <w:rFonts w:cs="Times New Roman"/>
          <w:szCs w:val="24"/>
        </w:rPr>
        <w:lastRenderedPageBreak/>
        <w:t>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the 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lastRenderedPageBreak/>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lastRenderedPageBreak/>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 xml:space="preserve">We add the bias estimate back to the 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lastRenderedPageBreak/>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w:t>
      </w:r>
      <w:r w:rsidR="00F34067" w:rsidRPr="004D35BF">
        <w:rPr>
          <w:rFonts w:cs="Times New Roman"/>
          <w:szCs w:val="24"/>
        </w:rPr>
        <w:lastRenderedPageBreak/>
        <w:t>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630DBA"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630DBA"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630DBA"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lastRenderedPageBreak/>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630DBA"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5E1D9C">
        <w:rPr>
          <w:rFonts w:cs="Times New Roman"/>
          <w:szCs w:val="24"/>
        </w:rPr>
        <w:t xml:space="preserve">Evidence also show that combining forecasts leads to higher forecasting accuracy {Clemen, 1989 #745}{Jose, 2008 #746}.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630DBA"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lastRenderedPageBreak/>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lastRenderedPageBreak/>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p w:rsidR="007005E6" w:rsidRDefault="007005E6">
      <w:pPr>
        <w:spacing w:after="160" w:line="259" w:lineRule="auto"/>
        <w:rPr>
          <w:rFonts w:cs="Times New Roman"/>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8C0DBD"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7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66"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c>
          <w:tcPr>
            <w:tcW w:w="1848" w:type="dxa"/>
            <w:shd w:val="clear" w:color="auto" w:fill="auto"/>
            <w:hideMark/>
          </w:tcPr>
          <w:p w:rsidR="00D24DEB" w:rsidRPr="00D24DEB"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829"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71"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48"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Beer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20.61</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169</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Milk</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2.45</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222.26</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Blades</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8.13</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7.40%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Mustard &amp; Ketchup</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64.51</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0.90%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Carbonated Beverages</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26.80%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Paper towels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Cigarette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22.28</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0.80%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Peanut butter</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34.23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0.60%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Coffee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5.19</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Photo</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4.60%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Cold cereal</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Razors</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Deodorant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2.66</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Salty snacks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50.89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100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Face tissue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2.12</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75.82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11.70%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Shampoo</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3.51</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9.89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12.80%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Dinner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43.79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23.70%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Soup</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1.54</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61.59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9.70%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pizza</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3.44</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31.17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147</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Spaghetti sauce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2.43</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39.14</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Household Cleaner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29.92</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Sugar substitutes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14.49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Hotdog</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3.99</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68.63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Toilet Tissue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5.42</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89.13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Laundry Detergent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28.94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8.80%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Toothbrush</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Margarine/Butter</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1.95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71.36</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Toothpaste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35.49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Mayonnaise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2.97</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79.74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0.40%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Yogurt</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115.07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w:t>
            </w:r>
          </w:p>
        </w:tc>
      </w:tr>
    </w:tbl>
    <w:p w:rsidR="00D24DEB" w:rsidRPr="004D35BF" w:rsidRDefault="00D24DEB">
      <w:pPr>
        <w:spacing w:after="160" w:line="259" w:lineRule="auto"/>
        <w:rPr>
          <w:rFonts w:cs="Times New Roman"/>
          <w:szCs w:val="24"/>
        </w:rPr>
        <w:sectPr w:rsidR="00D24DEB"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6A729E">
      <w:pPr>
        <w:spacing w:after="0" w:line="360" w:lineRule="auto"/>
        <w:ind w:left="-851"/>
        <w:rPr>
          <w:rFonts w:cs="Times New Roman"/>
          <w:szCs w:val="24"/>
        </w:rPr>
      </w:pPr>
      <w:r w:rsidRPr="004D35BF">
        <w:rPr>
          <w:noProof/>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630DBA"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630DBA"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630DBA"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is the log sales of the focal product at week </w:t>
      </w:r>
      <m:oMath>
        <m:r>
          <w:rPr>
            <w:rFonts w:ascii="Cambria Math" w:hAnsi="Cambria Math"/>
            <w:szCs w:val="24"/>
          </w:rPr>
          <m:t>t</m:t>
        </m:r>
      </m:oMath>
    </w:p>
    <w:p w:rsidR="00B16011"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t>
      </w:r>
      <w:r w:rsidR="00C32CF9">
        <w:rPr>
          <w:szCs w:val="24"/>
        </w:rPr>
        <w:t xml:space="preserve">term for the determinist trend which </w:t>
      </w:r>
      <w:r w:rsidR="00CA6B58">
        <w:rPr>
          <w:szCs w:val="24"/>
        </w:rPr>
        <w:t xml:space="preserve">captures any potential steady change during the estimation period </w:t>
      </w:r>
      <w:r w:rsidR="00C32CF9">
        <w:rPr>
          <w:szCs w:val="24"/>
        </w:rPr>
        <w:t>{Song, 2003 #1216}.</w:t>
      </w:r>
    </w:p>
    <w:p w:rsidR="00CA6B58" w:rsidRDefault="00CA6B58" w:rsidP="00324987">
      <w:pPr>
        <w:pStyle w:val="ListParagraph"/>
        <w:spacing w:after="0" w:line="360" w:lineRule="auto"/>
        <w:ind w:left="0"/>
      </w:pPr>
    </w:p>
    <w:p w:rsidR="00CA6B58" w:rsidRDefault="00CA6B58" w:rsidP="00324987">
      <w:pPr>
        <w:pStyle w:val="ListParagraph"/>
        <w:spacing w:after="0" w:line="360" w:lineRule="auto"/>
        <w:ind w:left="0"/>
        <w:rPr>
          <w:szCs w:val="24"/>
        </w:rPr>
      </w:pPr>
    </w:p>
    <w:p w:rsidR="00CA6B58" w:rsidRDefault="00CA6B58" w:rsidP="00324987">
      <w:pPr>
        <w:pStyle w:val="ListParagraph"/>
        <w:spacing w:after="0" w:line="360" w:lineRule="auto"/>
        <w:ind w:left="0"/>
        <w:rPr>
          <w:szCs w:val="24"/>
        </w:rPr>
      </w:pPr>
    </w:p>
    <w:p w:rsidR="00CA6B58" w:rsidRPr="004D35BF" w:rsidRDefault="00CA6B58" w:rsidP="00324987">
      <w:pPr>
        <w:pStyle w:val="ListParagraph"/>
        <w:spacing w:after="0" w:line="360" w:lineRule="auto"/>
        <w:ind w:left="0"/>
        <w:rPr>
          <w:szCs w:val="24"/>
        </w:rPr>
      </w:pP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630DBA"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promotional index of the focal product at week </w:t>
      </w:r>
      <m:oMath>
        <m:r>
          <w:rPr>
            <w:rFonts w:ascii="Cambria Math" w:hAnsi="Cambria Math"/>
            <w:szCs w:val="24"/>
          </w:rPr>
          <m:t>t-j</m:t>
        </m:r>
      </m:oMath>
    </w:p>
    <w:p w:rsidR="00892A90" w:rsidRPr="004D35BF" w:rsidRDefault="00630DBA"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8"/>
      </w:r>
    </w:p>
    <w:p w:rsidR="00892A90" w:rsidRPr="004D35BF" w:rsidRDefault="00630DBA"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630DBA"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630DBA"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Feature</m:t>
                      </m:r>
                    </m:e>
                    <m:sub>
                      <m:r>
                        <w:rPr>
                          <w:rFonts w:ascii="Cambria Math" w:hAnsi="Cambria Math"/>
                          <w:szCs w:val="24"/>
                        </w:rPr>
                        <m:t>n,t-j</m:t>
                      </m:r>
                    </m:sub>
                  </m:sSub>
                </m:e>
              </m:nary>
            </m:e>
          </m:nary>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Display</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630DBA"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3B556A" w:rsidRDefault="00D024A0" w:rsidP="000533A2">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7c.</w:t>
      </w:r>
      <w:r w:rsidRPr="004D35BF">
        <w:rPr>
          <w:szCs w:val="24"/>
        </w:rPr>
        <w:tab/>
        <w:t>An illustration for the ADL-intra-IC models</w:t>
      </w:r>
    </w:p>
    <w:p w:rsidR="000533A2" w:rsidRDefault="000533A2" w:rsidP="00D56CAE">
      <w:pPr>
        <w:spacing w:after="0" w:line="360" w:lineRule="auto"/>
        <w:ind w:left="-993"/>
        <w:jc w:val="center"/>
        <w:rPr>
          <w:szCs w:val="24"/>
        </w:rPr>
      </w:pPr>
      <w:r w:rsidRPr="004D35BF">
        <w:rPr>
          <w:noProof/>
          <w:szCs w:val="24"/>
        </w:rPr>
        <w:lastRenderedPageBreak/>
        <w:drawing>
          <wp:inline distT="0" distB="0" distL="0" distR="0" wp14:anchorId="449ED888" wp14:editId="1CE5AF34">
            <wp:extent cx="6952926" cy="23050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0295" cy="2343961"/>
                    </a:xfrm>
                    <a:prstGeom prst="rect">
                      <a:avLst/>
                    </a:prstGeom>
                    <a:noFill/>
                  </pic:spPr>
                </pic:pic>
              </a:graphicData>
            </a:graphic>
          </wp:inline>
        </w:drawing>
      </w:r>
    </w:p>
    <w:p w:rsidR="000533A2" w:rsidRDefault="000533A2" w:rsidP="000533A2">
      <w:pPr>
        <w:spacing w:after="0" w:line="360" w:lineRule="auto"/>
        <w:rPr>
          <w:szCs w:val="24"/>
        </w:rPr>
      </w:pP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7d.</w:t>
      </w:r>
      <w:r w:rsidRPr="004D35BF">
        <w:rPr>
          <w:szCs w:val="24"/>
        </w:rPr>
        <w:tab/>
        <w:t>An illustration for the ADL-</w:t>
      </w:r>
      <w:r w:rsidRPr="003C0313">
        <w:rPr>
          <w:noProof/>
          <w:szCs w:val="24"/>
        </w:rPr>
        <w:t>intra</w:t>
      </w:r>
      <w:r w:rsidRPr="004D35BF">
        <w:rPr>
          <w:szCs w:val="24"/>
        </w:rPr>
        <w:t>-EWC models</w:t>
      </w:r>
    </w:p>
    <w:p w:rsidR="000533A2" w:rsidRPr="004D35BF" w:rsidRDefault="000533A2" w:rsidP="00D56CAE">
      <w:pPr>
        <w:spacing w:after="0" w:line="360" w:lineRule="auto"/>
        <w:ind w:left="-1134"/>
        <w:jc w:val="center"/>
        <w:rPr>
          <w:szCs w:val="24"/>
        </w:rPr>
      </w:pPr>
      <w:r w:rsidRPr="004D35BF">
        <w:rPr>
          <w:noProof/>
          <w:szCs w:val="24"/>
        </w:rPr>
        <w:drawing>
          <wp:inline distT="0" distB="0" distL="0" distR="0" wp14:anchorId="2C6C9035" wp14:editId="5BE50D61">
            <wp:extent cx="7232536" cy="25622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70251" cy="2611012"/>
                    </a:xfrm>
                    <a:prstGeom prst="rect">
                      <a:avLst/>
                    </a:prstGeom>
                    <a:noFill/>
                  </pic:spPr>
                </pic:pic>
              </a:graphicData>
            </a:graphic>
          </wp:inline>
        </w:drawing>
      </w:r>
    </w:p>
    <w:p w:rsidR="0070085A" w:rsidRDefault="0070085A" w:rsidP="00324987">
      <w:pPr>
        <w:spacing w:after="0" w:line="360" w:lineRule="auto"/>
        <w:rPr>
          <w:szCs w:val="24"/>
        </w:rPr>
      </w:pPr>
    </w:p>
    <w:p w:rsidR="0070085A" w:rsidRDefault="0070085A" w:rsidP="00324987">
      <w:pPr>
        <w:spacing w:after="0" w:line="360" w:lineRule="auto"/>
        <w:rPr>
          <w:szCs w:val="24"/>
        </w:rPr>
      </w:pPr>
    </w:p>
    <w:p w:rsidR="00892A90" w:rsidRPr="004D35BF" w:rsidRDefault="00C1563B" w:rsidP="00324987">
      <w:pPr>
        <w:spacing w:after="0" w:line="360" w:lineRule="auto"/>
        <w:rPr>
          <w:rFonts w:cs="Times New Roman"/>
          <w:szCs w:val="24"/>
        </w:rPr>
      </w:pPr>
      <w:r w:rsidRPr="004D35BF">
        <w:rPr>
          <w:szCs w:val="24"/>
        </w:rPr>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w:t>
      </w:r>
      <w:r w:rsidR="002707C1" w:rsidRPr="004D35BF">
        <w:rPr>
          <w:rFonts w:cs="Times New Roman"/>
          <w:szCs w:val="24"/>
        </w:rPr>
        <w:lastRenderedPageBreak/>
        <w:t>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if our initial estimation window is week 1 to week 1</w:t>
      </w:r>
      <w:r w:rsidR="004B26B2">
        <w:rPr>
          <w:rFonts w:cs="Times New Roman"/>
          <w:szCs w:val="24"/>
        </w:rPr>
        <w:t>6</w:t>
      </w:r>
      <w:r w:rsidR="00D216AF" w:rsidRPr="004D35BF">
        <w:rPr>
          <w:rFonts w:cs="Times New Roman"/>
          <w:szCs w:val="24"/>
        </w:rPr>
        <w:t xml:space="preserve">0, then we re-estimate the model with the time period from </w:t>
      </w:r>
      <w:r w:rsidR="002707C1" w:rsidRPr="004D35BF">
        <w:rPr>
          <w:rFonts w:cs="Times New Roman"/>
          <w:szCs w:val="24"/>
        </w:rPr>
        <w:t>week 1 to week 1</w:t>
      </w:r>
      <w:r w:rsidR="004B26B2">
        <w:rPr>
          <w:rFonts w:cs="Times New Roman"/>
          <w:szCs w:val="24"/>
        </w:rPr>
        <w:t>6</w:t>
      </w:r>
      <w:r w:rsidR="002707C1" w:rsidRPr="004D35BF">
        <w:rPr>
          <w:rFonts w:cs="Times New Roman"/>
          <w:szCs w:val="24"/>
        </w:rPr>
        <w:t xml:space="preserve">0, week </w:t>
      </w:r>
      <w:r w:rsidR="008D309C">
        <w:rPr>
          <w:rFonts w:cs="Times New Roman"/>
          <w:szCs w:val="24"/>
        </w:rPr>
        <w:t>5</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 xml:space="preserve">0, week </w:t>
      </w:r>
      <w:r w:rsidR="008D309C">
        <w:rPr>
          <w:rFonts w:cs="Times New Roman"/>
          <w:szCs w:val="24"/>
        </w:rPr>
        <w:t>9</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 xml:space="preserve">0, </w:t>
      </w:r>
      <w:r w:rsidR="008D309C">
        <w:rPr>
          <w:rFonts w:cs="Times New Roman"/>
          <w:szCs w:val="24"/>
        </w:rPr>
        <w:t xml:space="preserve">and so forth, until </w:t>
      </w:r>
      <w:r w:rsidR="002707C1" w:rsidRPr="004D35BF">
        <w:rPr>
          <w:rFonts w:cs="Times New Roman"/>
          <w:szCs w:val="24"/>
        </w:rPr>
        <w:t xml:space="preserve">week </w:t>
      </w:r>
      <w:r w:rsidR="008D309C">
        <w:rPr>
          <w:rFonts w:cs="Times New Roman"/>
          <w:szCs w:val="24"/>
        </w:rPr>
        <w:t>41</w:t>
      </w:r>
      <w:r w:rsidR="002707C1" w:rsidRPr="004D35BF">
        <w:rPr>
          <w:rFonts w:cs="Times New Roman"/>
          <w:szCs w:val="24"/>
        </w:rPr>
        <w:t xml:space="preserve"> to week 1</w:t>
      </w:r>
      <w:r w:rsidR="004B26B2">
        <w:rPr>
          <w:rFonts w:cs="Times New Roman"/>
          <w:szCs w:val="24"/>
        </w:rPr>
        <w:t>6</w:t>
      </w:r>
      <w:r w:rsidR="002707C1" w:rsidRPr="004D35BF">
        <w:rPr>
          <w:rFonts w:cs="Times New Roman"/>
          <w:szCs w:val="24"/>
        </w:rPr>
        <w:t>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r w:rsidR="00EB4CE8">
        <w:rPr>
          <w:rFonts w:cs="Times New Roman"/>
          <w:szCs w:val="24"/>
        </w:rPr>
        <w:t xml:space="preserve"> The automation of the statistical forecasting procedure becomes essential as typically grocery retailers have more than 30,000 SKUs (Cooper et al. 1999; {Petropoulos, 2014 #3}).</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he time period of [1,1</w:t>
      </w:r>
      <w:r w:rsidR="00613D03">
        <w:rPr>
          <w:szCs w:val="24"/>
        </w:rPr>
        <w:t>6</w:t>
      </w:r>
      <w:r w:rsidR="007E7192" w:rsidRPr="004D35BF">
        <w:rPr>
          <w:szCs w:val="24"/>
        </w:rPr>
        <w:t>0], [9, 1</w:t>
      </w:r>
      <w:r w:rsidR="00613D03">
        <w:rPr>
          <w:szCs w:val="24"/>
        </w:rPr>
        <w:t>68</w:t>
      </w:r>
      <w:r w:rsidR="007E7192" w:rsidRPr="004D35BF">
        <w:rPr>
          <w:szCs w:val="24"/>
        </w:rPr>
        <w:t>], [17, 1</w:t>
      </w:r>
      <w:r w:rsidR="00613D03">
        <w:rPr>
          <w:szCs w:val="24"/>
        </w:rPr>
        <w:t>76</w:t>
      </w:r>
      <w:r w:rsidR="007E7192" w:rsidRPr="004D35BF">
        <w:rPr>
          <w:szCs w:val="24"/>
        </w:rPr>
        <w:t>], [25,1</w:t>
      </w:r>
      <w:r w:rsidR="00613D03">
        <w:rPr>
          <w:szCs w:val="24"/>
        </w:rPr>
        <w:t>84</w:t>
      </w:r>
      <w:r w:rsidR="007E7192" w:rsidRPr="004D35BF">
        <w:rPr>
          <w:szCs w:val="24"/>
        </w:rPr>
        <w:t>], and [33,1</w:t>
      </w:r>
      <w:r w:rsidR="00613D03">
        <w:rPr>
          <w:szCs w:val="24"/>
        </w:rPr>
        <w:t>92</w:t>
      </w:r>
      <w:r w:rsidR="007E7192" w:rsidRPr="004D35BF">
        <w:rPr>
          <w:szCs w:val="24"/>
        </w:rPr>
        <w:t xml:space="preserve">].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(sMAPE),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xml:space="preserve">, and the Relative Average Mean Absolute Error (RelAvgMAE)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w:t>
      </w:r>
      <w:r w:rsidR="00002E07" w:rsidRPr="004D35BF">
        <w:rPr>
          <w:szCs w:val="24"/>
        </w:rPr>
        <w:lastRenderedPageBreak/>
        <w:t xml:space="preserve">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630DBA"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630DBA"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2"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630DBA"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2"/>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w:t>
      </w:r>
      <w:r w:rsidR="002552DA">
        <w:rPr>
          <w:szCs w:val="24"/>
        </w:rPr>
        <w:t xml:space="preserve"> </w:t>
      </w:r>
      <w:r w:rsidR="00F90863" w:rsidRPr="00A17A3A">
        <w:rPr>
          <w:color w:val="7030A0"/>
          <w:szCs w:val="24"/>
        </w:rPr>
        <w:t>We add o</w:t>
      </w:r>
      <w:r w:rsidR="002552DA" w:rsidRPr="00A17A3A">
        <w:rPr>
          <w:color w:val="7030A0"/>
          <w:szCs w:val="24"/>
        </w:rPr>
        <w:t xml:space="preserve">ne-half mean squared error to the </w:t>
      </w:r>
      <w:r w:rsidR="00076033" w:rsidRPr="00A17A3A">
        <w:rPr>
          <w:color w:val="7030A0"/>
          <w:szCs w:val="24"/>
        </w:rPr>
        <w:t>final forecasts before</w:t>
      </w:r>
      <w:r w:rsidR="00F90863" w:rsidRPr="00A17A3A">
        <w:rPr>
          <w:color w:val="7030A0"/>
          <w:szCs w:val="24"/>
        </w:rPr>
        <w:t xml:space="preserve"> we transform the log values to levels </w:t>
      </w:r>
      <w:r w:rsidR="002552DA" w:rsidRPr="00A17A3A">
        <w:rPr>
          <w:color w:val="7030A0"/>
          <w:szCs w:val="24"/>
        </w:rPr>
        <w:t>(Cooper</w:t>
      </w:r>
      <w:r w:rsidR="00F90863" w:rsidRPr="00A17A3A">
        <w:rPr>
          <w:color w:val="7030A0"/>
          <w:szCs w:val="24"/>
        </w:rPr>
        <w:t xml:space="preserve"> </w:t>
      </w:r>
      <w:r w:rsidR="002552DA" w:rsidRPr="00A17A3A">
        <w:rPr>
          <w:color w:val="7030A0"/>
          <w:szCs w:val="24"/>
        </w:rPr>
        <w:t>et</w:t>
      </w:r>
      <w:r w:rsidR="00F90863" w:rsidRPr="00A17A3A">
        <w:rPr>
          <w:color w:val="7030A0"/>
          <w:szCs w:val="24"/>
        </w:rPr>
        <w:t xml:space="preserve"> </w:t>
      </w:r>
      <w:r w:rsidR="002552DA" w:rsidRPr="00A17A3A">
        <w:rPr>
          <w:color w:val="7030A0"/>
          <w:szCs w:val="24"/>
        </w:rPr>
        <w:t xml:space="preserve">al.,1999). </w:t>
      </w:r>
      <w:r w:rsidR="002552DA">
        <w:rPr>
          <w:szCs w:val="24"/>
        </w:rPr>
        <w:t xml:space="preserve">We apply </w:t>
      </w:r>
      <w:r w:rsidR="008051D7" w:rsidRPr="004D35BF">
        <w:rPr>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lastRenderedPageBreak/>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w:t>
      </w:r>
      <w:r w:rsidR="00FE76F4">
        <w:rPr>
          <w:rFonts w:cs="Times New Roman"/>
          <w:szCs w:val="24"/>
        </w:rPr>
        <w:t>outperforms</w:t>
      </w:r>
      <w:r w:rsidR="006C4B41" w:rsidRPr="004D35BF">
        <w:rPr>
          <w:rFonts w:cs="Times New Roman"/>
          <w:szCs w:val="24"/>
        </w:rPr>
        <w:t xml:space="preserve"> the ADL-own model</w:t>
      </w:r>
      <w:r w:rsidR="00FE76F4">
        <w:rPr>
          <w:rFonts w:cs="Times New Roman"/>
          <w:szCs w:val="24"/>
        </w:rPr>
        <w:t xml:space="preserve"> </w:t>
      </w:r>
      <w:r w:rsidR="00C514D5" w:rsidRPr="004D35BF">
        <w:rPr>
          <w:rFonts w:cs="Times New Roman"/>
          <w:szCs w:val="24"/>
        </w:rPr>
        <w:t xml:space="preserve">for short </w:t>
      </w:r>
      <w:r w:rsidR="00FE76F4">
        <w:rPr>
          <w:rFonts w:cs="Times New Roman"/>
          <w:szCs w:val="24"/>
        </w:rPr>
        <w:t xml:space="preserve">and moderate </w:t>
      </w:r>
      <w:r w:rsidR="00C514D5" w:rsidRPr="004D35BF">
        <w:rPr>
          <w:rFonts w:cs="Times New Roman"/>
          <w:szCs w:val="24"/>
        </w:rPr>
        <w:t xml:space="preserve">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 xml:space="preserve">was losing advantages </w:t>
      </w:r>
      <w:r w:rsidR="00FE76F4">
        <w:rPr>
          <w:rFonts w:cs="Times New Roman"/>
          <w:szCs w:val="24"/>
        </w:rPr>
        <w:t>for long forecast horizon</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the information of the focal product by taking into account the </w:t>
      </w:r>
      <w:r w:rsidR="00FE76F4">
        <w:rPr>
          <w:rFonts w:cs="Times New Roman"/>
          <w:szCs w:val="24"/>
        </w:rPr>
        <w:t xml:space="preserve">issue of </w:t>
      </w:r>
      <w:r w:rsidR="00761FC9" w:rsidRPr="004D35BF">
        <w:rPr>
          <w:rFonts w:cs="Times New Roman"/>
          <w:szCs w:val="24"/>
        </w:rPr>
        <w:t xml:space="preserve">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xml:space="preserve">. </w:t>
      </w:r>
      <w:r w:rsidR="00C514D5" w:rsidRPr="004D35BF">
        <w:rPr>
          <w:rFonts w:cs="Times New Roman"/>
          <w:szCs w:val="24"/>
        </w:rPr>
        <w:t xml:space="preserve">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 xml:space="preserve">and the ADL-intra-IC model </w:t>
      </w:r>
      <w:r w:rsidR="00B84177">
        <w:rPr>
          <w:rFonts w:cs="Times New Roman"/>
          <w:szCs w:val="24"/>
        </w:rPr>
        <w:t>generate the most accurate forecasts</w:t>
      </w:r>
      <w:r w:rsidR="005A5A2D" w:rsidRPr="004D35BF">
        <w:rPr>
          <w:rFonts w:cs="Times New Roman"/>
          <w:szCs w:val="24"/>
        </w:rPr>
        <w:t xml:space="preserve">. </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D255DB" w:rsidRDefault="0082081D" w:rsidP="00324987">
      <w:pPr>
        <w:spacing w:after="0" w:line="360" w:lineRule="auto"/>
        <w:rPr>
          <w:rFonts w:eastAsia="DengXian" w:cs="Times New Roman"/>
          <w:color w:val="7030A0"/>
          <w:szCs w:val="24"/>
        </w:rPr>
      </w:pPr>
      <w:r w:rsidRPr="00D255DB">
        <w:rPr>
          <w:rFonts w:eastAsia="DengXian" w:cs="Times New Roman"/>
          <w:color w:val="7030A0"/>
          <w:szCs w:val="24"/>
        </w:rPr>
        <w:t xml:space="preserve">We </w:t>
      </w:r>
      <w:r w:rsidR="00437153" w:rsidRPr="00D255DB">
        <w:rPr>
          <w:rFonts w:eastAsia="DengXian" w:cs="Times New Roman"/>
          <w:color w:val="7030A0"/>
          <w:szCs w:val="24"/>
        </w:rPr>
        <w:t xml:space="preserve">also </w:t>
      </w:r>
      <w:r w:rsidRPr="00D255DB">
        <w:rPr>
          <w:rFonts w:eastAsia="DengXian" w:cs="Times New Roman"/>
          <w:color w:val="7030A0"/>
          <w:szCs w:val="24"/>
        </w:rPr>
        <w:t xml:space="preserve">conduct </w:t>
      </w:r>
      <w:r w:rsidR="00194D3E" w:rsidRPr="00D255DB">
        <w:rPr>
          <w:rFonts w:eastAsia="DengXian" w:cs="Times New Roman"/>
          <w:color w:val="7030A0"/>
          <w:szCs w:val="24"/>
        </w:rPr>
        <w:t xml:space="preserve">the Wilcoxon Sign Rank (WSR) test </w:t>
      </w:r>
      <w:r w:rsidRPr="00D255DB">
        <w:rPr>
          <w:rFonts w:eastAsia="DengXian" w:cs="Times New Roman"/>
          <w:color w:val="7030A0"/>
          <w:szCs w:val="24"/>
        </w:rPr>
        <w:t xml:space="preserve">for the </w:t>
      </w:r>
      <w:r w:rsidR="00194D3E" w:rsidRPr="00D255DB">
        <w:rPr>
          <w:rFonts w:eastAsia="DengXian" w:cs="Times New Roman"/>
          <w:color w:val="7030A0"/>
          <w:szCs w:val="24"/>
        </w:rPr>
        <w:t xml:space="preserve">statistical significance of the </w:t>
      </w:r>
      <w:r w:rsidRPr="00D255DB">
        <w:rPr>
          <w:rFonts w:eastAsia="DengXian" w:cs="Times New Roman"/>
          <w:color w:val="7030A0"/>
          <w:szCs w:val="24"/>
        </w:rPr>
        <w:t xml:space="preserve">difference between the models’ forecasting performance. Table 4 shows the </w:t>
      </w:r>
      <w:r w:rsidR="001E1F7C" w:rsidRPr="00D255DB">
        <w:rPr>
          <w:rFonts w:eastAsia="DengXian" w:cs="Times New Roman"/>
          <w:color w:val="7030A0"/>
          <w:szCs w:val="24"/>
        </w:rPr>
        <w:t xml:space="preserve">p-values of the </w:t>
      </w:r>
      <w:r w:rsidR="00041CC2" w:rsidRPr="00D255DB">
        <w:rPr>
          <w:rFonts w:eastAsia="DengXian" w:cs="Times New Roman"/>
          <w:color w:val="7030A0"/>
          <w:szCs w:val="24"/>
        </w:rPr>
        <w:t xml:space="preserve">results comparison and it has </w:t>
      </w:r>
      <w:r w:rsidR="00F77363" w:rsidRPr="00D255DB">
        <w:rPr>
          <w:rFonts w:eastAsia="DengXian" w:cs="Times New Roman"/>
          <w:color w:val="7030A0"/>
          <w:szCs w:val="24"/>
        </w:rPr>
        <w:t xml:space="preserve">the following indications: 1) the ADL-own model significantly outperforms the Base-lift model for all </w:t>
      </w:r>
      <w:r w:rsidR="00551ECA" w:rsidRPr="00D255DB">
        <w:rPr>
          <w:rFonts w:eastAsia="DengXian" w:cs="Times New Roman"/>
          <w:color w:val="7030A0"/>
          <w:szCs w:val="24"/>
        </w:rPr>
        <w:t xml:space="preserve">the </w:t>
      </w:r>
      <w:r w:rsidR="00F77363" w:rsidRPr="00D255DB">
        <w:rPr>
          <w:rFonts w:eastAsia="DengXian" w:cs="Times New Roman"/>
          <w:color w:val="7030A0"/>
          <w:szCs w:val="24"/>
        </w:rPr>
        <w:t>scenarios except for the MAPE when the forecast horizon is one week</w:t>
      </w:r>
      <w:r w:rsidR="005808AF" w:rsidRPr="00D255DB">
        <w:rPr>
          <w:rFonts w:eastAsia="DengXian" w:cs="Times New Roman"/>
          <w:color w:val="7030A0"/>
          <w:szCs w:val="24"/>
        </w:rPr>
        <w:t xml:space="preserve"> (e.g., </w:t>
      </w:r>
      <w:r w:rsidR="005808AF" w:rsidRPr="00D255DB">
        <w:rPr>
          <w:rFonts w:eastAsia="DengXian" w:cs="Times New Roman"/>
          <w:noProof/>
          <w:color w:val="7030A0"/>
          <w:szCs w:val="24"/>
        </w:rPr>
        <w:t>there</w:t>
      </w:r>
      <w:r w:rsidR="00F77363" w:rsidRPr="00D255DB">
        <w:rPr>
          <w:rFonts w:eastAsia="DengXian" w:cs="Times New Roman"/>
          <w:color w:val="7030A0"/>
          <w:szCs w:val="24"/>
        </w:rPr>
        <w:t xml:space="preserve"> forecasting performance is not significantly different</w:t>
      </w:r>
      <w:r w:rsidR="005808AF" w:rsidRPr="00D255DB">
        <w:rPr>
          <w:rFonts w:eastAsia="DengXian" w:cs="Times New Roman"/>
          <w:color w:val="7030A0"/>
          <w:szCs w:val="24"/>
        </w:rPr>
        <w:t>)</w:t>
      </w:r>
      <w:r w:rsidR="00F77363" w:rsidRPr="00D255DB">
        <w:rPr>
          <w:rFonts w:eastAsia="DengXian" w:cs="Times New Roman"/>
          <w:color w:val="7030A0"/>
          <w:szCs w:val="24"/>
        </w:rPr>
        <w:t xml:space="preserve">. 2) </w:t>
      </w:r>
      <w:r w:rsidR="00551ECA" w:rsidRPr="00D255DB">
        <w:rPr>
          <w:rFonts w:eastAsia="DengXian" w:cs="Times New Roman"/>
          <w:color w:val="7030A0"/>
          <w:szCs w:val="24"/>
        </w:rPr>
        <w:t xml:space="preserve">the ADL-intra model </w:t>
      </w:r>
      <w:r w:rsidR="00DC1356" w:rsidRPr="00D255DB">
        <w:rPr>
          <w:rFonts w:eastAsia="DengXian" w:cs="Times New Roman"/>
          <w:color w:val="7030A0"/>
          <w:szCs w:val="24"/>
        </w:rPr>
        <w:t xml:space="preserve">significantly </w:t>
      </w:r>
      <w:r w:rsidR="00551ECA" w:rsidRPr="00D255DB">
        <w:rPr>
          <w:rFonts w:eastAsia="DengXian" w:cs="Times New Roman"/>
          <w:color w:val="7030A0"/>
          <w:szCs w:val="24"/>
        </w:rPr>
        <w:t xml:space="preserve">outperforms the ADL-own model for all the scenarios. 3) </w:t>
      </w:r>
      <w:r w:rsidR="00AF3612" w:rsidRPr="00D255DB">
        <w:rPr>
          <w:rFonts w:eastAsia="DengXian" w:cs="Times New Roman"/>
          <w:color w:val="7030A0"/>
          <w:szCs w:val="24"/>
        </w:rPr>
        <w:t xml:space="preserve"> </w:t>
      </w:r>
      <w:r w:rsidR="004A39D6" w:rsidRPr="00D255DB">
        <w:rPr>
          <w:rFonts w:eastAsia="DengXian" w:cs="Times New Roman"/>
          <w:color w:val="7030A0"/>
          <w:szCs w:val="24"/>
        </w:rPr>
        <w:t xml:space="preserve">the ADL-own-IC model significantly outperforms the ADL-own model for h=1 and h=4, but the improvements are only statistically significantly for h=4. The ADL-own-IC model even gets </w:t>
      </w:r>
      <w:r w:rsidR="00F32973" w:rsidRPr="00D255DB">
        <w:rPr>
          <w:rFonts w:eastAsia="DengXian" w:cs="Times New Roman"/>
          <w:color w:val="7030A0"/>
          <w:szCs w:val="24"/>
        </w:rPr>
        <w:t xml:space="preserve">significantly </w:t>
      </w:r>
      <w:r w:rsidR="004A39D6" w:rsidRPr="00D255DB">
        <w:rPr>
          <w:rFonts w:eastAsia="DengXian" w:cs="Times New Roman"/>
          <w:color w:val="7030A0"/>
          <w:szCs w:val="24"/>
        </w:rPr>
        <w:t>outperformed by the ADL-own model when h=12.</w:t>
      </w:r>
      <w:r w:rsidR="00F32973" w:rsidRPr="00D255DB">
        <w:rPr>
          <w:rFonts w:eastAsia="DengXian" w:cs="Times New Roman"/>
          <w:color w:val="7030A0"/>
          <w:szCs w:val="24"/>
        </w:rPr>
        <w:t xml:space="preserve"> The results between the ADL-intra-IC model and the ADL-</w:t>
      </w:r>
      <w:r w:rsidR="00F32973" w:rsidRPr="00D255DB">
        <w:rPr>
          <w:rFonts w:eastAsia="DengXian" w:cs="Times New Roman"/>
          <w:noProof/>
          <w:color w:val="7030A0"/>
          <w:szCs w:val="24"/>
        </w:rPr>
        <w:t xml:space="preserve">intra model are similar. </w:t>
      </w:r>
      <w:r w:rsidR="00F32973" w:rsidRPr="00D255DB">
        <w:rPr>
          <w:rFonts w:eastAsia="DengXian" w:cs="Times New Roman"/>
          <w:color w:val="7030A0"/>
          <w:szCs w:val="24"/>
        </w:rPr>
        <w:t>The ADL-</w:t>
      </w:r>
      <w:r w:rsidR="00003708" w:rsidRPr="00D255DB">
        <w:rPr>
          <w:rFonts w:eastAsia="DengXian" w:cs="Times New Roman"/>
          <w:color w:val="7030A0"/>
          <w:szCs w:val="24"/>
        </w:rPr>
        <w:t>intra</w:t>
      </w:r>
      <w:r w:rsidR="00F32973" w:rsidRPr="00D255DB">
        <w:rPr>
          <w:rFonts w:eastAsia="DengXian" w:cs="Times New Roman"/>
          <w:color w:val="7030A0"/>
          <w:szCs w:val="24"/>
        </w:rPr>
        <w:t>-IC model significantly outperforms the ADL-</w:t>
      </w:r>
      <w:r w:rsidR="00003708" w:rsidRPr="00D255DB">
        <w:rPr>
          <w:rFonts w:eastAsia="DengXian" w:cs="Times New Roman"/>
          <w:color w:val="7030A0"/>
          <w:szCs w:val="24"/>
        </w:rPr>
        <w:t xml:space="preserve"> intra </w:t>
      </w:r>
      <w:r w:rsidR="00F32973" w:rsidRPr="00D255DB">
        <w:rPr>
          <w:rFonts w:eastAsia="DengXian" w:cs="Times New Roman"/>
          <w:color w:val="7030A0"/>
          <w:szCs w:val="24"/>
        </w:rPr>
        <w:t>model for h=1 and h=4, but the improvements are only statistically significantly for h=4.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-IC model </w:t>
      </w:r>
      <w:r w:rsidR="005E1B23" w:rsidRPr="00D255DB">
        <w:rPr>
          <w:rFonts w:eastAsia="DengXian" w:cs="Times New Roman"/>
          <w:color w:val="7030A0"/>
          <w:szCs w:val="24"/>
        </w:rPr>
        <w:t xml:space="preserve">are </w:t>
      </w:r>
      <w:r w:rsidR="00F32973" w:rsidRPr="00D255DB">
        <w:rPr>
          <w:rFonts w:eastAsia="DengXian" w:cs="Times New Roman"/>
          <w:color w:val="7030A0"/>
          <w:szCs w:val="24"/>
        </w:rPr>
        <w:t>significantly outperformed by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 model when h=12</w:t>
      </w:r>
      <w:r w:rsidR="005E1B23" w:rsidRPr="00D255DB">
        <w:rPr>
          <w:rFonts w:eastAsia="DengXian" w:cs="Times New Roman"/>
          <w:color w:val="7030A0"/>
          <w:szCs w:val="24"/>
        </w:rPr>
        <w:t>; 4</w:t>
      </w:r>
      <w:r w:rsidR="00AF3612" w:rsidRPr="00D255DB">
        <w:rPr>
          <w:rFonts w:eastAsia="DengXian" w:cs="Times New Roman"/>
          <w:color w:val="7030A0"/>
          <w:szCs w:val="24"/>
        </w:rPr>
        <w:t xml:space="preserve">) </w:t>
      </w:r>
      <w:r w:rsidR="00EA7292" w:rsidRPr="00D255DB">
        <w:rPr>
          <w:rFonts w:eastAsia="DengXian" w:cs="Times New Roman"/>
          <w:color w:val="7030A0"/>
          <w:szCs w:val="24"/>
        </w:rPr>
        <w:t>the ADL-own-EWC model significantly outperforms the ADL-own model</w:t>
      </w:r>
      <w:r w:rsidR="005E1B23" w:rsidRPr="00D255DB">
        <w:rPr>
          <w:rFonts w:eastAsia="DengXian" w:cs="Times New Roman"/>
          <w:color w:val="7030A0"/>
          <w:szCs w:val="24"/>
        </w:rPr>
        <w:t xml:space="preserve"> for most scenarios</w:t>
      </w:r>
      <w:r w:rsidR="00EA7292" w:rsidRPr="00D255DB">
        <w:rPr>
          <w:rFonts w:eastAsia="DengXian" w:cs="Times New Roman"/>
          <w:color w:val="7030A0"/>
          <w:szCs w:val="24"/>
        </w:rPr>
        <w:t>, while the ADL-</w:t>
      </w:r>
      <w:r w:rsidR="00EA7292" w:rsidRPr="00D255DB">
        <w:rPr>
          <w:rFonts w:eastAsia="DengXian" w:cs="Times New Roman"/>
          <w:noProof/>
          <w:color w:val="7030A0"/>
          <w:szCs w:val="24"/>
        </w:rPr>
        <w:t>intra</w:t>
      </w:r>
      <w:r w:rsidR="00EA7292" w:rsidRPr="00D255DB">
        <w:rPr>
          <w:rFonts w:eastAsia="DengXian" w:cs="Times New Roman"/>
          <w:color w:val="7030A0"/>
          <w:szCs w:val="24"/>
        </w:rPr>
        <w:t>-EWC model significantly outperforms the ADL-</w:t>
      </w:r>
      <w:r w:rsidR="00EA7292" w:rsidRPr="00D255DB">
        <w:rPr>
          <w:rFonts w:eastAsia="DengXian" w:cs="Times New Roman"/>
          <w:noProof/>
          <w:color w:val="7030A0"/>
          <w:szCs w:val="24"/>
        </w:rPr>
        <w:t>intra model</w:t>
      </w:r>
      <w:r w:rsidR="00EA7292" w:rsidRPr="00D255DB">
        <w:rPr>
          <w:rFonts w:eastAsia="DengXian" w:cs="Times New Roman"/>
          <w:color w:val="7030A0"/>
          <w:szCs w:val="24"/>
        </w:rPr>
        <w:t xml:space="preserve">. The only exception is for the MAPE when </w:t>
      </w:r>
      <w:r w:rsidR="0032718A" w:rsidRPr="00D255DB">
        <w:rPr>
          <w:rFonts w:eastAsia="DengXian" w:cs="Times New Roman"/>
          <w:color w:val="7030A0"/>
          <w:szCs w:val="24"/>
        </w:rPr>
        <w:t>h=12</w:t>
      </w:r>
      <w:r w:rsidR="00EA7292" w:rsidRPr="00D255DB">
        <w:rPr>
          <w:rFonts w:eastAsia="DengXian" w:cs="Times New Roman"/>
          <w:color w:val="7030A0"/>
          <w:szCs w:val="24"/>
        </w:rPr>
        <w:t>, where</w:t>
      </w:r>
      <w:r w:rsidR="003C0313" w:rsidRPr="00D255DB">
        <w:rPr>
          <w:rFonts w:eastAsia="DengXian" w:cs="Times New Roman"/>
          <w:color w:val="7030A0"/>
          <w:szCs w:val="24"/>
        </w:rPr>
        <w:t xml:space="preserve"> the</w:t>
      </w:r>
      <w:r w:rsidR="00EA7292" w:rsidRPr="00D255DB">
        <w:rPr>
          <w:rFonts w:eastAsia="DengXian" w:cs="Times New Roman"/>
          <w:color w:val="7030A0"/>
          <w:szCs w:val="24"/>
        </w:rPr>
        <w:t xml:space="preserve"> </w:t>
      </w:r>
      <w:r w:rsidR="00EA7292" w:rsidRPr="00D255DB">
        <w:rPr>
          <w:rFonts w:eastAsia="DengXian" w:cs="Times New Roman"/>
          <w:noProof/>
          <w:color w:val="7030A0"/>
          <w:szCs w:val="24"/>
        </w:rPr>
        <w:t>performance</w:t>
      </w:r>
      <w:r w:rsidR="00EA7292" w:rsidRPr="00D255DB">
        <w:rPr>
          <w:rFonts w:eastAsia="DengXian" w:cs="Times New Roman"/>
          <w:color w:val="7030A0"/>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D255DB" w:rsidRDefault="00C8641A" w:rsidP="00324987">
      <w:pPr>
        <w:spacing w:after="0" w:line="360" w:lineRule="auto"/>
        <w:rPr>
          <w:rFonts w:eastAsia="DengXian" w:cs="Times New Roman"/>
          <w:color w:val="7030A0"/>
          <w:szCs w:val="24"/>
        </w:rPr>
      </w:pPr>
    </w:p>
    <w:p w:rsidR="00D112A9" w:rsidRPr="00D255DB" w:rsidRDefault="0082081D" w:rsidP="00D112A9">
      <w:pPr>
        <w:spacing w:after="0" w:line="360" w:lineRule="auto"/>
        <w:jc w:val="center"/>
        <w:rPr>
          <w:rFonts w:eastAsia="DengXian" w:cs="Times New Roman"/>
          <w:color w:val="7030A0"/>
          <w:szCs w:val="24"/>
        </w:rPr>
      </w:pPr>
      <w:r w:rsidRPr="00D255DB">
        <w:rPr>
          <w:rFonts w:eastAsia="DengXian" w:cs="Times New Roman"/>
          <w:color w:val="7030A0"/>
          <w:szCs w:val="24"/>
        </w:rPr>
        <w:t>Table 4.</w:t>
      </w:r>
      <w:r w:rsidRPr="00D255DB">
        <w:rPr>
          <w:rFonts w:eastAsia="DengXian" w:cs="Times New Roman"/>
          <w:color w:val="7030A0"/>
          <w:szCs w:val="24"/>
        </w:rPr>
        <w:tab/>
      </w:r>
      <w:r w:rsidR="00DA21EA" w:rsidRPr="00D255DB">
        <w:rPr>
          <w:rFonts w:eastAsia="DengXian" w:cs="Times New Roman"/>
          <w:color w:val="7030A0"/>
          <w:szCs w:val="24"/>
        </w:rPr>
        <w:t>P-values</w:t>
      </w:r>
      <w:r w:rsidRPr="00D255DB">
        <w:rPr>
          <w:rFonts w:eastAsia="DengXian" w:cs="Times New Roman"/>
          <w:color w:val="7030A0"/>
          <w:szCs w:val="24"/>
        </w:rPr>
        <w:t xml:space="preserve"> for </w:t>
      </w:r>
      <w:r w:rsidR="00DA21EA" w:rsidRPr="00D255DB">
        <w:rPr>
          <w:rFonts w:eastAsia="DengXian" w:cs="Times New Roman"/>
          <w:color w:val="7030A0"/>
          <w:szCs w:val="24"/>
        </w:rPr>
        <w:t xml:space="preserve">the </w:t>
      </w:r>
      <w:r w:rsidR="008243CE" w:rsidRPr="00D255DB">
        <w:rPr>
          <w:rFonts w:eastAsia="DengXian" w:cs="Times New Roman"/>
          <w:color w:val="7030A0"/>
          <w:szCs w:val="24"/>
        </w:rPr>
        <w:t xml:space="preserve">Pairwise </w:t>
      </w:r>
      <w:r w:rsidRPr="00D255DB">
        <w:rPr>
          <w:rFonts w:eastAsia="DengXian" w:cs="Times New Roman"/>
          <w:color w:val="7030A0"/>
          <w:szCs w:val="24"/>
        </w:rPr>
        <w:t>Wilcoxon Sign Rank Test</w:t>
      </w:r>
    </w:p>
    <w:p w:rsidR="00070336" w:rsidRPr="00D255DB" w:rsidRDefault="001B3B00" w:rsidP="00027200">
      <w:pPr>
        <w:spacing w:after="0" w:line="360" w:lineRule="auto"/>
        <w:rPr>
          <w:rFonts w:eastAsia="DengXian" w:cs="Times New Roman"/>
          <w:color w:val="7030A0"/>
          <w:szCs w:val="24"/>
        </w:rPr>
      </w:pPr>
      <w:r w:rsidRPr="00D255DB">
        <w:rPr>
          <w:rFonts w:eastAsia="DengXian" w:cs="Times New Roman"/>
          <w:color w:val="7030A0"/>
          <w:szCs w:val="24"/>
        </w:rPr>
        <w:t xml:space="preserve"> </w:t>
      </w:r>
      <w:r w:rsidR="00027200" w:rsidRPr="00D255DB">
        <w:rPr>
          <w:rFonts w:eastAsia="DengXian" w:cs="Times New Roman"/>
          <w:color w:val="7030A0"/>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D255DB"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noProof/>
                <w:color w:val="7030A0"/>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MASE</w:t>
            </w:r>
          </w:p>
        </w:tc>
      </w:tr>
      <w:tr w:rsidR="00070336" w:rsidRPr="00D255DB"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r>
      <w:tr w:rsidR="00070336" w:rsidRPr="00D255DB"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0.414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0.017</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0.184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0.028</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0.005</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0.030</w:t>
            </w:r>
          </w:p>
        </w:tc>
      </w:tr>
      <w:tr w:rsidR="00070336" w:rsidRPr="00D255DB"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lastRenderedPageBreak/>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bl>
    <w:p w:rsidR="00753A78" w:rsidRPr="00D255DB" w:rsidRDefault="00753A78" w:rsidP="00027200">
      <w:pPr>
        <w:spacing w:after="0" w:line="360" w:lineRule="auto"/>
        <w:rPr>
          <w:rFonts w:eastAsia="DengXian" w:cs="Times New Roman"/>
          <w:color w:val="7030A0"/>
          <w:szCs w:val="24"/>
        </w:rPr>
      </w:pPr>
    </w:p>
    <w:p w:rsidR="007A1168" w:rsidRDefault="00E37E2C" w:rsidP="00324987">
      <w:pPr>
        <w:spacing w:after="0" w:line="360" w:lineRule="auto"/>
        <w:rPr>
          <w:rFonts w:eastAsia="DengXian" w:cs="Times New Roman"/>
          <w:color w:val="7030A0"/>
          <w:szCs w:val="24"/>
        </w:rPr>
      </w:pPr>
      <w:r w:rsidRPr="00D255DB">
        <w:rPr>
          <w:rFonts w:eastAsia="DengXian" w:cs="Times New Roman"/>
          <w:color w:val="7030A0"/>
          <w:szCs w:val="24"/>
        </w:rPr>
        <w:t xml:space="preserve"> </w:t>
      </w: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r>
        <w:rPr>
          <w:rFonts w:eastAsia="DengXian" w:cs="Times New Roman"/>
          <w:color w:val="7030A0"/>
          <w:szCs w:val="24"/>
        </w:rPr>
        <w:t xml:space="preserve">The </w:t>
      </w:r>
      <w:r w:rsidR="000048EC">
        <w:rPr>
          <w:rFonts w:eastAsia="DengXian" w:cs="Times New Roman"/>
          <w:color w:val="7030A0"/>
          <w:szCs w:val="24"/>
        </w:rPr>
        <w:t>strategical decision of the forecast time horizon will have an impact on which method to implement.</w:t>
      </w: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Pr="00D255DB" w:rsidRDefault="00EB4CE8" w:rsidP="00324987">
      <w:pPr>
        <w:spacing w:after="0" w:line="360" w:lineRule="auto"/>
        <w:rPr>
          <w:rFonts w:eastAsia="DengXian" w:cs="Times New Roman"/>
          <w:color w:val="7030A0"/>
          <w:szCs w:val="24"/>
        </w:rPr>
      </w:pPr>
    </w:p>
    <w:p w:rsidR="00047335" w:rsidRPr="00D255DB" w:rsidRDefault="00DD2DF8" w:rsidP="00047335">
      <w:pPr>
        <w:spacing w:after="0" w:line="360" w:lineRule="auto"/>
        <w:rPr>
          <w:rFonts w:cs="Times New Roman"/>
          <w:color w:val="7030A0"/>
          <w:szCs w:val="24"/>
        </w:rPr>
      </w:pPr>
      <w:r w:rsidRPr="00D255DB">
        <w:rPr>
          <w:rFonts w:cs="Times New Roman"/>
          <w:color w:val="7030A0"/>
          <w:szCs w:val="24"/>
        </w:rPr>
        <w:t xml:space="preserve">8.2 </w:t>
      </w:r>
      <w:r w:rsidR="00A90751" w:rsidRPr="00D255DB">
        <w:rPr>
          <w:rFonts w:cs="Times New Roman"/>
          <w:color w:val="7030A0"/>
          <w:szCs w:val="24"/>
        </w:rPr>
        <w:t>Overall r</w:t>
      </w:r>
      <w:r w:rsidR="00047335" w:rsidRPr="00D255DB">
        <w:rPr>
          <w:rFonts w:cs="Times New Roman"/>
          <w:color w:val="7030A0"/>
          <w:szCs w:val="24"/>
        </w:rPr>
        <w:t xml:space="preserve">esults for </w:t>
      </w:r>
      <w:r w:rsidRPr="00D255DB">
        <w:rPr>
          <w:rFonts w:cs="Times New Roman"/>
          <w:color w:val="7030A0"/>
          <w:szCs w:val="24"/>
        </w:rPr>
        <w:t xml:space="preserve">the </w:t>
      </w:r>
      <w:r w:rsidR="00047335" w:rsidRPr="00D255DB">
        <w:rPr>
          <w:rFonts w:cs="Times New Roman"/>
          <w:color w:val="7030A0"/>
          <w:szCs w:val="24"/>
        </w:rPr>
        <w:t>promoted period</w:t>
      </w:r>
      <w:r w:rsidR="003144A3" w:rsidRPr="00D255DB">
        <w:rPr>
          <w:rFonts w:cs="Times New Roman"/>
          <w:color w:val="7030A0"/>
          <w:szCs w:val="24"/>
        </w:rPr>
        <w:t xml:space="preserve"> and </w:t>
      </w:r>
      <w:r w:rsidRPr="00D255DB">
        <w:rPr>
          <w:rFonts w:cs="Times New Roman"/>
          <w:color w:val="7030A0"/>
          <w:szCs w:val="24"/>
        </w:rPr>
        <w:t xml:space="preserve">the </w:t>
      </w:r>
      <w:r w:rsidR="003144A3" w:rsidRPr="00D255DB">
        <w:rPr>
          <w:rFonts w:cs="Times New Roman"/>
          <w:color w:val="7030A0"/>
          <w:szCs w:val="24"/>
        </w:rPr>
        <w:t>non-promoted period</w:t>
      </w:r>
      <w:r w:rsidR="00AD0443" w:rsidRPr="00D255DB">
        <w:rPr>
          <w:rFonts w:cs="Times New Roman"/>
          <w:color w:val="7030A0"/>
          <w:szCs w:val="24"/>
        </w:rPr>
        <w:t xml:space="preserve"> </w:t>
      </w:r>
    </w:p>
    <w:p w:rsidR="00047335" w:rsidRPr="00D255DB" w:rsidRDefault="00047335" w:rsidP="00324987">
      <w:pPr>
        <w:spacing w:after="0" w:line="360" w:lineRule="auto"/>
        <w:rPr>
          <w:rFonts w:eastAsia="DengXian" w:cs="Times New Roman"/>
          <w:color w:val="7030A0"/>
          <w:szCs w:val="24"/>
        </w:rPr>
      </w:pPr>
    </w:p>
    <w:p w:rsidR="007B5793" w:rsidRPr="00D255DB" w:rsidRDefault="007B5793" w:rsidP="00047335">
      <w:pPr>
        <w:spacing w:after="0" w:line="360" w:lineRule="auto"/>
        <w:rPr>
          <w:rFonts w:cs="Times New Roman"/>
          <w:color w:val="7030A0"/>
          <w:szCs w:val="24"/>
        </w:rPr>
      </w:pPr>
      <w:r w:rsidRPr="00D255DB">
        <w:rPr>
          <w:rFonts w:eastAsia="DengXian" w:cs="Times New Roman"/>
          <w:color w:val="7030A0"/>
          <w:szCs w:val="24"/>
        </w:rPr>
        <w:t xml:space="preserve">We also investigate the models’ forecasting performance for the period </w:t>
      </w:r>
      <w:r w:rsidR="00892E56" w:rsidRPr="00D255DB">
        <w:rPr>
          <w:rFonts w:cs="Times New Roman"/>
          <w:color w:val="7030A0"/>
          <w:szCs w:val="24"/>
        </w:rPr>
        <w:t>when the focal product is being promoted</w:t>
      </w:r>
      <w:r w:rsidR="006F2749" w:rsidRPr="00D255DB">
        <w:rPr>
          <w:rFonts w:cs="Times New Roman"/>
          <w:color w:val="7030A0"/>
          <w:szCs w:val="24"/>
        </w:rPr>
        <w:t xml:space="preserve"> and when the focal product is not being promoted</w:t>
      </w:r>
      <w:r w:rsidR="0095348F" w:rsidRPr="00D255DB">
        <w:rPr>
          <w:rStyle w:val="FootnoteReference"/>
          <w:rFonts w:cs="Times New Roman"/>
          <w:color w:val="7030A0"/>
          <w:szCs w:val="24"/>
        </w:rPr>
        <w:footnoteReference w:id="10"/>
      </w:r>
      <w:r w:rsidR="00047335" w:rsidRPr="00D255DB">
        <w:rPr>
          <w:rFonts w:cs="Times New Roman"/>
          <w:color w:val="7030A0"/>
          <w:szCs w:val="24"/>
        </w:rPr>
        <w:t xml:space="preserve">. </w:t>
      </w:r>
      <w:r w:rsidR="00111EA3" w:rsidRPr="00D255DB">
        <w:rPr>
          <w:rFonts w:cs="Times New Roman"/>
          <w:color w:val="7030A0"/>
          <w:szCs w:val="24"/>
        </w:rPr>
        <w:t xml:space="preserve">Table 5 shows the </w:t>
      </w:r>
      <w:r w:rsidR="00111EA3" w:rsidRPr="00D255DB">
        <w:rPr>
          <w:rFonts w:eastAsia="DengXian" w:cs="Times New Roman"/>
          <w:color w:val="7030A0"/>
          <w:szCs w:val="24"/>
        </w:rPr>
        <w:t xml:space="preserve">forecasting performance of candidate models for the promoted forecast period. </w:t>
      </w:r>
      <w:r w:rsidR="008E0FC4" w:rsidRPr="00D255DB">
        <w:rPr>
          <w:rFonts w:cs="Times New Roman"/>
          <w:color w:val="7030A0"/>
          <w:szCs w:val="24"/>
        </w:rPr>
        <w:t xml:space="preserve">The results are </w:t>
      </w:r>
      <w:r w:rsidR="008E0FC4" w:rsidRPr="00D255DB">
        <w:rPr>
          <w:rFonts w:cs="Times New Roman"/>
          <w:noProof/>
          <w:color w:val="7030A0"/>
          <w:szCs w:val="24"/>
        </w:rPr>
        <w:t xml:space="preserve">in </w:t>
      </w:r>
      <w:r w:rsidRPr="00D255DB">
        <w:rPr>
          <w:rFonts w:cs="Times New Roman"/>
          <w:noProof/>
          <w:color w:val="7030A0"/>
          <w:szCs w:val="24"/>
        </w:rPr>
        <w:t>line</w:t>
      </w:r>
      <w:r w:rsidR="008E0FC4" w:rsidRPr="00D255DB">
        <w:rPr>
          <w:rFonts w:cs="Times New Roman"/>
          <w:color w:val="7030A0"/>
          <w:szCs w:val="24"/>
        </w:rPr>
        <w:t xml:space="preserve"> with the results for all the forecast period described in section 8.1. </w:t>
      </w:r>
      <w:r w:rsidR="006F2749" w:rsidRPr="00D255DB">
        <w:rPr>
          <w:rFonts w:cs="Times New Roman"/>
          <w:color w:val="7030A0"/>
          <w:szCs w:val="24"/>
        </w:rPr>
        <w:t>For the promoted period, t</w:t>
      </w:r>
      <w:r w:rsidR="00047335" w:rsidRPr="00D255DB">
        <w:rPr>
          <w:rFonts w:cs="Times New Roman"/>
          <w:color w:val="7030A0"/>
          <w:szCs w:val="24"/>
        </w:rPr>
        <w:t xml:space="preserve">he Base-lift model </w:t>
      </w:r>
      <w:r w:rsidR="008E0FC4" w:rsidRPr="00D255DB">
        <w:rPr>
          <w:rFonts w:cs="Times New Roman"/>
          <w:color w:val="7030A0"/>
          <w:szCs w:val="24"/>
        </w:rPr>
        <w:t xml:space="preserve">has the least accurate forecasts but have </w:t>
      </w:r>
      <w:r w:rsidRPr="00D255DB">
        <w:rPr>
          <w:rFonts w:cs="Times New Roman"/>
          <w:color w:val="7030A0"/>
          <w:szCs w:val="24"/>
        </w:rPr>
        <w:t>competitive</w:t>
      </w:r>
      <w:r w:rsidR="008E0FC4" w:rsidRPr="00D255DB">
        <w:rPr>
          <w:rFonts w:cs="Times New Roman"/>
          <w:color w:val="7030A0"/>
          <w:szCs w:val="24"/>
        </w:rPr>
        <w:t xml:space="preserve"> performance for </w:t>
      </w:r>
      <w:r w:rsidR="00F13D3D" w:rsidRPr="00D255DB">
        <w:rPr>
          <w:rFonts w:cs="Times New Roman"/>
          <w:color w:val="7030A0"/>
          <w:szCs w:val="24"/>
        </w:rPr>
        <w:t xml:space="preserve">the </w:t>
      </w:r>
      <w:r w:rsidR="008E0FC4" w:rsidRPr="00D255DB">
        <w:rPr>
          <w:rFonts w:cs="Times New Roman"/>
          <w:color w:val="7030A0"/>
          <w:szCs w:val="24"/>
        </w:rPr>
        <w:t>MAPE</w:t>
      </w:r>
      <w:r w:rsidR="00047335" w:rsidRPr="00D255DB">
        <w:rPr>
          <w:rFonts w:cs="Times New Roman"/>
          <w:color w:val="7030A0"/>
          <w:szCs w:val="24"/>
        </w:rPr>
        <w:t>.</w:t>
      </w:r>
      <w:r w:rsidRPr="00D255DB">
        <w:rPr>
          <w:rFonts w:cs="Times New Roman"/>
          <w:color w:val="7030A0"/>
          <w:szCs w:val="24"/>
        </w:rPr>
        <w:t xml:space="preserve"> This is because </w:t>
      </w:r>
      <w:r w:rsidR="008904D3" w:rsidRPr="00D255DB">
        <w:rPr>
          <w:rFonts w:cs="Times New Roman"/>
          <w:color w:val="7030A0"/>
          <w:szCs w:val="24"/>
        </w:rPr>
        <w:t xml:space="preserve">the results for a small number of SKU’s </w:t>
      </w:r>
      <w:r w:rsidR="00D11084" w:rsidRPr="00D255DB">
        <w:rPr>
          <w:rFonts w:cs="Times New Roman"/>
          <w:color w:val="7030A0"/>
          <w:szCs w:val="24"/>
        </w:rPr>
        <w:t xml:space="preserve">with very low sales has </w:t>
      </w:r>
      <w:r w:rsidR="005A3813" w:rsidRPr="00D255DB">
        <w:rPr>
          <w:rFonts w:cs="Times New Roman"/>
          <w:color w:val="7030A0"/>
          <w:szCs w:val="24"/>
        </w:rPr>
        <w:t>dominated</w:t>
      </w:r>
      <w:r w:rsidR="008904D3" w:rsidRPr="00D255DB">
        <w:rPr>
          <w:rFonts w:cs="Times New Roman"/>
          <w:color w:val="7030A0"/>
          <w:szCs w:val="24"/>
        </w:rPr>
        <w:t xml:space="preserve"> the ranking for the MAPE</w:t>
      </w:r>
      <w:r w:rsidRPr="00D255DB">
        <w:rPr>
          <w:rFonts w:cs="Times New Roman"/>
          <w:color w:val="7030A0"/>
          <w:szCs w:val="24"/>
        </w:rPr>
        <w:t>.</w:t>
      </w:r>
      <w:r w:rsidRPr="00D255DB">
        <w:rPr>
          <w:rStyle w:val="FootnoteReference"/>
          <w:rFonts w:cs="Times New Roman"/>
          <w:color w:val="7030A0"/>
          <w:szCs w:val="24"/>
        </w:rPr>
        <w:footnoteReference w:id="11"/>
      </w:r>
      <w:r w:rsidR="005A3813" w:rsidRPr="00D255DB">
        <w:rPr>
          <w:rFonts w:cs="Times New Roman"/>
          <w:color w:val="7030A0"/>
          <w:szCs w:val="24"/>
        </w:rPr>
        <w:t xml:space="preserve"> This result is different from the </w:t>
      </w:r>
      <w:r w:rsidR="005A3813" w:rsidRPr="00D255DB">
        <w:rPr>
          <w:rFonts w:cs="Times New Roman"/>
          <w:color w:val="7030A0"/>
          <w:szCs w:val="24"/>
        </w:rPr>
        <w:lastRenderedPageBreak/>
        <w:t xml:space="preserve">result in Huang et al. (2014) because in the latter the forecasts are conducted </w:t>
      </w:r>
      <w:r w:rsidR="00D95D4D" w:rsidRPr="00D255DB">
        <w:rPr>
          <w:rFonts w:cs="Times New Roman"/>
          <w:color w:val="7030A0"/>
          <w:szCs w:val="24"/>
        </w:rPr>
        <w:t>based on aggregated data</w:t>
      </w:r>
      <w:r w:rsidR="005A3813" w:rsidRPr="00D255DB">
        <w:rPr>
          <w:rFonts w:cs="Times New Roman"/>
          <w:color w:val="7030A0"/>
          <w:szCs w:val="24"/>
        </w:rPr>
        <w:t xml:space="preserve"> across multiple stores.</w:t>
      </w:r>
      <w:r w:rsidR="00111EA3" w:rsidRPr="00D255DB">
        <w:rPr>
          <w:rFonts w:cs="Times New Roman"/>
          <w:color w:val="7030A0"/>
          <w:szCs w:val="24"/>
        </w:rPr>
        <w:t xml:space="preserve"> </w:t>
      </w:r>
    </w:p>
    <w:p w:rsidR="007B5793" w:rsidRPr="00D255DB" w:rsidRDefault="007B5793" w:rsidP="00047335">
      <w:pPr>
        <w:spacing w:after="0" w:line="360" w:lineRule="auto"/>
        <w:rPr>
          <w:rFonts w:cs="Times New Roman"/>
          <w:color w:val="7030A0"/>
          <w:szCs w:val="24"/>
        </w:rPr>
      </w:pPr>
    </w:p>
    <w:p w:rsidR="00047335" w:rsidRPr="00D255DB" w:rsidRDefault="00047335" w:rsidP="00047335">
      <w:pPr>
        <w:spacing w:after="0" w:line="360" w:lineRule="auto"/>
        <w:rPr>
          <w:rFonts w:cs="Times New Roman"/>
          <w:color w:val="7030A0"/>
          <w:szCs w:val="24"/>
        </w:rPr>
      </w:pPr>
      <w:r w:rsidRPr="00D255DB">
        <w:rPr>
          <w:rFonts w:cs="Times New Roman"/>
          <w:color w:val="7030A0"/>
          <w:szCs w:val="24"/>
        </w:rPr>
        <w:t xml:space="preserve"> The ADL-own model </w:t>
      </w:r>
      <w:r w:rsidR="00457A98" w:rsidRPr="00D255DB">
        <w:rPr>
          <w:rFonts w:cs="Times New Roman"/>
          <w:color w:val="7030A0"/>
          <w:szCs w:val="24"/>
        </w:rPr>
        <w:t>is</w:t>
      </w:r>
      <w:r w:rsidRPr="00D255DB">
        <w:rPr>
          <w:rFonts w:cs="Times New Roman"/>
          <w:color w:val="7030A0"/>
          <w:szCs w:val="24"/>
        </w:rPr>
        <w:t xml:space="preserve"> outperformed by the ADL-</w:t>
      </w:r>
      <w:r w:rsidRPr="00D255DB">
        <w:rPr>
          <w:rFonts w:cs="Times New Roman"/>
          <w:noProof/>
          <w:color w:val="7030A0"/>
          <w:szCs w:val="24"/>
        </w:rPr>
        <w:t xml:space="preserve">intra </w:t>
      </w:r>
      <w:r w:rsidR="008B58DB" w:rsidRPr="00D255DB">
        <w:rPr>
          <w:rFonts w:cs="Times New Roman"/>
          <w:noProof/>
          <w:color w:val="7030A0"/>
          <w:szCs w:val="24"/>
        </w:rPr>
        <w:t>model</w:t>
      </w:r>
      <w:r w:rsidR="008B58DB" w:rsidRPr="00D255DB">
        <w:rPr>
          <w:rFonts w:cs="Times New Roman"/>
          <w:color w:val="7030A0"/>
          <w:szCs w:val="24"/>
        </w:rPr>
        <w:t xml:space="preserve"> for all the scenarios</w:t>
      </w:r>
      <w:r w:rsidRPr="00D255DB">
        <w:rPr>
          <w:rFonts w:cs="Times New Roman"/>
          <w:color w:val="7030A0"/>
          <w:szCs w:val="24"/>
        </w:rPr>
        <w:t>.</w:t>
      </w:r>
      <w:r w:rsidR="008B58DB" w:rsidRPr="00D255DB">
        <w:rPr>
          <w:rFonts w:cs="Times New Roman"/>
          <w:color w:val="7030A0"/>
          <w:szCs w:val="24"/>
        </w:rPr>
        <w:t xml:space="preserve"> </w:t>
      </w:r>
      <w:r w:rsidRPr="00D255DB">
        <w:rPr>
          <w:rFonts w:cs="Times New Roman"/>
          <w:color w:val="7030A0"/>
          <w:szCs w:val="24"/>
        </w:rPr>
        <w:t xml:space="preserve">The ADL-own-EWC model outperforms the ADL-own model for </w:t>
      </w:r>
      <w:r w:rsidR="008B58DB" w:rsidRPr="00D255DB">
        <w:rPr>
          <w:rFonts w:cs="Times New Roman"/>
          <w:color w:val="7030A0"/>
          <w:szCs w:val="24"/>
        </w:rPr>
        <w:t>most of</w:t>
      </w:r>
      <w:r w:rsidRPr="00D255DB">
        <w:rPr>
          <w:rFonts w:cs="Times New Roman"/>
          <w:color w:val="7030A0"/>
          <w:szCs w:val="24"/>
        </w:rPr>
        <w:t xml:space="preserve"> the scenarios. The ADL-own-IC model has mixed forecasting performance compared to the ADL-own model</w:t>
      </w:r>
      <w:r w:rsidR="008B58DB" w:rsidRPr="00D255DB">
        <w:rPr>
          <w:rFonts w:cs="Times New Roman"/>
          <w:color w:val="7030A0"/>
          <w:szCs w:val="24"/>
        </w:rPr>
        <w:t xml:space="preserve">: it outperforms the ADL-own model for short forecast horizons (e.g., when </w:t>
      </w:r>
      <w:r w:rsidR="008B58DB" w:rsidRPr="00D255DB">
        <w:rPr>
          <w:rFonts w:cs="Times New Roman"/>
          <w:i/>
          <w:color w:val="7030A0"/>
          <w:szCs w:val="24"/>
        </w:rPr>
        <w:t>h</w:t>
      </w:r>
      <w:r w:rsidR="008B58DB" w:rsidRPr="00D255DB">
        <w:rPr>
          <w:rFonts w:cs="Times New Roman"/>
          <w:color w:val="7030A0"/>
          <w:szCs w:val="24"/>
        </w:rPr>
        <w:t>=1)</w:t>
      </w:r>
      <w:r w:rsidRPr="00D255DB">
        <w:rPr>
          <w:rFonts w:cs="Times New Roman"/>
          <w:color w:val="7030A0"/>
          <w:szCs w:val="24"/>
        </w:rPr>
        <w:t>. The ADL-</w:t>
      </w:r>
      <w:r w:rsidRPr="00D255DB">
        <w:rPr>
          <w:rFonts w:cs="Times New Roman"/>
          <w:noProof/>
          <w:color w:val="7030A0"/>
          <w:szCs w:val="24"/>
        </w:rPr>
        <w:t>intra</w:t>
      </w:r>
      <w:r w:rsidRPr="00D255DB">
        <w:rPr>
          <w:rFonts w:cs="Times New Roman"/>
          <w:color w:val="7030A0"/>
          <w:szCs w:val="24"/>
        </w:rPr>
        <w:t>-EWC model outperforms the ADL-</w:t>
      </w:r>
      <w:r w:rsidRPr="00D255DB">
        <w:rPr>
          <w:rFonts w:cs="Times New Roman"/>
          <w:noProof/>
          <w:color w:val="7030A0"/>
          <w:szCs w:val="24"/>
        </w:rPr>
        <w:t>intra model</w:t>
      </w:r>
      <w:r w:rsidRPr="00D255DB">
        <w:rPr>
          <w:rFonts w:cs="Times New Roman"/>
          <w:color w:val="7030A0"/>
          <w:szCs w:val="24"/>
        </w:rPr>
        <w:t xml:space="preserve"> for </w:t>
      </w:r>
      <w:r w:rsidR="008B58DB" w:rsidRPr="00D255DB">
        <w:rPr>
          <w:rFonts w:cs="Times New Roman"/>
          <w:color w:val="7030A0"/>
          <w:szCs w:val="24"/>
        </w:rPr>
        <w:t>most of</w:t>
      </w:r>
      <w:r w:rsidRPr="00D255DB">
        <w:rPr>
          <w:rFonts w:cs="Times New Roman"/>
          <w:color w:val="7030A0"/>
          <w:szCs w:val="24"/>
        </w:rPr>
        <w:t xml:space="preserve"> the scenarios. The ADL-intra-IC model has superior forecasting performance</w:t>
      </w:r>
      <w:r w:rsidR="008B58DB" w:rsidRPr="00D255DB">
        <w:rPr>
          <w:rFonts w:cs="Times New Roman"/>
          <w:color w:val="7030A0"/>
          <w:szCs w:val="24"/>
        </w:rPr>
        <w:t xml:space="preserve"> for 1-week-ahead forecast horizon and mixed forecasting performance compared to the ADL-</w:t>
      </w:r>
      <w:r w:rsidR="008B58DB" w:rsidRPr="00D255DB">
        <w:rPr>
          <w:rFonts w:cs="Times New Roman"/>
          <w:noProof/>
          <w:color w:val="7030A0"/>
          <w:szCs w:val="24"/>
        </w:rPr>
        <w:t>intra model</w:t>
      </w:r>
      <w:r w:rsidR="008B58DB" w:rsidRPr="00D255DB">
        <w:rPr>
          <w:rFonts w:cs="Times New Roman"/>
          <w:color w:val="7030A0"/>
          <w:szCs w:val="24"/>
        </w:rPr>
        <w:t xml:space="preserve">, </w:t>
      </w:r>
      <w:r w:rsidRPr="00D255DB">
        <w:rPr>
          <w:rFonts w:cs="Times New Roman"/>
          <w:color w:val="7030A0"/>
          <w:szCs w:val="24"/>
        </w:rPr>
        <w:t xml:space="preserve">and </w:t>
      </w:r>
      <w:r w:rsidR="008B58DB" w:rsidRPr="00D255DB">
        <w:rPr>
          <w:rFonts w:cs="Times New Roman"/>
          <w:color w:val="7030A0"/>
          <w:szCs w:val="24"/>
        </w:rPr>
        <w:t>gets outperformed by the ADL-</w:t>
      </w:r>
      <w:r w:rsidR="008B58DB" w:rsidRPr="00D255DB">
        <w:rPr>
          <w:rFonts w:cs="Times New Roman"/>
          <w:noProof/>
          <w:color w:val="7030A0"/>
          <w:szCs w:val="24"/>
        </w:rPr>
        <w:t>intra model</w:t>
      </w:r>
      <w:r w:rsidR="008B58DB" w:rsidRPr="00D255DB">
        <w:rPr>
          <w:rFonts w:cs="Times New Roman"/>
          <w:color w:val="7030A0"/>
          <w:szCs w:val="24"/>
        </w:rPr>
        <w:t xml:space="preserve"> for the 12</w:t>
      </w:r>
      <w:r w:rsidRPr="00D255DB">
        <w:rPr>
          <w:rFonts w:cs="Times New Roman"/>
          <w:color w:val="7030A0"/>
          <w:szCs w:val="24"/>
        </w:rPr>
        <w:t xml:space="preserve">-week-ahead </w:t>
      </w:r>
      <w:r w:rsidR="008B58DB" w:rsidRPr="00D255DB">
        <w:rPr>
          <w:rFonts w:cs="Times New Roman"/>
          <w:color w:val="7030A0"/>
          <w:szCs w:val="24"/>
        </w:rPr>
        <w:t>forecast horizon</w:t>
      </w:r>
      <w:r w:rsidRPr="00D255DB">
        <w:rPr>
          <w:rFonts w:cs="Times New Roman"/>
          <w:color w:val="7030A0"/>
          <w:szCs w:val="24"/>
        </w:rPr>
        <w:t xml:space="preserve">. </w:t>
      </w:r>
      <w:r w:rsidR="00111EA3" w:rsidRPr="00D255DB">
        <w:rPr>
          <w:rFonts w:cs="Times New Roman"/>
          <w:color w:val="7030A0"/>
          <w:szCs w:val="24"/>
        </w:rPr>
        <w:t>The results for the non-promoted period are in line with the results in Table 3 and we do not show it here for simplicity.</w:t>
      </w:r>
    </w:p>
    <w:p w:rsidR="006F2749" w:rsidRPr="00D255DB" w:rsidRDefault="007B5793" w:rsidP="006F2749">
      <w:pPr>
        <w:spacing w:after="0" w:line="360" w:lineRule="auto"/>
        <w:rPr>
          <w:rFonts w:cs="Times New Roman"/>
          <w:color w:val="7030A0"/>
          <w:szCs w:val="24"/>
        </w:rPr>
      </w:pPr>
      <w:r w:rsidRPr="00D255DB">
        <w:rPr>
          <w:rFonts w:cs="Times New Roman"/>
          <w:color w:val="7030A0"/>
          <w:szCs w:val="24"/>
        </w:rPr>
        <w:t xml:space="preserve"> </w:t>
      </w:r>
    </w:p>
    <w:p w:rsidR="006F2749" w:rsidRPr="00D255DB" w:rsidRDefault="006F2749" w:rsidP="00047335">
      <w:pPr>
        <w:spacing w:after="0" w:line="360" w:lineRule="auto"/>
        <w:rPr>
          <w:rFonts w:cs="Times New Roman"/>
          <w:color w:val="7030A0"/>
          <w:szCs w:val="24"/>
        </w:rPr>
      </w:pPr>
    </w:p>
    <w:p w:rsidR="002B4130" w:rsidRPr="00D255DB" w:rsidRDefault="002B4130" w:rsidP="002B4130">
      <w:pPr>
        <w:spacing w:after="0" w:line="360" w:lineRule="auto"/>
        <w:rPr>
          <w:rFonts w:eastAsia="DengXian" w:cs="Times New Roman"/>
          <w:color w:val="7030A0"/>
          <w:szCs w:val="24"/>
        </w:rPr>
      </w:pPr>
      <w:r w:rsidRPr="00D255DB">
        <w:rPr>
          <w:rFonts w:eastAsia="DengXian" w:cs="Times New Roman"/>
          <w:color w:val="7030A0"/>
          <w:szCs w:val="24"/>
        </w:rPr>
        <w:t xml:space="preserve">Table </w:t>
      </w:r>
      <w:r w:rsidR="00594475" w:rsidRPr="00D255DB">
        <w:rPr>
          <w:rFonts w:eastAsia="DengXian" w:cs="Times New Roman"/>
          <w:color w:val="7030A0"/>
          <w:szCs w:val="24"/>
        </w:rPr>
        <w:t>5</w:t>
      </w:r>
      <w:r w:rsidRPr="00D255DB">
        <w:rPr>
          <w:rFonts w:eastAsia="DengXian" w:cs="Times New Roman"/>
          <w:color w:val="7030A0"/>
          <w:szCs w:val="24"/>
        </w:rPr>
        <w:t>.</w:t>
      </w:r>
      <w:r w:rsidRPr="00D255DB">
        <w:rPr>
          <w:rFonts w:eastAsia="DengXian" w:cs="Times New Roman"/>
          <w:color w:val="7030A0"/>
          <w:szCs w:val="24"/>
        </w:rPr>
        <w:tab/>
        <w:t>The forecasting performance of candidate models for the promoted forecast period for different forecast horizons</w:t>
      </w:r>
    </w:p>
    <w:p w:rsidR="00047335" w:rsidRPr="00D255DB" w:rsidRDefault="00047335" w:rsidP="00324987">
      <w:pPr>
        <w:spacing w:after="0" w:line="360" w:lineRule="auto"/>
        <w:rPr>
          <w:rFonts w:eastAsia="DengXian" w:cs="Times New Roman"/>
          <w:color w:val="7030A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D255DB"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66.36%</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81.78%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2.162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1.4518</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74.93%</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49.89%</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1.656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73.89%</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1.633</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0.9769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74.97%</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1.645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0.9659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76.98%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1.696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1.0265</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75.35%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49.28%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1.668</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0.9962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64.18%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81.35%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2.107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1.5123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73.50%</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50.05%</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1.617</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72.02%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1.560</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0.9676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74.84%</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0.9897</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73.26%</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1.548</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0.9593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73.18%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50.41%</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1.0131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71.92%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48.65%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0.9753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AvgRelMAE</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66.42%</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87.12%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2.220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1.4461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67.11%</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50.14%</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66.63%</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48.56%</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0.9792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66.79%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1.0044</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lastRenderedPageBreak/>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65.85%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48.47%</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0.9715</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50.20%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1.587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0.9902</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65.71%</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1.511</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0.9523</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bl>
    <w:p w:rsidR="00892E56" w:rsidRPr="00D255DB" w:rsidRDefault="00892E56" w:rsidP="00324987">
      <w:pPr>
        <w:spacing w:after="0" w:line="360" w:lineRule="auto"/>
        <w:rPr>
          <w:rFonts w:eastAsia="DengXian" w:cs="Times New Roman"/>
          <w:color w:val="7030A0"/>
          <w:szCs w:val="24"/>
        </w:rPr>
      </w:pPr>
    </w:p>
    <w:p w:rsidR="0034317B" w:rsidRPr="00D255DB" w:rsidRDefault="0034317B" w:rsidP="00324987">
      <w:pPr>
        <w:spacing w:after="0" w:line="360" w:lineRule="auto"/>
        <w:rPr>
          <w:rFonts w:eastAsia="DengXian" w:cs="Times New Roman"/>
          <w:color w:val="7030A0"/>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935D37" w:rsidRDefault="00935D37" w:rsidP="00324987">
      <w:pPr>
        <w:spacing w:after="0" w:line="360" w:lineRule="auto"/>
        <w:rPr>
          <w:rFonts w:eastAsia="DengXian" w:cs="Times New Roman"/>
          <w:szCs w:val="24"/>
        </w:rPr>
      </w:pPr>
    </w:p>
    <w:p w:rsidR="00BF1E9D" w:rsidRPr="00577782" w:rsidRDefault="00935D37" w:rsidP="00BF1E9D">
      <w:pPr>
        <w:spacing w:after="0" w:line="360" w:lineRule="auto"/>
        <w:rPr>
          <w:rFonts w:eastAsia="DengXian" w:cs="Times New Roman"/>
          <w:color w:val="7030A0"/>
          <w:szCs w:val="24"/>
        </w:rPr>
      </w:pPr>
      <w:r w:rsidRPr="00577782">
        <w:rPr>
          <w:rFonts w:eastAsia="DengXian" w:cs="Times New Roman"/>
          <w:color w:val="7030A0"/>
          <w:szCs w:val="24"/>
        </w:rPr>
        <w:t>We</w:t>
      </w:r>
      <w:r w:rsidR="00771A19" w:rsidRPr="00577782">
        <w:rPr>
          <w:rFonts w:eastAsia="DengXian" w:cs="Times New Roman"/>
          <w:color w:val="7030A0"/>
          <w:szCs w:val="24"/>
        </w:rPr>
        <w:t xml:space="preserve"> explore </w:t>
      </w:r>
      <w:r w:rsidR="0012548A" w:rsidRPr="00577782">
        <w:rPr>
          <w:rFonts w:eastAsia="DengXian" w:cs="Times New Roman"/>
          <w:color w:val="7030A0"/>
          <w:szCs w:val="24"/>
        </w:rPr>
        <w:t>models’</w:t>
      </w:r>
      <w:r w:rsidR="00771A19" w:rsidRPr="00577782">
        <w:rPr>
          <w:rFonts w:eastAsia="DengXian" w:cs="Times New Roman"/>
          <w:color w:val="7030A0"/>
          <w:szCs w:val="24"/>
        </w:rPr>
        <w:t xml:space="preserve"> forecasting performance </w:t>
      </w:r>
      <w:r w:rsidRPr="00577782">
        <w:rPr>
          <w:rFonts w:eastAsia="DengXian" w:cs="Times New Roman"/>
          <w:color w:val="7030A0"/>
          <w:szCs w:val="24"/>
        </w:rPr>
        <w:t>at the category level</w:t>
      </w:r>
      <w:r w:rsidR="00111137" w:rsidRPr="00577782">
        <w:rPr>
          <w:rFonts w:eastAsia="DengXian" w:cs="Times New Roman"/>
          <w:color w:val="7030A0"/>
          <w:szCs w:val="24"/>
        </w:rPr>
        <w:t xml:space="preserve">. Figure 8a to Figure 8d show </w:t>
      </w:r>
      <w:r w:rsidR="00771A19" w:rsidRPr="00577782">
        <w:rPr>
          <w:rFonts w:eastAsia="DengXian" w:cs="Times New Roman"/>
          <w:color w:val="7030A0"/>
          <w:szCs w:val="24"/>
        </w:rPr>
        <w:t xml:space="preserve">the </w:t>
      </w:r>
      <w:r w:rsidR="006741A7" w:rsidRPr="00577782">
        <w:rPr>
          <w:rFonts w:eastAsia="DengXian" w:cs="Times New Roman"/>
          <w:color w:val="7030A0"/>
          <w:szCs w:val="24"/>
        </w:rPr>
        <w:t>improved forecasting accuracy</w:t>
      </w:r>
      <w:r w:rsidR="00704AA4" w:rsidRPr="00577782">
        <w:rPr>
          <w:rFonts w:eastAsia="DengXian" w:cs="Times New Roman"/>
          <w:color w:val="7030A0"/>
          <w:szCs w:val="24"/>
        </w:rPr>
        <w:t xml:space="preserve"> </w:t>
      </w:r>
      <w:r w:rsidR="006741A7" w:rsidRPr="00577782">
        <w:rPr>
          <w:rFonts w:eastAsia="DengXian" w:cs="Times New Roman"/>
          <w:color w:val="7030A0"/>
          <w:szCs w:val="24"/>
        </w:rPr>
        <w:t>for</w:t>
      </w:r>
      <w:r w:rsidR="00090C63" w:rsidRPr="00577782">
        <w:rPr>
          <w:rFonts w:eastAsia="DengXian" w:cs="Times New Roman"/>
          <w:color w:val="7030A0"/>
          <w:szCs w:val="24"/>
        </w:rPr>
        <w:t xml:space="preserve"> </w:t>
      </w:r>
      <w:r w:rsidR="00111137" w:rsidRPr="00577782">
        <w:rPr>
          <w:rFonts w:eastAsia="DengXian" w:cs="Times New Roman"/>
          <w:color w:val="7030A0"/>
          <w:szCs w:val="24"/>
        </w:rPr>
        <w:t xml:space="preserve">the various forecast error measures by our proposed models. The improved forecasting accuracy is calculated as the percentage reduction of the error measure by applying the proposed model compared to the ADL-intra model. For example, in Figure 8a, </w:t>
      </w:r>
      <w:r w:rsidR="00BF1E9D" w:rsidRPr="00577782">
        <w:rPr>
          <w:rFonts w:eastAsia="DengXian" w:cs="Times New Roman"/>
          <w:color w:val="7030A0"/>
          <w:szCs w:val="24"/>
        </w:rPr>
        <w:t xml:space="preserve">The percentage reduction of the MAPE by using the ADL-intra-EWC model in Figure 8a is calculated as  </w:t>
      </w:r>
      <m:oMath>
        <m:f>
          <m:fPr>
            <m:ctrlPr>
              <w:rPr>
                <w:rFonts w:ascii="Cambria Math" w:eastAsia="DengXian" w:hAnsi="Cambria Math" w:cs="Times New Roman"/>
                <w:i/>
                <w:color w:val="7030A0"/>
                <w:szCs w:val="24"/>
              </w:rPr>
            </m:ctrlPr>
          </m:fPr>
          <m:num>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ADL-intra-EWC</m:t>
                </m:r>
              </m:sub>
            </m:sSub>
            <m:r>
              <w:rPr>
                <w:rFonts w:ascii="Cambria Math" w:eastAsia="DengXian" w:hAnsi="Cambria Math" w:cs="Times New Roman"/>
                <w:color w:val="7030A0"/>
                <w:szCs w:val="24"/>
              </w:rPr>
              <m:t>-</m:t>
            </m:r>
            <m:sSub>
              <m:sSubPr>
                <m:ctrlPr>
                  <w:rPr>
                    <w:rFonts w:ascii="Cambria Math" w:eastAsia="DengXian" w:hAnsi="Cambria Math" w:cs="Times New Roman"/>
                    <w:i/>
                    <w:color w:val="7030A0"/>
                    <w:szCs w:val="24"/>
                  </w:rPr>
                </m:ctrlPr>
              </m:sSubPr>
              <m:e>
                <m:r>
                  <w:rPr>
                    <w:rFonts w:ascii="Cambria Math" w:eastAsia="DengXian" w:hAnsi="Cambria Math" w:cs="Times New Roman"/>
                    <w:color w:val="7030A0"/>
                    <w:szCs w:val="24"/>
                  </w:rPr>
                  <m:t>MAPE</m:t>
                </m:r>
              </m:e>
              <m:sub>
                <m:r>
                  <w:rPr>
                    <w:rFonts w:ascii="Cambria Math" w:eastAsia="DengXian" w:hAnsi="Cambria Math" w:cs="Times New Roman"/>
                    <w:color w:val="7030A0"/>
                    <w:szCs w:val="24"/>
                  </w:rPr>
                  <m:t>ADL-intra</m:t>
                </m:r>
              </m:sub>
            </m:sSub>
          </m:num>
          <m:den>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m:t>
                </m:r>
              </m:sub>
            </m:sSub>
          </m:den>
        </m:f>
        <m:r>
          <w:rPr>
            <w:rFonts w:ascii="Cambria Math" w:eastAsia="DengXian" w:hAnsi="Cambria Math" w:cs="Times New Roman"/>
            <w:color w:val="7030A0"/>
            <w:szCs w:val="24"/>
          </w:rPr>
          <m:t>×</m:t>
        </m:r>
        <m:r>
          <m:rPr>
            <m:sty m:val="p"/>
          </m:rPr>
          <w:rPr>
            <w:rFonts w:ascii="Cambria Math" w:eastAsia="DengXian" w:hAnsi="Cambria Math" w:cs="Times New Roman"/>
            <w:color w:val="7030A0"/>
            <w:szCs w:val="24"/>
          </w:rPr>
          <m:t>100%</m:t>
        </m:r>
      </m:oMath>
      <w:r w:rsidR="00BF1E9D" w:rsidRPr="00577782">
        <w:rPr>
          <w:rFonts w:eastAsia="DengXian" w:cs="Times New Roman"/>
          <w:color w:val="7030A0"/>
          <w:szCs w:val="24"/>
        </w:rPr>
        <w:t xml:space="preserve"> </w:t>
      </w:r>
    </w:p>
    <w:p w:rsidR="007565BA" w:rsidRPr="00577782" w:rsidRDefault="00BF1E9D" w:rsidP="00DD2790">
      <w:pPr>
        <w:spacing w:after="0" w:line="360" w:lineRule="auto"/>
        <w:rPr>
          <w:rFonts w:eastAsia="DengXian" w:cs="Times New Roman"/>
          <w:color w:val="7030A0"/>
          <w:szCs w:val="24"/>
        </w:rPr>
      </w:pPr>
      <w:r w:rsidRPr="00577782">
        <w:rPr>
          <w:rFonts w:eastAsia="DengXian" w:cs="Times New Roman"/>
          <w:color w:val="7030A0"/>
          <w:szCs w:val="24"/>
        </w:rPr>
        <w:t xml:space="preserve">and </w:t>
      </w:r>
      <w:r w:rsidR="00111137" w:rsidRPr="00577782">
        <w:rPr>
          <w:rFonts w:eastAsia="DengXian" w:cs="Times New Roman"/>
          <w:color w:val="7030A0"/>
          <w:szCs w:val="24"/>
        </w:rPr>
        <w:t xml:space="preserve">the value of the MAPE </w:t>
      </w:r>
      <w:r w:rsidRPr="00577782">
        <w:rPr>
          <w:rFonts w:eastAsia="DengXian" w:cs="Times New Roman"/>
          <w:color w:val="7030A0"/>
          <w:szCs w:val="24"/>
        </w:rPr>
        <w:t xml:space="preserve">could be reduced </w:t>
      </w:r>
      <w:r w:rsidR="00111137" w:rsidRPr="00577782">
        <w:rPr>
          <w:rFonts w:eastAsia="DengXian" w:cs="Times New Roman"/>
          <w:color w:val="7030A0"/>
          <w:szCs w:val="24"/>
        </w:rPr>
        <w:t>by</w:t>
      </w:r>
      <w:r w:rsidR="00B900E5" w:rsidRPr="00577782">
        <w:rPr>
          <w:rFonts w:eastAsia="DengXian" w:cs="Times New Roman"/>
          <w:color w:val="7030A0"/>
          <w:szCs w:val="24"/>
        </w:rPr>
        <w:t xml:space="preserve"> </w:t>
      </w:r>
      <w:r w:rsidR="00111137" w:rsidRPr="00577782">
        <w:rPr>
          <w:rFonts w:eastAsia="DengXian" w:cs="Times New Roman"/>
          <w:color w:val="7030A0"/>
          <w:szCs w:val="24"/>
        </w:rPr>
        <w:t>5.61</w:t>
      </w:r>
      <w:r w:rsidR="00B900E5" w:rsidRPr="00577782">
        <w:rPr>
          <w:rFonts w:eastAsia="DengXian" w:cs="Times New Roman"/>
          <w:color w:val="7030A0"/>
          <w:szCs w:val="24"/>
        </w:rPr>
        <w:t xml:space="preserve">% </w:t>
      </w:r>
      <w:r w:rsidR="00A52CF7" w:rsidRPr="00577782">
        <w:rPr>
          <w:rFonts w:eastAsia="DengXian" w:cs="Times New Roman"/>
          <w:color w:val="7030A0"/>
          <w:szCs w:val="24"/>
        </w:rPr>
        <w:t>using</w:t>
      </w:r>
      <w:r w:rsidR="00B900E5" w:rsidRPr="00577782">
        <w:rPr>
          <w:rFonts w:eastAsia="DengXian" w:cs="Times New Roman"/>
          <w:color w:val="7030A0"/>
          <w:szCs w:val="24"/>
        </w:rPr>
        <w:t xml:space="preserve"> the ADL-</w:t>
      </w:r>
      <w:r w:rsidR="00B900E5" w:rsidRPr="00577782">
        <w:rPr>
          <w:rFonts w:eastAsia="DengXian" w:cs="Times New Roman"/>
          <w:noProof/>
          <w:color w:val="7030A0"/>
          <w:szCs w:val="24"/>
        </w:rPr>
        <w:t>intra</w:t>
      </w:r>
      <w:r w:rsidR="00111137" w:rsidRPr="00577782">
        <w:rPr>
          <w:rFonts w:eastAsia="DengXian" w:cs="Times New Roman"/>
          <w:noProof/>
          <w:color w:val="7030A0"/>
          <w:szCs w:val="24"/>
        </w:rPr>
        <w:t>-EWC</w:t>
      </w:r>
      <w:r w:rsidR="00B900E5" w:rsidRPr="00577782">
        <w:rPr>
          <w:rFonts w:eastAsia="DengXian" w:cs="Times New Roman"/>
          <w:noProof/>
          <w:color w:val="7030A0"/>
          <w:szCs w:val="24"/>
        </w:rPr>
        <w:t xml:space="preserve"> model</w:t>
      </w:r>
      <w:r w:rsidR="00111137" w:rsidRPr="00577782">
        <w:rPr>
          <w:rFonts w:eastAsia="DengXian" w:cs="Times New Roman"/>
          <w:noProof/>
          <w:color w:val="7030A0"/>
          <w:szCs w:val="24"/>
        </w:rPr>
        <w:t xml:space="preserve"> and by 18.51% using the ADL-intra-IC model</w:t>
      </w:r>
      <w:r w:rsidR="00B900E5" w:rsidRPr="00577782">
        <w:rPr>
          <w:rFonts w:eastAsia="DengXian" w:cs="Times New Roman"/>
          <w:color w:val="7030A0"/>
          <w:szCs w:val="24"/>
        </w:rPr>
        <w:t xml:space="preserve">. </w:t>
      </w:r>
      <w:r w:rsidR="007565BA" w:rsidRPr="00577782">
        <w:rPr>
          <w:rFonts w:eastAsia="DengXian" w:cs="Times New Roman"/>
          <w:color w:val="7030A0"/>
          <w:szCs w:val="24"/>
        </w:rPr>
        <w:t xml:space="preserve">Figure 8a </w:t>
      </w:r>
      <w:r w:rsidR="00CA493F" w:rsidRPr="00577782">
        <w:rPr>
          <w:rFonts w:eastAsia="DengXian" w:cs="Times New Roman"/>
          <w:color w:val="7030A0"/>
          <w:szCs w:val="24"/>
        </w:rPr>
        <w:t>indicates</w:t>
      </w:r>
      <w:r w:rsidR="007565BA" w:rsidRPr="00577782">
        <w:rPr>
          <w:rFonts w:eastAsia="DengXian" w:cs="Times New Roman"/>
          <w:color w:val="7030A0"/>
          <w:szCs w:val="24"/>
        </w:rPr>
        <w:t xml:space="preserve"> that our proposed models outperform the ADL-intra model espec</w:t>
      </w:r>
      <w:r w:rsidR="00922B59" w:rsidRPr="00577782">
        <w:rPr>
          <w:rFonts w:eastAsia="DengXian" w:cs="Times New Roman"/>
          <w:color w:val="7030A0"/>
          <w:szCs w:val="24"/>
        </w:rPr>
        <w:t xml:space="preserve">ially for most of the </w:t>
      </w:r>
      <w:r w:rsidR="007565BA" w:rsidRPr="00577782">
        <w:rPr>
          <w:rFonts w:eastAsia="DengXian" w:cs="Times New Roman"/>
          <w:color w:val="7030A0"/>
          <w:szCs w:val="24"/>
        </w:rPr>
        <w:t xml:space="preserve">categories including Paper Towel, Coffee, Face Tissue, </w:t>
      </w:r>
      <w:r w:rsidR="00922B59" w:rsidRPr="00577782">
        <w:rPr>
          <w:rFonts w:eastAsia="DengXian" w:cs="Times New Roman"/>
          <w:color w:val="7030A0"/>
          <w:szCs w:val="24"/>
        </w:rPr>
        <w:t>Frozen Dinner, Mayonnaise, and Soup etc. The proposed models get outperformed by the ADL-intra model for categories including Carbonated Beverage, Frozen Pizza, and Hotdogs etc.</w:t>
      </w:r>
      <w:r w:rsidR="00CA493F" w:rsidRPr="00577782">
        <w:rPr>
          <w:rFonts w:eastAsia="DengXian" w:cs="Times New Roman"/>
          <w:color w:val="7030A0"/>
          <w:szCs w:val="24"/>
        </w:rPr>
        <w:t xml:space="preserve"> Figure 8b, 8c, and 8d suggest a consistent finding that the proposed models outperform the ADL-intra model for most of the product categories.</w:t>
      </w:r>
      <w:r w:rsidR="00097A77" w:rsidRPr="00577782">
        <w:rPr>
          <w:rFonts w:eastAsia="DengXian" w:cs="Times New Roman"/>
          <w:color w:val="7030A0"/>
          <w:szCs w:val="24"/>
        </w:rPr>
        <w:t xml:space="preserve"> We also </w:t>
      </w:r>
      <w:r w:rsidR="005A7898" w:rsidRPr="00577782">
        <w:rPr>
          <w:rFonts w:eastAsia="DengXian" w:cs="Times New Roman"/>
          <w:color w:val="7030A0"/>
          <w:szCs w:val="24"/>
        </w:rPr>
        <w:t>investigate the results across different forecast horizons and we find the results are consistent except that the improvement of the ADL-own-IC model and the ADL-intra-IC model over their counterparts (e.g., the ADL-own model and the ADL-</w:t>
      </w:r>
      <w:r w:rsidR="005A7898" w:rsidRPr="00577782">
        <w:rPr>
          <w:rFonts w:eastAsia="DengXian" w:cs="Times New Roman"/>
          <w:noProof/>
          <w:color w:val="7030A0"/>
          <w:szCs w:val="24"/>
        </w:rPr>
        <w:t>intra model</w:t>
      </w:r>
      <w:r w:rsidR="005A7898" w:rsidRPr="00577782">
        <w:rPr>
          <w:rFonts w:eastAsia="DengXian" w:cs="Times New Roman"/>
          <w:color w:val="7030A0"/>
          <w:szCs w:val="24"/>
        </w:rPr>
        <w:t xml:space="preserve">) are getting marginal for long forecast horizon (e.g., h=4 and h=12). Results also show similar improvements by the ADL-own-EWC model and the ADL-own-IC model at the category level. </w:t>
      </w:r>
      <w:r w:rsidR="00F5674F" w:rsidRPr="00577782">
        <w:rPr>
          <w:rFonts w:eastAsia="DengXian" w:cs="Times New Roman"/>
          <w:color w:val="7030A0"/>
          <w:szCs w:val="24"/>
        </w:rPr>
        <w:t>The Figures are not shown here for simplicity but will be available upon request.</w:t>
      </w:r>
    </w:p>
    <w:p w:rsidR="007565BA" w:rsidRDefault="00253698" w:rsidP="00DD2790">
      <w:pPr>
        <w:spacing w:after="0" w:line="360" w:lineRule="auto"/>
        <w:rPr>
          <w:rFonts w:eastAsia="DengXian" w:cs="Times New Roman"/>
          <w:szCs w:val="24"/>
        </w:rPr>
      </w:pPr>
      <w:r>
        <w:rPr>
          <w:rFonts w:eastAsia="DengXian" w:cs="Times New Roman"/>
          <w:szCs w:val="24"/>
        </w:rPr>
        <w:t xml:space="preserve"> </w:t>
      </w:r>
    </w:p>
    <w:p w:rsidR="00CC3ACD" w:rsidRPr="004D35BF" w:rsidRDefault="005A7898" w:rsidP="00DD2790">
      <w:pPr>
        <w:spacing w:after="0" w:line="360" w:lineRule="auto"/>
        <w:rPr>
          <w:rFonts w:eastAsia="DengXian" w:cs="Times New Roman"/>
          <w:szCs w:val="24"/>
        </w:rPr>
      </w:pPr>
      <w:r>
        <w:rPr>
          <w:rFonts w:eastAsia="DengXian" w:cs="Times New Roman"/>
          <w:szCs w:val="24"/>
        </w:rPr>
        <w:t xml:space="preserve"> </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Default="00806ECA" w:rsidP="00324987">
      <w:pPr>
        <w:spacing w:after="0" w:line="360" w:lineRule="auto"/>
        <w:rPr>
          <w:rFonts w:cs="Times New Roman"/>
          <w:szCs w:val="24"/>
        </w:rPr>
      </w:pPr>
    </w:p>
    <w:p w:rsidR="00FE4740" w:rsidRDefault="00FE4740" w:rsidP="00324987">
      <w:pPr>
        <w:spacing w:after="0" w:line="360" w:lineRule="auto"/>
        <w:rPr>
          <w:rFonts w:cs="Times New Roman"/>
          <w:szCs w:val="24"/>
        </w:rPr>
      </w:pPr>
    </w:p>
    <w:p w:rsidR="00FE4740" w:rsidRDefault="00577782" w:rsidP="00577782">
      <w:pPr>
        <w:spacing w:after="0" w:line="360" w:lineRule="auto"/>
        <w:jc w:val="center"/>
        <w:rPr>
          <w:rFonts w:cs="Times New Roman"/>
          <w:szCs w:val="24"/>
        </w:rPr>
      </w:pPr>
      <w:r>
        <w:rPr>
          <w:rFonts w:cs="Times New Roman"/>
          <w:szCs w:val="24"/>
        </w:rPr>
        <w:lastRenderedPageBreak/>
        <w:t>Figure 8a.</w:t>
      </w:r>
      <w:r>
        <w:rPr>
          <w:rFonts w:cs="Times New Roman"/>
          <w:szCs w:val="24"/>
        </w:rPr>
        <w:tab/>
        <w:t>The percentage reduction of the MAPE at the category level</w:t>
      </w:r>
    </w:p>
    <w:p w:rsidR="00C139F5" w:rsidRDefault="00E23F61" w:rsidP="00E23F61">
      <w:r>
        <w:rPr>
          <w:noProof/>
        </w:rPr>
        <w:drawing>
          <wp:inline distT="0" distB="0" distL="0" distR="0" wp14:anchorId="7C53F4DC" wp14:editId="3BE59BE6">
            <wp:extent cx="5524500" cy="30463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772" cy="3068050"/>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8b.</w:t>
      </w:r>
      <w:r>
        <w:rPr>
          <w:rFonts w:cs="Times New Roman"/>
          <w:szCs w:val="24"/>
        </w:rPr>
        <w:tab/>
        <w:t>The percentage reduction of the MASE at the category level</w:t>
      </w:r>
    </w:p>
    <w:p w:rsidR="00E23F61" w:rsidRDefault="00E23F61" w:rsidP="00E23F61">
      <w:r>
        <w:rPr>
          <w:noProof/>
        </w:rPr>
        <w:drawing>
          <wp:inline distT="0" distB="0" distL="0" distR="0" wp14:anchorId="729AA9AF" wp14:editId="326C8454">
            <wp:extent cx="5563076" cy="3205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2450" cy="3222554"/>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8c.</w:t>
      </w:r>
      <w:r>
        <w:rPr>
          <w:rFonts w:cs="Times New Roman"/>
          <w:szCs w:val="24"/>
        </w:rPr>
        <w:tab/>
        <w:t>The percentage reduction of the SMAPE at the category level</w:t>
      </w:r>
    </w:p>
    <w:p w:rsidR="00C139F5" w:rsidRDefault="00C139F5" w:rsidP="00E23F61"/>
    <w:p w:rsidR="00C139F5" w:rsidRDefault="00E23F61" w:rsidP="00E23F61">
      <w:r>
        <w:rPr>
          <w:noProof/>
        </w:rPr>
        <w:lastRenderedPageBreak/>
        <w:drawing>
          <wp:inline distT="0" distB="0" distL="0" distR="0" wp14:anchorId="081D57C5" wp14:editId="68BCDE74">
            <wp:extent cx="5773052" cy="3314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687" cy="3318511"/>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8d.</w:t>
      </w:r>
      <w:r>
        <w:rPr>
          <w:rFonts w:cs="Times New Roman"/>
          <w:szCs w:val="24"/>
        </w:rPr>
        <w:tab/>
        <w:t>The percentage reduction of the RelAvgMAE at the category level</w:t>
      </w:r>
    </w:p>
    <w:p w:rsidR="00E23F61" w:rsidRDefault="00E23F61" w:rsidP="00E23F61">
      <w:r>
        <w:rPr>
          <w:noProof/>
        </w:rPr>
        <w:drawing>
          <wp:inline distT="0" distB="0" distL="0" distR="0" wp14:anchorId="30AF09B1" wp14:editId="4613A750">
            <wp:extent cx="5784850" cy="33151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067" cy="3376628"/>
                    </a:xfrm>
                    <a:prstGeom prst="rect">
                      <a:avLst/>
                    </a:prstGeom>
                    <a:noFill/>
                  </pic:spPr>
                </pic:pic>
              </a:graphicData>
            </a:graphic>
          </wp:inline>
        </w:drawing>
      </w:r>
    </w:p>
    <w:p w:rsidR="00E23F61" w:rsidRDefault="00E23F61" w:rsidP="00E23F61"/>
    <w:p w:rsidR="005E0E0C" w:rsidRDefault="005E0E0C" w:rsidP="00F0437F">
      <w:pPr>
        <w:pStyle w:val="ListParagraph"/>
        <w:spacing w:after="0" w:line="360" w:lineRule="auto"/>
        <w:ind w:left="0"/>
        <w:rPr>
          <w:rFonts w:cs="Times New Roman"/>
          <w:szCs w:val="24"/>
        </w:rPr>
      </w:pPr>
    </w:p>
    <w:p w:rsidR="00850C03" w:rsidRDefault="00850C03" w:rsidP="00F0437F">
      <w:pPr>
        <w:pStyle w:val="ListParagraph"/>
        <w:spacing w:after="0" w:line="360" w:lineRule="auto"/>
        <w:ind w:left="0"/>
        <w:rPr>
          <w:rFonts w:cs="Times New Roman"/>
          <w:szCs w:val="24"/>
        </w:rPr>
      </w:pPr>
    </w:p>
    <w:p w:rsidR="00850C03" w:rsidRPr="004D35BF" w:rsidRDefault="00850C03" w:rsidP="00F0437F">
      <w:pPr>
        <w:pStyle w:val="ListParagraph"/>
        <w:spacing w:after="0" w:line="360" w:lineRule="auto"/>
        <w:ind w:left="0"/>
        <w:rPr>
          <w:rFonts w:cs="Times New Roman"/>
          <w:szCs w:val="24"/>
        </w:rPr>
        <w:sectPr w:rsidR="00850C03" w:rsidRPr="004D35BF" w:rsidSect="00850C03">
          <w:pgSz w:w="11906" w:h="16838"/>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r w:rsidRPr="004D35BF">
              <w:rPr>
                <w:rFonts w:eastAsia="Times New Roman" w:cs="Times New Roman"/>
                <w:bCs/>
                <w:sz w:val="20"/>
                <w:szCs w:val="20"/>
              </w:rPr>
              <w:t>AvgRelMAE</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2"/>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recency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r w:rsidR="007D38E4" w:rsidRPr="004D35BF">
        <w:rPr>
          <w:rFonts w:cs="Times New Roman"/>
          <w:i/>
          <w:szCs w:val="24"/>
        </w:rPr>
        <w:t>Autometrics</w:t>
      </w:r>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3"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3"/>
    </w:p>
    <w:p w:rsidR="003F2831" w:rsidRPr="004D35BF" w:rsidRDefault="003F2831" w:rsidP="003F2831">
      <w:pPr>
        <w:pStyle w:val="EndNoteBibliography"/>
      </w:pPr>
      <w:bookmarkStart w:id="4"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6"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6"/>
    </w:p>
    <w:p w:rsidR="003F2831" w:rsidRPr="004D35BF" w:rsidRDefault="003F2831" w:rsidP="003F2831">
      <w:pPr>
        <w:pStyle w:val="EndNoteBibliography"/>
      </w:pPr>
      <w:bookmarkStart w:id="7"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6"/>
      <w:r w:rsidRPr="004D35BF">
        <w:t xml:space="preserve">Andrews, R. L., et al. (2008). "Estimating the SCAN*PRO model of store sales: HB, FM or just OLS?" </w:t>
      </w:r>
      <w:r w:rsidR="00D12023">
        <w:rPr>
          <w:u w:val="single"/>
        </w:rPr>
        <w:t>I</w:t>
      </w:r>
      <w:r w:rsidRPr="00D12023">
        <w:rPr>
          <w:u w:val="single"/>
        </w:rPr>
        <w:t>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rPr>
          <w:u w:val="single"/>
        </w:rPr>
      </w:pPr>
      <w:bookmarkStart w:id="16"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pPr>
      <w:bookmarkStart w:id="17"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9"/>
      <w:r w:rsidRPr="004D35BF">
        <w:lastRenderedPageBreak/>
        <w:t>Cooper, L. G., et al. (1999). "</w:t>
      </w:r>
      <w:r w:rsidRPr="00DC23CE">
        <w:t>Promocast</w:t>
      </w:r>
      <w:r w:rsidRPr="004D35BF">
        <w:t xml:space="preserve">":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3"/>
    </w:p>
    <w:p w:rsidR="003F2831" w:rsidRPr="004D35BF" w:rsidRDefault="003F2831" w:rsidP="003F2831">
      <w:pPr>
        <w:pStyle w:val="EndNoteBibliography"/>
      </w:pPr>
      <w:bookmarkStart w:id="34"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4"/>
    </w:p>
    <w:p w:rsidR="003F2831" w:rsidRPr="004D35BF" w:rsidRDefault="003F2831" w:rsidP="003F2831">
      <w:pPr>
        <w:pStyle w:val="EndNoteBibliography"/>
      </w:pPr>
      <w:bookmarkStart w:id="35" w:name="_ENREF_33"/>
      <w:r w:rsidRPr="004D35BF">
        <w:t xml:space="preserve">Hendry, D. F. </w:t>
      </w:r>
      <w:r w:rsidRPr="00DC23CE">
        <w:t>and</w:t>
      </w:r>
      <w:r w:rsidRPr="004D35BF">
        <w:t xml:space="preserve">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6"/>
      <w:r w:rsidRPr="004D35BF">
        <w:t xml:space="preserve">Hyndman, R. J. </w:t>
      </w:r>
      <w:r w:rsidRPr="00DC23CE">
        <w:t>and</w:t>
      </w:r>
      <w:r w:rsidRPr="004D35BF">
        <w:t xml:space="preserve">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3"/>
      <w:r w:rsidRPr="004D35BF">
        <w:t xml:space="preserve">Leenheer, J., et al. (2007). "Do loyalty programs really enhance behavioral loyalty? An empirical analysis accounting for self-selecting members."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6"/>
    </w:p>
    <w:p w:rsidR="003F2831" w:rsidRPr="004D35BF" w:rsidRDefault="003F2831" w:rsidP="003F2831">
      <w:pPr>
        <w:pStyle w:val="EndNoteBibliography"/>
      </w:pPr>
      <w:bookmarkStart w:id="47"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7"/>
    </w:p>
    <w:p w:rsidR="003F2831" w:rsidRPr="004D35BF" w:rsidRDefault="003F2831" w:rsidP="003F2831">
      <w:pPr>
        <w:pStyle w:val="EndNoteBibliography"/>
      </w:pPr>
      <w:bookmarkStart w:id="48" w:name="_ENREF_46"/>
      <w:r w:rsidRPr="004D35BF">
        <w:t xml:space="preserve">Little, J. D. C. (1966). "A Model of Adaptive Control of Promotional Spending." </w:t>
      </w:r>
      <w:r w:rsidRPr="004D35BF">
        <w:rPr>
          <w:u w:val="single"/>
        </w:rPr>
        <w:t xml:space="preserve">Operations </w:t>
      </w:r>
      <w:r w:rsidRPr="00DC23CE">
        <w:rPr>
          <w:u w:val="single"/>
        </w:rPr>
        <w:t>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8"/>
      <w:r w:rsidRPr="004D35BF">
        <w:t xml:space="preserve">Ma, S., et al. (2016). "Demand forecasting with high dimensional data: The case of SKU retail sales forecasting with </w:t>
      </w:r>
      <w:r w:rsidRPr="00DC23CE">
        <w:t>intra</w:t>
      </w:r>
      <w:r w:rsidRPr="004D35BF">
        <w:t xml:space="preserve">-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9"/>
      <w:r w:rsidRPr="004D35BF">
        <w:t xml:space="preserve">Mace, S. and S. A. Neslin (2004). "The determinants of pre- and </w:t>
      </w:r>
      <w:r w:rsidRPr="00DC23CE">
        <w:t>postpromotion</w:t>
      </w:r>
      <w:r w:rsidRPr="004D35BF">
        <w:t xml:space="preserve">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59"/>
    </w:p>
    <w:p w:rsidR="003F2831" w:rsidRPr="004D35BF" w:rsidRDefault="003F2831" w:rsidP="003F2831">
      <w:pPr>
        <w:pStyle w:val="EndNoteBibliography"/>
      </w:pPr>
      <w:bookmarkStart w:id="60"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0"/>
    </w:p>
    <w:p w:rsidR="003F2831" w:rsidRPr="004D35BF" w:rsidRDefault="003F2831" w:rsidP="003F2831">
      <w:pPr>
        <w:pStyle w:val="EndNoteBibliography"/>
      </w:pPr>
      <w:bookmarkStart w:id="61"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60"/>
      <w:r w:rsidRPr="004D35BF">
        <w:t xml:space="preserve">OrderDynamics (2015). Retailers and the Ghost Economy: The Haunting of Returns. </w:t>
      </w:r>
      <w:hyperlink r:id="rId26"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3"/>
      <w:r w:rsidRPr="004D35BF">
        <w:t xml:space="preserve">Pesaran, M. H. and A. Timmermann (2005). "Small sample properties of forecasts from autoregressive models under structural breaks." </w:t>
      </w:r>
      <w:r w:rsidRPr="004D35BF">
        <w:rPr>
          <w:u w:val="single"/>
        </w:rPr>
        <w:t xml:space="preserve">Journal of </w:t>
      </w:r>
      <w:r w:rsidRPr="00DC23CE">
        <w:rPr>
          <w:u w:val="single"/>
        </w:rPr>
        <w:t>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8"/>
      <w:r w:rsidRPr="004D35BF">
        <w:t xml:space="preserve">Van Heerde, H. J., et al. (2008). "Decomposing the Demand for a Pioneering Innovation." </w:t>
      </w:r>
      <w:r w:rsidRPr="004D35BF">
        <w:rPr>
          <w:u w:val="single"/>
        </w:rPr>
        <w:t xml:space="preserve">Working </w:t>
      </w:r>
      <w:r w:rsidRPr="00DC23CE">
        <w:rPr>
          <w:u w:val="single"/>
        </w:rPr>
        <w:t>paer</w:t>
      </w:r>
      <w:r w:rsidRPr="004D35BF">
        <w:rPr>
          <w:u w:val="single"/>
        </w:rPr>
        <w:t>,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9"/>
      <w:r w:rsidRPr="004D35BF">
        <w:t xml:space="preserve">Verhoef, P. C., et al. (2007). "Multichannel customer management: Understanding the research-shopper phenomenon."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lastRenderedPageBreak/>
        <w:tab/>
      </w:r>
      <w:bookmarkEnd w:id="72"/>
    </w:p>
    <w:p w:rsidR="003F2831" w:rsidRPr="004D35BF" w:rsidRDefault="003F2831" w:rsidP="003F2831">
      <w:pPr>
        <w:pStyle w:val="EndNoteBibliography"/>
      </w:pPr>
      <w:bookmarkStart w:id="73"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3"/>
    </w:p>
    <w:p w:rsidR="003F2831" w:rsidRPr="004D35BF" w:rsidRDefault="003F2831" w:rsidP="003F2831">
      <w:pPr>
        <w:pStyle w:val="EndNoteBibliography"/>
      </w:pPr>
      <w:bookmarkStart w:id="74"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7"/>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DBA" w:rsidRDefault="00630DBA" w:rsidP="00E446EB">
      <w:pPr>
        <w:spacing w:after="0" w:line="240" w:lineRule="auto"/>
      </w:pPr>
      <w:r>
        <w:separator/>
      </w:r>
    </w:p>
  </w:endnote>
  <w:endnote w:type="continuationSeparator" w:id="0">
    <w:p w:rsidR="00630DBA" w:rsidRDefault="00630DBA"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EB4CE8" w:rsidRDefault="00EB4CE8">
        <w:pPr>
          <w:pStyle w:val="Footer"/>
          <w:jc w:val="center"/>
        </w:pPr>
        <w:r>
          <w:fldChar w:fldCharType="begin"/>
        </w:r>
        <w:r>
          <w:instrText xml:space="preserve"> PAGE   \* MERGEFORMAT </w:instrText>
        </w:r>
        <w:r>
          <w:fldChar w:fldCharType="separate"/>
        </w:r>
        <w:r w:rsidR="00806CD0">
          <w:rPr>
            <w:noProof/>
          </w:rPr>
          <w:t>6</w:t>
        </w:r>
        <w:r>
          <w:rPr>
            <w:noProof/>
          </w:rPr>
          <w:fldChar w:fldCharType="end"/>
        </w:r>
      </w:p>
    </w:sdtContent>
  </w:sdt>
  <w:p w:rsidR="00EB4CE8" w:rsidRDefault="00EB4C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DBA" w:rsidRDefault="00630DBA" w:rsidP="00E446EB">
      <w:pPr>
        <w:spacing w:after="0" w:line="240" w:lineRule="auto"/>
      </w:pPr>
      <w:r>
        <w:separator/>
      </w:r>
    </w:p>
  </w:footnote>
  <w:footnote w:type="continuationSeparator" w:id="0">
    <w:p w:rsidR="00630DBA" w:rsidRDefault="00630DBA" w:rsidP="00E446EB">
      <w:pPr>
        <w:spacing w:after="0" w:line="240" w:lineRule="auto"/>
      </w:pPr>
      <w:r>
        <w:continuationSeparator/>
      </w:r>
    </w:p>
  </w:footnote>
  <w:footnote w:id="1">
    <w:p w:rsidR="00EB4CE8" w:rsidRPr="007A3AE8" w:rsidRDefault="00EB4CE8">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EB4CE8" w:rsidRPr="00B45C1C" w:rsidRDefault="00EB4CE8">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rsidR="00EB4CE8" w:rsidRDefault="00EB4CE8">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EB4CE8" w:rsidRDefault="00EB4CE8">
      <w:pPr>
        <w:pStyle w:val="FootnoteText"/>
      </w:pPr>
      <w:r>
        <w:rPr>
          <w:rStyle w:val="FootnoteReference"/>
        </w:rPr>
        <w:footnoteRef/>
      </w:r>
      <w:r>
        <w:t xml:space="preserve"> The values from week 1 to week 50 are predicted by the model estimated with the data from week 51 to week 75.</w:t>
      </w:r>
    </w:p>
  </w:footnote>
  <w:footnote w:id="5">
    <w:p w:rsidR="00EB4CE8" w:rsidRDefault="00EB4CE8">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EB4CE8" w:rsidRDefault="00EB4CE8"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EB4CE8" w:rsidRDefault="00EB4CE8"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EB4CE8" w:rsidRPr="001920DC" w:rsidRDefault="00EB4CE8"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EB4CE8" w:rsidRDefault="00EB4CE8">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0">
    <w:p w:rsidR="00EB4CE8" w:rsidRDefault="00EB4CE8">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EB4CE8" w:rsidRDefault="00EB4CE8">
      <w:pPr>
        <w:pStyle w:val="FootnoteText"/>
      </w:pPr>
      <w:r>
        <w:rPr>
          <w:rStyle w:val="FootnoteReference"/>
        </w:rPr>
        <w:footnoteRef/>
      </w:r>
      <w:r>
        <w:t xml:space="preserve"> These SKU’s have very low baseline sales and very high sales spikes for most of the promotional events except the most recent promotions in the estimation period and the forecast period (they do not generate big sales spikes possibly due to other unobserved factors). As a result, the ADL family models substantially over-predict the product sales in the forecast period while the Base-lift method may generate good forecasts (because it estimates the promotional effect based on the effect by the previous promotion). These results will dominate the overall MAPE ranking because the denominator in the MAPE is very small (due to low baseline sales). </w:t>
      </w:r>
    </w:p>
  </w:footnote>
  <w:footnote w:id="12">
    <w:p w:rsidR="00EB4CE8" w:rsidRDefault="00EB4CE8">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CE8" w:rsidRDefault="00EB4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QUAGynIw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708"/>
    <w:rsid w:val="00003E32"/>
    <w:rsid w:val="00003F61"/>
    <w:rsid w:val="000040DE"/>
    <w:rsid w:val="00004879"/>
    <w:rsid w:val="000048EC"/>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1CC2"/>
    <w:rsid w:val="000436CD"/>
    <w:rsid w:val="00044AD7"/>
    <w:rsid w:val="00044FF2"/>
    <w:rsid w:val="00045ECF"/>
    <w:rsid w:val="000466A3"/>
    <w:rsid w:val="00047030"/>
    <w:rsid w:val="00047335"/>
    <w:rsid w:val="00050E95"/>
    <w:rsid w:val="000525DC"/>
    <w:rsid w:val="0005300D"/>
    <w:rsid w:val="000533A2"/>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92C"/>
    <w:rsid w:val="00075F7F"/>
    <w:rsid w:val="00075FA6"/>
    <w:rsid w:val="00076033"/>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A77"/>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4651"/>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1066"/>
    <w:rsid w:val="00103212"/>
    <w:rsid w:val="00103259"/>
    <w:rsid w:val="00103339"/>
    <w:rsid w:val="00103EA2"/>
    <w:rsid w:val="00103F10"/>
    <w:rsid w:val="00105653"/>
    <w:rsid w:val="001063FD"/>
    <w:rsid w:val="0010771E"/>
    <w:rsid w:val="00111137"/>
    <w:rsid w:val="00111EA3"/>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257"/>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1DF7"/>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08A"/>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6F2E"/>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45087"/>
    <w:rsid w:val="00251C23"/>
    <w:rsid w:val="002523CB"/>
    <w:rsid w:val="00252E60"/>
    <w:rsid w:val="00253698"/>
    <w:rsid w:val="002540AD"/>
    <w:rsid w:val="002552DA"/>
    <w:rsid w:val="002560A1"/>
    <w:rsid w:val="002574A3"/>
    <w:rsid w:val="00257B6E"/>
    <w:rsid w:val="00257B79"/>
    <w:rsid w:val="00257D8D"/>
    <w:rsid w:val="00260CB7"/>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0AAF"/>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40D1"/>
    <w:rsid w:val="002D6E89"/>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18A"/>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5520"/>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406"/>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8F1"/>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104"/>
    <w:rsid w:val="004A3243"/>
    <w:rsid w:val="004A3653"/>
    <w:rsid w:val="004A36A4"/>
    <w:rsid w:val="004A39D6"/>
    <w:rsid w:val="004A4354"/>
    <w:rsid w:val="004A4C08"/>
    <w:rsid w:val="004A59A3"/>
    <w:rsid w:val="004A5E3E"/>
    <w:rsid w:val="004A6D5E"/>
    <w:rsid w:val="004A70E4"/>
    <w:rsid w:val="004A7BC5"/>
    <w:rsid w:val="004A7D67"/>
    <w:rsid w:val="004B08AF"/>
    <w:rsid w:val="004B0BD9"/>
    <w:rsid w:val="004B0FF4"/>
    <w:rsid w:val="004B1BCE"/>
    <w:rsid w:val="004B1CEB"/>
    <w:rsid w:val="004B26B2"/>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1ECA"/>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813"/>
    <w:rsid w:val="005A3DE5"/>
    <w:rsid w:val="005A3EB1"/>
    <w:rsid w:val="005A466C"/>
    <w:rsid w:val="005A49C0"/>
    <w:rsid w:val="005A4B23"/>
    <w:rsid w:val="005A4ED2"/>
    <w:rsid w:val="005A5973"/>
    <w:rsid w:val="005A5A2D"/>
    <w:rsid w:val="005A6041"/>
    <w:rsid w:val="005A61B5"/>
    <w:rsid w:val="005A66D6"/>
    <w:rsid w:val="005A6A6A"/>
    <w:rsid w:val="005A6D9D"/>
    <w:rsid w:val="005A7898"/>
    <w:rsid w:val="005A7F37"/>
    <w:rsid w:val="005A7F78"/>
    <w:rsid w:val="005B03C3"/>
    <w:rsid w:val="005B1E00"/>
    <w:rsid w:val="005B2A02"/>
    <w:rsid w:val="005B2B5E"/>
    <w:rsid w:val="005B4B7D"/>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1B23"/>
    <w:rsid w:val="005E1D9C"/>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3D0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0A9"/>
    <w:rsid w:val="00660221"/>
    <w:rsid w:val="00660675"/>
    <w:rsid w:val="00660771"/>
    <w:rsid w:val="00660809"/>
    <w:rsid w:val="00660C2F"/>
    <w:rsid w:val="00661270"/>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2C46"/>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4C49"/>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05E6"/>
    <w:rsid w:val="0070085A"/>
    <w:rsid w:val="00700D56"/>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5DF"/>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65BA"/>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C96"/>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5793"/>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CD0"/>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4D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0DBD"/>
    <w:rsid w:val="008C1146"/>
    <w:rsid w:val="008C296C"/>
    <w:rsid w:val="008C3C35"/>
    <w:rsid w:val="008C4161"/>
    <w:rsid w:val="008C63EB"/>
    <w:rsid w:val="008C6A2F"/>
    <w:rsid w:val="008D0A66"/>
    <w:rsid w:val="008D1704"/>
    <w:rsid w:val="008D18FE"/>
    <w:rsid w:val="008D203A"/>
    <w:rsid w:val="008D2050"/>
    <w:rsid w:val="008D2894"/>
    <w:rsid w:val="008D309C"/>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4E99"/>
    <w:rsid w:val="008E59A6"/>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58AA"/>
    <w:rsid w:val="0091707F"/>
    <w:rsid w:val="00917A70"/>
    <w:rsid w:val="009204A7"/>
    <w:rsid w:val="00920A7C"/>
    <w:rsid w:val="00920B24"/>
    <w:rsid w:val="0092107C"/>
    <w:rsid w:val="00922655"/>
    <w:rsid w:val="009228BB"/>
    <w:rsid w:val="00922B59"/>
    <w:rsid w:val="00922EA9"/>
    <w:rsid w:val="00924AA4"/>
    <w:rsid w:val="0092578B"/>
    <w:rsid w:val="00925BF2"/>
    <w:rsid w:val="0092647A"/>
    <w:rsid w:val="00933943"/>
    <w:rsid w:val="00933A76"/>
    <w:rsid w:val="009340F4"/>
    <w:rsid w:val="009346D3"/>
    <w:rsid w:val="00934D08"/>
    <w:rsid w:val="00935B0D"/>
    <w:rsid w:val="00935D37"/>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4D03"/>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531"/>
    <w:rsid w:val="00A17974"/>
    <w:rsid w:val="00A17A3A"/>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5D74"/>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17B5C"/>
    <w:rsid w:val="00B205F9"/>
    <w:rsid w:val="00B2135F"/>
    <w:rsid w:val="00B22A92"/>
    <w:rsid w:val="00B232D6"/>
    <w:rsid w:val="00B23F1B"/>
    <w:rsid w:val="00B2477E"/>
    <w:rsid w:val="00B24AE7"/>
    <w:rsid w:val="00B24B59"/>
    <w:rsid w:val="00B24C25"/>
    <w:rsid w:val="00B24CF3"/>
    <w:rsid w:val="00B24D7C"/>
    <w:rsid w:val="00B2671A"/>
    <w:rsid w:val="00B27CD4"/>
    <w:rsid w:val="00B30BF6"/>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8C5"/>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4177"/>
    <w:rsid w:val="00B85DAF"/>
    <w:rsid w:val="00B85F9A"/>
    <w:rsid w:val="00B87567"/>
    <w:rsid w:val="00B900E5"/>
    <w:rsid w:val="00B90335"/>
    <w:rsid w:val="00B9087F"/>
    <w:rsid w:val="00B92AD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0C9"/>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1E9D"/>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1F55"/>
    <w:rsid w:val="00C12684"/>
    <w:rsid w:val="00C13173"/>
    <w:rsid w:val="00C13665"/>
    <w:rsid w:val="00C139F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3152"/>
    <w:rsid w:val="00CA493F"/>
    <w:rsid w:val="00CA5468"/>
    <w:rsid w:val="00CA5919"/>
    <w:rsid w:val="00CA618D"/>
    <w:rsid w:val="00CA6B58"/>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084"/>
    <w:rsid w:val="00D1126B"/>
    <w:rsid w:val="00D112A9"/>
    <w:rsid w:val="00D1191D"/>
    <w:rsid w:val="00D11C82"/>
    <w:rsid w:val="00D12023"/>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4DEB"/>
    <w:rsid w:val="00D255DB"/>
    <w:rsid w:val="00D2607F"/>
    <w:rsid w:val="00D26174"/>
    <w:rsid w:val="00D26714"/>
    <w:rsid w:val="00D26991"/>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5D4D"/>
    <w:rsid w:val="00D96FCF"/>
    <w:rsid w:val="00D97199"/>
    <w:rsid w:val="00DA1866"/>
    <w:rsid w:val="00DA21EA"/>
    <w:rsid w:val="00DA265B"/>
    <w:rsid w:val="00DA2691"/>
    <w:rsid w:val="00DA2731"/>
    <w:rsid w:val="00DA28C8"/>
    <w:rsid w:val="00DA420E"/>
    <w:rsid w:val="00DA49D7"/>
    <w:rsid w:val="00DA589D"/>
    <w:rsid w:val="00DA5B4D"/>
    <w:rsid w:val="00DA6F9D"/>
    <w:rsid w:val="00DA7CD3"/>
    <w:rsid w:val="00DB03E7"/>
    <w:rsid w:val="00DB083E"/>
    <w:rsid w:val="00DB2076"/>
    <w:rsid w:val="00DB2D30"/>
    <w:rsid w:val="00DB31C8"/>
    <w:rsid w:val="00DB325B"/>
    <w:rsid w:val="00DB43B5"/>
    <w:rsid w:val="00DB46C7"/>
    <w:rsid w:val="00DB4EEC"/>
    <w:rsid w:val="00DB7225"/>
    <w:rsid w:val="00DB76A5"/>
    <w:rsid w:val="00DC0ED3"/>
    <w:rsid w:val="00DC1356"/>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07FD"/>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CE8"/>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74F"/>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1F3E"/>
    <w:rsid w:val="00F82540"/>
    <w:rsid w:val="00F825C2"/>
    <w:rsid w:val="00F833AE"/>
    <w:rsid w:val="00F842F8"/>
    <w:rsid w:val="00F84A7C"/>
    <w:rsid w:val="00F85B1A"/>
    <w:rsid w:val="00F8733A"/>
    <w:rsid w:val="00F87638"/>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AD2"/>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415D"/>
    <w:rsid w:val="00FE4740"/>
    <w:rsid w:val="00FE566E"/>
    <w:rsid w:val="00FE660E"/>
    <w:rsid w:val="00FE6726"/>
    <w:rsid w:val="00FE68CC"/>
    <w:rsid w:val="00FE76F4"/>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0A00"/>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34159-7497-4984-B0DF-7C0A82BC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19300</Words>
  <Characters>110012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cp:revision>
  <dcterms:created xsi:type="dcterms:W3CDTF">2017-07-16T20:01:00Z</dcterms:created>
  <dcterms:modified xsi:type="dcterms:W3CDTF">2017-07-16T20:04:00Z</dcterms:modified>
</cp:coreProperties>
</file>