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Table of Contents</w:t>
          </w:r>
        </w:p>
        <w:p>
          <w:pPr>
            <w:pStyle w:val="TOC1"/>
            <w:tabs>
              <w:tab w:val="clear" w:pos="9360"/>
              <w:tab w:val="right" w:pos="9359" w:leader="dot"/>
            </w:tabs>
            <w:rPr/>
          </w:pPr>
          <w:r>
            <w:fldChar w:fldCharType="begin"/>
          </w:r>
          <w:r>
            <w:rPr>
              <w:rStyle w:val="IndexLink"/>
              <w:webHidden/>
            </w:rPr>
            <w:instrText xml:space="preserve"> TOC \z \o "1-2" \u \h</w:instrText>
          </w:r>
          <w:r>
            <w:rPr>
              <w:rStyle w:val="IndexLink"/>
              <w:webHidden/>
            </w:rPr>
            <w:fldChar w:fldCharType="separate"/>
          </w:r>
          <w:hyperlink w:anchor="__RefHeading___Toc7787_3476700982" w:tooltip="AlphaEarth Toolbox — Documentation">
            <w:r>
              <w:rPr>
                <w:rStyle w:val="IndexLink"/>
                <w:webHidden/>
              </w:rPr>
              <w:t>AlphaEarth Toolbox — Documentation</w:t>
              <w:tab/>
              <w:t>3</w:t>
            </w:r>
          </w:hyperlink>
        </w:p>
        <w:p>
          <w:pPr>
            <w:pStyle w:val="TOC2"/>
            <w:tabs>
              <w:tab w:val="clear" w:pos="9077"/>
              <w:tab w:val="right" w:pos="9359" w:leader="dot"/>
            </w:tabs>
            <w:rPr/>
          </w:pPr>
          <w:hyperlink w:anchor="__RefHeading___Toc7789_3476700982" w:tooltip="Documents">
            <w:r>
              <w:rPr>
                <w:rStyle w:val="IndexLink"/>
                <w:webHidden/>
              </w:rPr>
              <w:t>Documents</w:t>
              <w:tab/>
              <w:t>3</w:t>
            </w:r>
          </w:hyperlink>
        </w:p>
        <w:p>
          <w:pPr>
            <w:pStyle w:val="TOC2"/>
            <w:tabs>
              <w:tab w:val="clear" w:pos="9077"/>
              <w:tab w:val="right" w:pos="9359" w:leader="dot"/>
            </w:tabs>
            <w:rPr/>
          </w:pPr>
          <w:hyperlink w:anchor="__RefHeading___Toc7791_3476700982" w:tooltip="At a glance">
            <w:r>
              <w:rPr>
                <w:rStyle w:val="IndexLink"/>
                <w:webHidden/>
              </w:rPr>
              <w:t>At a glance</w:t>
              <w:tab/>
              <w:t>4</w:t>
            </w:r>
          </w:hyperlink>
        </w:p>
        <w:p>
          <w:pPr>
            <w:pStyle w:val="TOC2"/>
            <w:tabs>
              <w:tab w:val="clear" w:pos="9077"/>
              <w:tab w:val="right" w:pos="9359" w:leader="dot"/>
            </w:tabs>
            <w:rPr/>
          </w:pPr>
          <w:hyperlink w:anchor="__RefHeading___Toc7793_3476700982" w:tooltip="Licensing &amp; attribution">
            <w:r>
              <w:rPr>
                <w:rStyle w:val="IndexLink"/>
                <w:webHidden/>
              </w:rPr>
              <w:t>Licensing &amp; attribution</w:t>
              <w:tab/>
              <w:t>5</w:t>
            </w:r>
          </w:hyperlink>
        </w:p>
        <w:p>
          <w:pPr>
            <w:pStyle w:val="TOC1"/>
            <w:tabs>
              <w:tab w:val="clear" w:pos="9360"/>
              <w:tab w:val="right" w:pos="9359" w:leader="dot"/>
            </w:tabs>
            <w:rPr/>
          </w:pPr>
          <w:hyperlink w:anchor="__RefHeading___Toc7795_3476700982" w:tooltip="Architecture">
            <w:r>
              <w:rPr>
                <w:rStyle w:val="IndexLink"/>
                <w:webHidden/>
              </w:rPr>
              <w:t>Architecture</w:t>
              <w:tab/>
              <w:t>6</w:t>
            </w:r>
          </w:hyperlink>
        </w:p>
        <w:p>
          <w:pPr>
            <w:pStyle w:val="TOC2"/>
            <w:tabs>
              <w:tab w:val="clear" w:pos="9077"/>
              <w:tab w:val="right" w:pos="9359" w:leader="dot"/>
            </w:tabs>
            <w:rPr/>
          </w:pPr>
          <w:hyperlink w:anchor="__RefHeading___Toc7797_3476700982" w:tooltip="1. Design goals">
            <w:r>
              <w:rPr>
                <w:rStyle w:val="IndexLink"/>
                <w:webHidden/>
              </w:rPr>
              <w:t>1. Design goals</w:t>
              <w:tab/>
              <w:t>6</w:t>
            </w:r>
          </w:hyperlink>
        </w:p>
        <w:p>
          <w:pPr>
            <w:pStyle w:val="TOC2"/>
            <w:tabs>
              <w:tab w:val="clear" w:pos="9077"/>
              <w:tab w:val="right" w:pos="9359" w:leader="dot"/>
            </w:tabs>
            <w:rPr/>
          </w:pPr>
          <w:hyperlink w:anchor="__RefHeading___Toc7799_3476700982" w:tooltip="2. Package layout">
            <w:r>
              <w:rPr>
                <w:rStyle w:val="IndexLink"/>
                <w:webHidden/>
              </w:rPr>
              <w:t>2. Package layout</w:t>
              <w:tab/>
              <w:t>6</w:t>
            </w:r>
          </w:hyperlink>
        </w:p>
        <w:p>
          <w:pPr>
            <w:pStyle w:val="TOC2"/>
            <w:tabs>
              <w:tab w:val="clear" w:pos="9077"/>
              <w:tab w:val="right" w:pos="9359" w:leader="dot"/>
            </w:tabs>
            <w:rPr/>
          </w:pPr>
          <w:hyperlink w:anchor="__RefHeading___Toc7801_3476700982" w:tooltip="3. The import-light boundary">
            <w:r>
              <w:rPr>
                <w:rStyle w:val="IndexLink"/>
                <w:webHidden/>
              </w:rPr>
              <w:t>3. The import-light boundary</w:t>
              <w:tab/>
              <w:t>8</w:t>
            </w:r>
          </w:hyperlink>
        </w:p>
        <w:p>
          <w:pPr>
            <w:pStyle w:val="TOC2"/>
            <w:tabs>
              <w:tab w:val="clear" w:pos="9077"/>
              <w:tab w:val="right" w:pos="9359" w:leader="dot"/>
            </w:tabs>
            <w:rPr/>
          </w:pPr>
          <w:hyperlink w:anchor="__RefHeading___Toc7803_3476700982" w:tooltip="4. How QGIS loads the plugin">
            <w:r>
              <w:rPr>
                <w:rStyle w:val="IndexLink"/>
                <w:webHidden/>
              </w:rPr>
              <w:t>4. How QGIS loads the plugin</w:t>
              <w:tab/>
              <w:t>9</w:t>
            </w:r>
          </w:hyperlink>
        </w:p>
        <w:p>
          <w:pPr>
            <w:pStyle w:val="TOC2"/>
            <w:tabs>
              <w:tab w:val="clear" w:pos="9077"/>
              <w:tab w:val="right" w:pos="9359" w:leader="dot"/>
            </w:tabs>
            <w:rPr/>
          </w:pPr>
          <w:hyperlink w:anchor="__RefHeading___Toc7805_3476700982" w:tooltip="5. Anatomy of an algorithm">
            <w:r>
              <w:rPr>
                <w:rStyle w:val="IndexLink"/>
                <w:webHidden/>
              </w:rPr>
              <w:t>5. Anatomy of an algorithm</w:t>
              <w:tab/>
              <w:t>9</w:t>
            </w:r>
          </w:hyperlink>
        </w:p>
        <w:p>
          <w:pPr>
            <w:pStyle w:val="TOC2"/>
            <w:tabs>
              <w:tab w:val="clear" w:pos="9077"/>
              <w:tab w:val="right" w:pos="9359" w:leader="dot"/>
            </w:tabs>
            <w:rPr/>
          </w:pPr>
          <w:hyperlink w:anchor="__RefHeading___Toc7807_3476700982" w:tooltip="6. Reading pixels: the GDAL layer">
            <w:r>
              <w:rPr>
                <w:rStyle w:val="IndexLink"/>
                <w:webHidden/>
              </w:rPr>
              <w:t>6. Reading pixels: the GDAL layer</w:t>
              <w:tab/>
              <w:t>13</w:t>
            </w:r>
          </w:hyperlink>
        </w:p>
        <w:p>
          <w:pPr>
            <w:pStyle w:val="TOC2"/>
            <w:tabs>
              <w:tab w:val="clear" w:pos="9077"/>
              <w:tab w:val="right" w:pos="9359" w:leader="dot"/>
            </w:tabs>
            <w:rPr/>
          </w:pPr>
          <w:hyperlink w:anchor="__RefHeading___Toc7809_3476700982" w:tooltip="7. Getting a raster layer into the core: source resolution">
            <w:r>
              <w:rPr>
                <w:rStyle w:val="IndexLink"/>
                <w:webHidden/>
              </w:rPr>
              <w:t>7. Getting a raster layer into the core: source resolution</w:t>
              <w:tab/>
              <w:t>14</w:t>
            </w:r>
          </w:hyperlink>
        </w:p>
        <w:p>
          <w:pPr>
            <w:pStyle w:val="TOC2"/>
            <w:tabs>
              <w:tab w:val="clear" w:pos="9077"/>
              <w:tab w:val="right" w:pos="9359" w:leader="dot"/>
            </w:tabs>
            <w:rPr/>
          </w:pPr>
          <w:hyperlink w:anchor="__RefHeading___Toc7811_3476700982" w:tooltip="8. Progress, messages and cancellation">
            <w:r>
              <w:rPr>
                <w:rStyle w:val="IndexLink"/>
                <w:webHidden/>
              </w:rPr>
              <w:t>8. Progress, messages and cancellation</w:t>
              <w:tab/>
              <w:t>14</w:t>
            </w:r>
          </w:hyperlink>
        </w:p>
        <w:p>
          <w:pPr>
            <w:pStyle w:val="TOC2"/>
            <w:tabs>
              <w:tab w:val="clear" w:pos="9077"/>
              <w:tab w:val="right" w:pos="9359" w:leader="dot"/>
            </w:tabs>
            <w:rPr/>
          </w:pPr>
          <w:hyperlink w:anchor="__RefHeading___Toc7813_3476700982" w:tooltip="9. The GUI: the tabbed wizard">
            <w:r>
              <w:rPr>
                <w:rStyle w:val="IndexLink"/>
                <w:webHidden/>
              </w:rPr>
              <w:t>9. The GUI: the tabbed wizard</w:t>
              <w:tab/>
              <w:t>15</w:t>
            </w:r>
          </w:hyperlink>
        </w:p>
        <w:p>
          <w:pPr>
            <w:pStyle w:val="TOC2"/>
            <w:tabs>
              <w:tab w:val="clear" w:pos="9077"/>
              <w:tab w:val="right" w:pos="9359" w:leader="dot"/>
            </w:tabs>
            <w:rPr/>
          </w:pPr>
          <w:hyperlink w:anchor="__RefHeading___Toc7815_3476700982" w:tooltip="10. Testing and CI">
            <w:r>
              <w:rPr>
                <w:rStyle w:val="IndexLink"/>
                <w:webHidden/>
              </w:rPr>
              <w:t>10. Testing and CI</w:t>
              <w:tab/>
              <w:t>16</w:t>
            </w:r>
          </w:hyperlink>
        </w:p>
        <w:p>
          <w:pPr>
            <w:pStyle w:val="TOC2"/>
            <w:tabs>
              <w:tab w:val="clear" w:pos="9077"/>
              <w:tab w:val="right" w:pos="9359" w:leader="dot"/>
            </w:tabs>
            <w:rPr/>
          </w:pPr>
          <w:hyperlink w:anchor="__RefHeading___Toc7817_3476700982" w:tooltip="11. Packaging">
            <w:r>
              <w:rPr>
                <w:rStyle w:val="IndexLink"/>
                <w:webHidden/>
              </w:rPr>
              <w:t>11. Packaging</w:t>
              <w:tab/>
              <w:t>17</w:t>
            </w:r>
          </w:hyperlink>
        </w:p>
        <w:p>
          <w:pPr>
            <w:pStyle w:val="TOC2"/>
            <w:tabs>
              <w:tab w:val="clear" w:pos="9077"/>
              <w:tab w:val="right" w:pos="9359" w:leader="dot"/>
            </w:tabs>
            <w:rPr/>
          </w:pPr>
          <w:hyperlink w:anchor="__RefHeading___Toc7819_3476700982" w:tooltip="12. Extending the toolbox">
            <w:r>
              <w:rPr>
                <w:rStyle w:val="IndexLink"/>
                <w:webHidden/>
              </w:rPr>
              <w:t>12. Extending the toolbox</w:t>
              <w:tab/>
              <w:t>17</w:t>
            </w:r>
          </w:hyperlink>
        </w:p>
        <w:p>
          <w:pPr>
            <w:pStyle w:val="TOC1"/>
            <w:tabs>
              <w:tab w:val="clear" w:pos="9360"/>
              <w:tab w:val="right" w:pos="9359" w:leader="dot"/>
            </w:tabs>
            <w:rPr/>
          </w:pPr>
          <w:hyperlink w:anchor="__RefHeading___Toc7821_3476700982" w:tooltip="Methodology">
            <w:r>
              <w:rPr>
                <w:rStyle w:val="IndexLink"/>
                <w:webHidden/>
              </w:rPr>
              <w:t>Methodology</w:t>
              <w:tab/>
              <w:t>18</w:t>
            </w:r>
          </w:hyperlink>
        </w:p>
        <w:p>
          <w:pPr>
            <w:pStyle w:val="TOC2"/>
            <w:tabs>
              <w:tab w:val="clear" w:pos="9077"/>
              <w:tab w:val="right" w:pos="9359" w:leader="dot"/>
            </w:tabs>
            <w:rPr/>
          </w:pPr>
          <w:hyperlink w:anchor="__RefHeading___Toc7823_3476700982" w:tooltip="1. The dataset: AlphaEarth Satellite Embedding V1">
            <w:r>
              <w:rPr>
                <w:rStyle w:val="IndexLink"/>
                <w:webHidden/>
              </w:rPr>
              <w:t>1. The dataset: AlphaEarth Satellite Embedding V1</w:t>
              <w:tab/>
              <w:t>18</w:t>
            </w:r>
          </w:hyperlink>
        </w:p>
        <w:p>
          <w:pPr>
            <w:pStyle w:val="TOC2"/>
            <w:tabs>
              <w:tab w:val="clear" w:pos="9077"/>
              <w:tab w:val="right" w:pos="9359" w:leader="dot"/>
            </w:tabs>
            <w:rPr/>
          </w:pPr>
          <w:hyperlink w:anchor="__RefHeading___Toc7825_3476700982" w:tooltip="2. The storage layout">
            <w:r>
              <w:rPr>
                <w:rStyle w:val="IndexLink"/>
                <w:webHidden/>
              </w:rPr>
              <w:t>2. The storage layout</w:t>
              <w:tab/>
              <w:t>18</w:t>
            </w:r>
          </w:hyperlink>
        </w:p>
        <w:p>
          <w:pPr>
            <w:pStyle w:val="TOC2"/>
            <w:tabs>
              <w:tab w:val="clear" w:pos="9077"/>
              <w:tab w:val="right" w:pos="9359" w:leader="dot"/>
            </w:tabs>
            <w:rPr/>
          </w:pPr>
          <w:hyperlink w:anchor="__RefHeading___Toc7827_3476700982" w:tooltip="3. Discovering the tiles for an area of interest">
            <w:r>
              <w:rPr>
                <w:rStyle w:val="IndexLink"/>
                <w:webHidden/>
              </w:rPr>
              <w:t>3. Discovering the tiles for an area of interest</w:t>
              <w:tab/>
              <w:t>19</w:t>
            </w:r>
          </w:hyperlink>
        </w:p>
        <w:p>
          <w:pPr>
            <w:pStyle w:val="TOC2"/>
            <w:tabs>
              <w:tab w:val="clear" w:pos="9077"/>
              <w:tab w:val="right" w:pos="9359" w:leader="dot"/>
            </w:tabs>
            <w:rPr/>
          </w:pPr>
          <w:hyperlink w:anchor="__RefHeading___Toc7829_3476700982" w:tooltip="4. Mosaicking across UTM zones">
            <w:r>
              <w:rPr>
                <w:rStyle w:val="IndexLink"/>
                <w:webHidden/>
              </w:rPr>
              <w:t>4. Mosaicking across UTM zones</w:t>
              <w:tab/>
              <w:t>21</w:t>
            </w:r>
          </w:hyperlink>
        </w:p>
        <w:p>
          <w:pPr>
            <w:pStyle w:val="TOC2"/>
            <w:tabs>
              <w:tab w:val="clear" w:pos="9077"/>
              <w:tab w:val="right" w:pos="9359" w:leader="dot"/>
            </w:tabs>
            <w:rPr/>
          </w:pPr>
          <w:hyperlink w:anchor="__RefHeading___Toc7831_3476700982" w:tooltip="5. Sizing the output grid">
            <w:r>
              <w:rPr>
                <w:rStyle w:val="IndexLink"/>
                <w:webHidden/>
              </w:rPr>
              <w:t>5. Sizing the output grid</w:t>
              <w:tab/>
              <w:t>21</w:t>
            </w:r>
          </w:hyperlink>
        </w:p>
        <w:p>
          <w:pPr>
            <w:pStyle w:val="TOC2"/>
            <w:tabs>
              <w:tab w:val="clear" w:pos="9077"/>
              <w:tab w:val="right" w:pos="9359" w:leader="dot"/>
            </w:tabs>
            <w:rPr/>
          </w:pPr>
          <w:hyperlink w:anchor="__RefHeading___Toc7833_3476700982" w:tooltip="6. Dequantising to unit vectors">
            <w:r>
              <w:rPr>
                <w:rStyle w:val="IndexLink"/>
                <w:webHidden/>
              </w:rPr>
              <w:t>6. Dequantising to unit vectors</w:t>
              <w:tab/>
              <w:t>22</w:t>
            </w:r>
          </w:hyperlink>
        </w:p>
        <w:p>
          <w:pPr>
            <w:pStyle w:val="TOC2"/>
            <w:tabs>
              <w:tab w:val="clear" w:pos="9077"/>
              <w:tab w:val="right" w:pos="9359" w:leader="dot"/>
            </w:tabs>
            <w:rPr/>
          </w:pPr>
          <w:hyperlink w:anchor="__RefHeading___Toc7835_3476700982" w:tooltip="7. Why nearest-neighbour resampling">
            <w:r>
              <w:rPr>
                <w:rStyle w:val="IndexLink"/>
                <w:webHidden/>
              </w:rPr>
              <w:t>7. Why nearest-neighbour resampling</w:t>
              <w:tab/>
              <w:t>22</w:t>
            </w:r>
          </w:hyperlink>
        </w:p>
        <w:p>
          <w:pPr>
            <w:pStyle w:val="TOC2"/>
            <w:tabs>
              <w:tab w:val="clear" w:pos="9077"/>
              <w:tab w:val="right" w:pos="9359" w:leader="dot"/>
            </w:tabs>
            <w:rPr/>
          </w:pPr>
          <w:hyperlink w:anchor="__RefHeading___Toc7837_3476700982" w:tooltip="8. Embedding → RGB: the maths">
            <w:r>
              <w:rPr>
                <w:rStyle w:val="IndexLink"/>
                <w:webHidden/>
              </w:rPr>
              <w:t>8. Embedding → RGB: the maths</w:t>
              <w:tab/>
              <w:t>22</w:t>
            </w:r>
          </w:hyperlink>
        </w:p>
        <w:p>
          <w:pPr>
            <w:pStyle w:val="TOC2"/>
            <w:tabs>
              <w:tab w:val="clear" w:pos="9077"/>
              <w:tab w:val="right" w:pos="9359" w:leader="dot"/>
            </w:tabs>
            <w:rPr/>
          </w:pPr>
          <w:hyperlink w:anchor="__RefHeading___Toc7839_3476700982" w:tooltip="9. Similarity search: the maths">
            <w:r>
              <w:rPr>
                <w:rStyle w:val="IndexLink"/>
                <w:webHidden/>
              </w:rPr>
              <w:t>9. Similarity search: the maths</w:t>
              <w:tab/>
              <w:t>23</w:t>
            </w:r>
          </w:hyperlink>
        </w:p>
        <w:p>
          <w:pPr>
            <w:pStyle w:val="TOC2"/>
            <w:tabs>
              <w:tab w:val="clear" w:pos="9077"/>
              <w:tab w:val="right" w:pos="9359" w:leader="dot"/>
            </w:tabs>
            <w:rPr/>
          </w:pPr>
          <w:hyperlink w:anchor="__RefHeading___Toc7841_3476700982" w:tooltip="10. Change / trajectory: the maths">
            <w:r>
              <w:rPr>
                <w:rStyle w:val="IndexLink"/>
                <w:webHidden/>
              </w:rPr>
              <w:t>10. Change / trajectory: the maths</w:t>
              <w:tab/>
              <w:t>23</w:t>
            </w:r>
          </w:hyperlink>
        </w:p>
        <w:p>
          <w:pPr>
            <w:pStyle w:val="TOC2"/>
            <w:tabs>
              <w:tab w:val="clear" w:pos="9077"/>
              <w:tab w:val="right" w:pos="9359" w:leader="dot"/>
            </w:tabs>
            <w:rPr/>
          </w:pPr>
          <w:hyperlink w:anchor="__RefHeading___Toc7843_3476700982" w:tooltip="11. Change report: the maths">
            <w:r>
              <w:rPr>
                <w:rStyle w:val="IndexLink"/>
                <w:webHidden/>
              </w:rPr>
              <w:t>11. Change report: the maths</w:t>
              <w:tab/>
              <w:t>24</w:t>
            </w:r>
          </w:hyperlink>
        </w:p>
        <w:p>
          <w:pPr>
            <w:pStyle w:val="TOC2"/>
            <w:tabs>
              <w:tab w:val="clear" w:pos="9077"/>
              <w:tab w:val="right" w:pos="9359" w:leader="dot"/>
            </w:tabs>
            <w:rPr/>
          </w:pPr>
          <w:hyperlink w:anchor="__RefHeading___Toc7845_3476700982" w:tooltip="12. Extract training samples: the maths">
            <w:r>
              <w:rPr>
                <w:rStyle w:val="IndexLink"/>
                <w:webHidden/>
              </w:rPr>
              <w:t>12. Extract training samples: the maths</w:t>
              <w:tab/>
              <w:t>25</w:t>
            </w:r>
          </w:hyperlink>
        </w:p>
        <w:p>
          <w:pPr>
            <w:pStyle w:val="TOC2"/>
            <w:tabs>
              <w:tab w:val="clear" w:pos="9077"/>
              <w:tab w:val="right" w:pos="9359" w:leader="dot"/>
            </w:tabs>
            <w:rPr/>
          </w:pPr>
          <w:hyperlink w:anchor="__RefHeading___Toc7847_3476700982" w:tooltip="13. The scikit-learn tier: classify, classify over years, cluster, regress">
            <w:r>
              <w:rPr>
                <w:rStyle w:val="IndexLink"/>
                <w:webHidden/>
              </w:rPr>
              <w:t>13. The scikit-learn tier: classify, classify over years, cluster, regress</w:t>
              <w:tab/>
              <w:t>26</w:t>
            </w:r>
          </w:hyperlink>
        </w:p>
        <w:p>
          <w:pPr>
            <w:pStyle w:val="TOC2"/>
            <w:tabs>
              <w:tab w:val="clear" w:pos="9077"/>
              <w:tab w:val="right" w:pos="9359" w:leader="dot"/>
            </w:tabs>
            <w:rPr/>
          </w:pPr>
          <w:hyperlink w:anchor="__RefHeading___Toc7849_3476700982" w:tooltip="14. Reproducibility and honesty about no-data">
            <w:r>
              <w:rPr>
                <w:rStyle w:val="IndexLink"/>
                <w:webHidden/>
              </w:rPr>
              <w:t>14. Reproducibility and honesty about no-data</w:t>
              <w:tab/>
              <w:t>28</w:t>
            </w:r>
          </w:hyperlink>
        </w:p>
        <w:p>
          <w:pPr>
            <w:pStyle w:val="TOC1"/>
            <w:tabs>
              <w:tab w:val="clear" w:pos="9360"/>
              <w:tab w:val="right" w:pos="9359" w:leader="dot"/>
            </w:tabs>
            <w:rPr/>
          </w:pPr>
          <w:hyperlink w:anchor="__RefHeading___Toc7851_3476700982" w:tooltip="User Guide">
            <w:r>
              <w:rPr>
                <w:rStyle w:val="IndexLink"/>
                <w:webHidden/>
              </w:rPr>
              <w:t>User Guide</w:t>
              <w:tab/>
              <w:t>29</w:t>
            </w:r>
          </w:hyperlink>
        </w:p>
        <w:p>
          <w:pPr>
            <w:pStyle w:val="TOC2"/>
            <w:tabs>
              <w:tab w:val="clear" w:pos="9077"/>
              <w:tab w:val="right" w:pos="9359" w:leader="dot"/>
            </w:tabs>
            <w:rPr/>
          </w:pPr>
          <w:hyperlink w:anchor="__RefHeading___Toc7853_3476700982" w:tooltip="1. What the toolbox does">
            <w:r>
              <w:rPr>
                <w:rStyle w:val="IndexLink"/>
                <w:webHidden/>
              </w:rPr>
              <w:t>1. What the toolbox does</w:t>
              <w:tab/>
              <w:t>29</w:t>
            </w:r>
          </w:hyperlink>
        </w:p>
        <w:p>
          <w:pPr>
            <w:pStyle w:val="TOC2"/>
            <w:tabs>
              <w:tab w:val="clear" w:pos="9077"/>
              <w:tab w:val="right" w:pos="9359" w:leader="dot"/>
            </w:tabs>
            <w:rPr/>
          </w:pPr>
          <w:hyperlink w:anchor="__RefHeading___Toc7855_3476700982" w:tooltip="2. Installing">
            <w:r>
              <w:rPr>
                <w:rStyle w:val="IndexLink"/>
                <w:webHidden/>
              </w:rPr>
              <w:t>2. Installing</w:t>
              <w:tab/>
              <w:t>30</w:t>
            </w:r>
          </w:hyperlink>
        </w:p>
        <w:p>
          <w:pPr>
            <w:pStyle w:val="TOC2"/>
            <w:tabs>
              <w:tab w:val="clear" w:pos="9077"/>
              <w:tab w:val="right" w:pos="9359" w:leader="dot"/>
            </w:tabs>
            <w:rPr/>
          </w:pPr>
          <w:hyperlink w:anchor="__RefHeading___Toc7857_3476700982" w:tooltip="3. Load embedding">
            <w:r>
              <w:rPr>
                <w:rStyle w:val="IndexLink"/>
                <w:webHidden/>
              </w:rPr>
              <w:t>3. Load embedding</w:t>
              <w:tab/>
              <w:t>30</w:t>
            </w:r>
          </w:hyperlink>
        </w:p>
        <w:p>
          <w:pPr>
            <w:pStyle w:val="TOC2"/>
            <w:tabs>
              <w:tab w:val="clear" w:pos="9077"/>
              <w:tab w:val="right" w:pos="9359" w:leader="dot"/>
            </w:tabs>
            <w:rPr/>
          </w:pPr>
          <w:hyperlink w:anchor="__RefHeading___Toc7859_3476700982" w:tooltip="4. Load embeddings (multiple years)">
            <w:r>
              <w:rPr>
                <w:rStyle w:val="IndexLink"/>
                <w:webHidden/>
              </w:rPr>
              <w:t>4. Load embeddings (multiple years)</w:t>
              <w:tab/>
              <w:t>31</w:t>
            </w:r>
          </w:hyperlink>
        </w:p>
        <w:p>
          <w:pPr>
            <w:pStyle w:val="TOC2"/>
            <w:tabs>
              <w:tab w:val="clear" w:pos="9077"/>
              <w:tab w:val="right" w:pos="9359" w:leader="dot"/>
            </w:tabs>
            <w:rPr/>
          </w:pPr>
          <w:hyperlink w:anchor="__RefHeading___Toc7861_3476700982" w:tooltip="5. Embedding → RGB">
            <w:r>
              <w:rPr>
                <w:rStyle w:val="IndexLink"/>
                <w:webHidden/>
              </w:rPr>
              <w:t>5. Embedding → RGB</w:t>
              <w:tab/>
              <w:t>32</w:t>
            </w:r>
          </w:hyperlink>
        </w:p>
        <w:p>
          <w:pPr>
            <w:pStyle w:val="TOC2"/>
            <w:tabs>
              <w:tab w:val="clear" w:pos="9077"/>
              <w:tab w:val="right" w:pos="9359" w:leader="dot"/>
            </w:tabs>
            <w:rPr/>
          </w:pPr>
          <w:hyperlink w:anchor="__RefHeading___Toc7863_3476700982" w:tooltip="6. Similarity search">
            <w:r>
              <w:rPr>
                <w:rStyle w:val="IndexLink"/>
                <w:webHidden/>
              </w:rPr>
              <w:t>6. Similarity search</w:t>
              <w:tab/>
              <w:t>32</w:t>
            </w:r>
          </w:hyperlink>
        </w:p>
        <w:p>
          <w:pPr>
            <w:pStyle w:val="TOC2"/>
            <w:tabs>
              <w:tab w:val="clear" w:pos="9077"/>
              <w:tab w:val="right" w:pos="9359" w:leader="dot"/>
            </w:tabs>
            <w:rPr/>
          </w:pPr>
          <w:hyperlink w:anchor="__RefHeading___Toc7865_3476700982" w:tooltip="7. Change / trajectory">
            <w:r>
              <w:rPr>
                <w:rStyle w:val="IndexLink"/>
                <w:webHidden/>
              </w:rPr>
              <w:t>7. Change / trajectory</w:t>
              <w:tab/>
              <w:t>33</w:t>
            </w:r>
          </w:hyperlink>
        </w:p>
        <w:p>
          <w:pPr>
            <w:pStyle w:val="TOC2"/>
            <w:tabs>
              <w:tab w:val="clear" w:pos="9077"/>
              <w:tab w:val="right" w:pos="9359" w:leader="dot"/>
            </w:tabs>
            <w:rPr/>
          </w:pPr>
          <w:hyperlink w:anchor="__RefHeading___Toc7867_3476700982" w:tooltip="8. Change report">
            <w:r>
              <w:rPr>
                <w:rStyle w:val="IndexLink"/>
                <w:webHidden/>
              </w:rPr>
              <w:t>8. Change report</w:t>
              <w:tab/>
              <w:t>34</w:t>
            </w:r>
          </w:hyperlink>
        </w:p>
        <w:p>
          <w:pPr>
            <w:pStyle w:val="TOC2"/>
            <w:tabs>
              <w:tab w:val="clear" w:pos="9077"/>
              <w:tab w:val="right" w:pos="9359" w:leader="dot"/>
            </w:tabs>
            <w:rPr/>
          </w:pPr>
          <w:hyperlink w:anchor="__RefHeading___Toc7869_3476700982" w:tooltip="9. Extract training samples">
            <w:r>
              <w:rPr>
                <w:rStyle w:val="IndexLink"/>
                <w:webHidden/>
              </w:rPr>
              <w:t>9. Extract training samples</w:t>
              <w:tab/>
              <w:t>35</w:t>
            </w:r>
          </w:hyperlink>
        </w:p>
        <w:p>
          <w:pPr>
            <w:pStyle w:val="TOC2"/>
            <w:tabs>
              <w:tab w:val="clear" w:pos="9077"/>
              <w:tab w:val="right" w:pos="9359" w:leader="dot"/>
            </w:tabs>
            <w:rPr/>
          </w:pPr>
          <w:hyperlink w:anchor="__RefHeading___Toc7871_3476700982" w:tooltip="10. The scikit-learn tier: classify, classify over years, cluster and regress">
            <w:r>
              <w:rPr>
                <w:rStyle w:val="IndexLink"/>
                <w:webHidden/>
              </w:rPr>
              <w:t>10. The scikit-learn tier: classify, classify over years, cluster and regress</w:t>
              <w:tab/>
              <w:t>35</w:t>
            </w:r>
          </w:hyperlink>
        </w:p>
        <w:p>
          <w:pPr>
            <w:pStyle w:val="TOC2"/>
            <w:tabs>
              <w:tab w:val="clear" w:pos="9077"/>
              <w:tab w:val="right" w:pos="9359" w:leader="dot"/>
            </w:tabs>
            <w:rPr/>
          </w:pPr>
          <w:hyperlink w:anchor="__RefHeading___Toc7873_3476700982" w:tooltip="11. Running headless, in batch, or in the Modeler">
            <w:r>
              <w:rPr>
                <w:rStyle w:val="IndexLink"/>
                <w:webHidden/>
              </w:rPr>
              <w:t>11. Running headless, in batch, or in the Modeler</w:t>
              <w:tab/>
              <w:t>37</w:t>
            </w:r>
          </w:hyperlink>
        </w:p>
        <w:p>
          <w:pPr>
            <w:pStyle w:val="TOC2"/>
            <w:tabs>
              <w:tab w:val="clear" w:pos="9077"/>
              <w:tab w:val="right" w:pos="9359" w:leader="dot"/>
            </w:tabs>
            <w:rPr/>
          </w:pPr>
          <w:hyperlink w:anchor="__RefHeading___Toc7875_3476700982" w:tooltip="12. The tabbed wizard">
            <w:r>
              <w:rPr>
                <w:rStyle w:val="IndexLink"/>
                <w:webHidden/>
              </w:rPr>
              <w:t>12. The tabbed wizard</w:t>
              <w:tab/>
              <w:t>38</w:t>
            </w:r>
          </w:hyperlink>
        </w:p>
        <w:p>
          <w:pPr>
            <w:pStyle w:val="TOC2"/>
            <w:tabs>
              <w:tab w:val="clear" w:pos="9077"/>
              <w:tab w:val="right" w:pos="9359" w:leader="dot"/>
            </w:tabs>
            <w:rPr/>
          </w:pPr>
          <w:hyperlink w:anchor="__RefHeading___Toc7877_3476700982" w:tooltip="13. Attribution (required)">
            <w:r>
              <w:rPr>
                <w:rStyle w:val="IndexLink"/>
                <w:webHidden/>
              </w:rPr>
              <w:t>13. Attribution (required)</w:t>
              <w:tab/>
              <w:t>38</w:t>
            </w:r>
          </w:hyperlink>
        </w:p>
        <w:p>
          <w:pPr>
            <w:pStyle w:val="TOC2"/>
            <w:tabs>
              <w:tab w:val="clear" w:pos="9077"/>
              <w:tab w:val="right" w:pos="9359" w:leader="dot"/>
            </w:tabs>
            <w:rPr/>
          </w:pPr>
          <w:hyperlink w:anchor="__RefHeading___Toc7879_3476700982" w:tooltip="14. Troubleshooting">
            <w:r>
              <w:rPr>
                <w:rStyle w:val="IndexLink"/>
                <w:webHidden/>
              </w:rPr>
              <w:t>14. Troubleshooting</w:t>
              <w:tab/>
              <w:t>39</w:t>
            </w:r>
          </w:hyperlink>
        </w:p>
        <w:p>
          <w:pPr>
            <w:pStyle w:val="TOC1"/>
            <w:tabs>
              <w:tab w:val="clear" w:pos="9360"/>
              <w:tab w:val="right" w:pos="9359" w:leader="dot"/>
            </w:tabs>
            <w:rPr/>
          </w:pPr>
          <w:hyperlink w:anchor="__RefHeading___Toc7881_3476700982" w:tooltip="Limitations">
            <w:r>
              <w:rPr>
                <w:rStyle w:val="IndexLink"/>
                <w:webHidden/>
              </w:rPr>
              <w:t>Limitations</w:t>
              <w:tab/>
              <w:t>40</w:t>
            </w:r>
          </w:hyperlink>
        </w:p>
        <w:p>
          <w:pPr>
            <w:pStyle w:val="TOC2"/>
            <w:tabs>
              <w:tab w:val="clear" w:pos="9077"/>
              <w:tab w:val="right" w:pos="9359" w:leader="dot"/>
            </w:tabs>
            <w:rPr/>
          </w:pPr>
          <w:hyperlink w:anchor="__RefHeading___Toc7883_3476700982" w:tooltip="1. Release scope">
            <w:r>
              <w:rPr>
                <w:rStyle w:val="IndexLink"/>
                <w:webHidden/>
              </w:rPr>
              <w:t>1. Release scope</w:t>
              <w:tab/>
              <w:t>40</w:t>
            </w:r>
          </w:hyperlink>
        </w:p>
        <w:p>
          <w:pPr>
            <w:pStyle w:val="TOC2"/>
            <w:tabs>
              <w:tab w:val="clear" w:pos="9077"/>
              <w:tab w:val="right" w:pos="9359" w:leader="dot"/>
            </w:tabs>
            <w:rPr/>
          </w:pPr>
          <w:hyperlink w:anchor="__RefHeading___Toc7885_3476700982" w:tooltip="2. Data constraints">
            <w:r>
              <w:rPr>
                <w:rStyle w:val="IndexLink"/>
                <w:webHidden/>
              </w:rPr>
              <w:t>2. Data constraints</w:t>
              <w:tab/>
              <w:t>40</w:t>
            </w:r>
          </w:hyperlink>
        </w:p>
        <w:p>
          <w:pPr>
            <w:pStyle w:val="TOC2"/>
            <w:tabs>
              <w:tab w:val="clear" w:pos="9077"/>
              <w:tab w:val="right" w:pos="9359" w:leader="dot"/>
            </w:tabs>
            <w:rPr/>
          </w:pPr>
          <w:hyperlink w:anchor="__RefHeading___Toc7887_3476700982" w:tooltip="3. Embedding → RGB caveats">
            <w:r>
              <w:rPr>
                <w:rStyle w:val="IndexLink"/>
                <w:webHidden/>
              </w:rPr>
              <w:t>3. Embedding → RGB caveats</w:t>
              <w:tab/>
              <w:t>41</w:t>
            </w:r>
          </w:hyperlink>
        </w:p>
        <w:p>
          <w:pPr>
            <w:pStyle w:val="TOC2"/>
            <w:tabs>
              <w:tab w:val="clear" w:pos="9077"/>
              <w:tab w:val="right" w:pos="9359" w:leader="dot"/>
            </w:tabs>
            <w:rPr/>
          </w:pPr>
          <w:hyperlink w:anchor="__RefHeading___Toc7889_3476700982" w:tooltip="4. Similarity-search caveats">
            <w:r>
              <w:rPr>
                <w:rStyle w:val="IndexLink"/>
                <w:webHidden/>
              </w:rPr>
              <w:t>4. Similarity-search caveats</w:t>
              <w:tab/>
              <w:t>41</w:t>
            </w:r>
          </w:hyperlink>
        </w:p>
        <w:p>
          <w:pPr>
            <w:pStyle w:val="TOC2"/>
            <w:tabs>
              <w:tab w:val="clear" w:pos="9077"/>
              <w:tab w:val="right" w:pos="9359" w:leader="dot"/>
            </w:tabs>
            <w:rPr/>
          </w:pPr>
          <w:hyperlink w:anchor="__RefHeading___Toc7891_3476700982" w:tooltip="5. Change / trajectory caveats">
            <w:r>
              <w:rPr>
                <w:rStyle w:val="IndexLink"/>
                <w:webHidden/>
              </w:rPr>
              <w:t>5. Change / trajectory caveats</w:t>
              <w:tab/>
              <w:t>41</w:t>
            </w:r>
          </w:hyperlink>
        </w:p>
        <w:p>
          <w:pPr>
            <w:pStyle w:val="TOC2"/>
            <w:tabs>
              <w:tab w:val="clear" w:pos="9077"/>
              <w:tab w:val="right" w:pos="9359" w:leader="dot"/>
            </w:tabs>
            <w:rPr/>
          </w:pPr>
          <w:hyperlink w:anchor="__RefHeading___Toc7893_3476700982" w:tooltip="6. Change-report caveats">
            <w:r>
              <w:rPr>
                <w:rStyle w:val="IndexLink"/>
                <w:webHidden/>
              </w:rPr>
              <w:t>6. Change-report caveats</w:t>
              <w:tab/>
              <w:t>42</w:t>
            </w:r>
          </w:hyperlink>
        </w:p>
        <w:p>
          <w:pPr>
            <w:pStyle w:val="TOC2"/>
            <w:tabs>
              <w:tab w:val="clear" w:pos="9077"/>
              <w:tab w:val="right" w:pos="9359" w:leader="dot"/>
            </w:tabs>
            <w:rPr/>
          </w:pPr>
          <w:hyperlink w:anchor="__RefHeading___Toc7895_3476700982" w:tooltip="7. Extract-samples caveats">
            <w:r>
              <w:rPr>
                <w:rStyle w:val="IndexLink"/>
                <w:webHidden/>
              </w:rPr>
              <w:t>7. Extract-samples caveats</w:t>
              <w:tab/>
              <w:t>42</w:t>
            </w:r>
          </w:hyperlink>
        </w:p>
        <w:p>
          <w:pPr>
            <w:pStyle w:val="TOC2"/>
            <w:tabs>
              <w:tab w:val="clear" w:pos="9077"/>
              <w:tab w:val="right" w:pos="9359" w:leader="dot"/>
            </w:tabs>
            <w:rPr/>
          </w:pPr>
          <w:hyperlink w:anchor="__RefHeading___Toc7897_3476700982" w:tooltip="8. scikit-learn tier caveats">
            <w:r>
              <w:rPr>
                <w:rStyle w:val="IndexLink"/>
                <w:webHidden/>
              </w:rPr>
              <w:t>8. scikit-learn tier caveats</w:t>
              <w:tab/>
              <w:t>42</w:t>
            </w:r>
          </w:hyperlink>
        </w:p>
        <w:p>
          <w:pPr>
            <w:pStyle w:val="TOC2"/>
            <w:tabs>
              <w:tab w:val="clear" w:pos="9077"/>
              <w:tab w:val="right" w:pos="9359" w:leader="dot"/>
            </w:tabs>
            <w:rPr/>
          </w:pPr>
          <w:hyperlink w:anchor="__RefHeading___Toc7899_3476700982" w:tooltip="9. Reproducibility and the cloud dependency">
            <w:r>
              <w:rPr>
                <w:rStyle w:val="IndexLink"/>
                <w:webHidden/>
              </w:rPr>
              <w:t>9. Reproducibility and the cloud dependency</w:t>
              <w:tab/>
              <w:t>43</w:t>
            </w:r>
          </w:hyperlink>
        </w:p>
        <w:p>
          <w:pPr>
            <w:pStyle w:val="TOC2"/>
            <w:tabs>
              <w:tab w:val="clear" w:pos="9077"/>
              <w:tab w:val="right" w:pos="9359" w:leader="dot"/>
            </w:tabs>
            <w:rPr/>
          </w:pPr>
          <w:hyperlink w:anchor="__RefHeading___Toc7901_3476700982" w:tooltip="10. Testing maturity">
            <w:r>
              <w:rPr>
                <w:rStyle w:val="IndexLink"/>
                <w:webHidden/>
              </w:rPr>
              <w:t>10. Testing maturity</w:t>
              <w:tab/>
              <w:t>44</w:t>
            </w:r>
          </w:hyperlink>
        </w:p>
        <w:p>
          <w:pPr>
            <w:pStyle w:val="TOC2"/>
            <w:tabs>
              <w:tab w:val="clear" w:pos="9077"/>
              <w:tab w:val="right" w:pos="9359" w:leader="dot"/>
            </w:tabs>
            <w:rPr/>
          </w:pPr>
          <w:hyperlink w:anchor="__RefHeading___Toc7903_3476700982" w:tooltip="11. Not a substitute for field validation">
            <w:r>
              <w:rPr>
                <w:rStyle w:val="IndexLink"/>
                <w:webHidden/>
              </w:rPr>
              <w:t>11. Not a substitute for field validation</w:t>
              <w:tab/>
              <w:t>45</w:t>
            </w:r>
          </w:hyperlink>
        </w:p>
        <w:p>
          <w:pPr>
            <w:pStyle w:val="TOC1"/>
            <w:tabs>
              <w:tab w:val="clear" w:pos="9360"/>
              <w:tab w:val="right" w:pos="9359" w:leader="dot"/>
            </w:tabs>
            <w:rPr/>
          </w:pPr>
          <w:hyperlink w:anchor="__RefHeading___Toc7905_3476700982" w:tooltip="Roadmap &amp; Future Possibilities">
            <w:r>
              <w:rPr>
                <w:rStyle w:val="IndexLink"/>
                <w:webHidden/>
              </w:rPr>
              <w:t>Roadmap &amp; Future Possibilities</w:t>
              <w:tab/>
              <w:t>46</w:t>
            </w:r>
          </w:hyperlink>
        </w:p>
        <w:p>
          <w:pPr>
            <w:pStyle w:val="TOC2"/>
            <w:tabs>
              <w:tab w:val="clear" w:pos="9077"/>
              <w:tab w:val="right" w:pos="9359" w:leader="dot"/>
            </w:tabs>
            <w:rPr/>
          </w:pPr>
          <w:hyperlink w:anchor="__RefHeading___Toc7907_3476700982" w:tooltip="1. Where things stand">
            <w:r>
              <w:rPr>
                <w:rStyle w:val="IndexLink"/>
                <w:webHidden/>
              </w:rPr>
              <w:t>1. Where things stand</w:t>
              <w:tab/>
              <w:t>46</w:t>
            </w:r>
          </w:hyperlink>
        </w:p>
        <w:p>
          <w:pPr>
            <w:pStyle w:val="TOC2"/>
            <w:tabs>
              <w:tab w:val="clear" w:pos="9077"/>
              <w:tab w:val="right" w:pos="9359" w:leader="dot"/>
            </w:tabs>
            <w:rPr/>
          </w:pPr>
          <w:hyperlink w:anchor="__RefHeading___Toc7909_3476700982" w:tooltip="2. Milestones M1–M3 — delivered">
            <w:r>
              <w:rPr>
                <w:rStyle w:val="IndexLink"/>
                <w:webHidden/>
              </w:rPr>
              <w:t>2. Milestones M1–M3 — delivered</w:t>
              <w:tab/>
              <w:t>47</w:t>
            </w:r>
          </w:hyperlink>
        </w:p>
        <w:p>
          <w:pPr>
            <w:pStyle w:val="TOC2"/>
            <w:tabs>
              <w:tab w:val="clear" w:pos="9077"/>
              <w:tab w:val="right" w:pos="9359" w:leader="dot"/>
            </w:tabs>
            <w:rPr/>
          </w:pPr>
          <w:hyperlink w:anchor="__RefHeading___Toc7911_3476700982" w:tooltip="3. Milestone M4 — hardening and public release (in progress)">
            <w:r>
              <w:rPr>
                <w:rStyle w:val="IndexLink"/>
                <w:webHidden/>
              </w:rPr>
              <w:t>3. Milestone M4 — hardening and public release (in progress)</w:t>
              <w:tab/>
              <w:t>47</w:t>
            </w:r>
          </w:hyperlink>
        </w:p>
        <w:p>
          <w:pPr>
            <w:pStyle w:val="TOC2"/>
            <w:tabs>
              <w:tab w:val="clear" w:pos="9077"/>
              <w:tab w:val="right" w:pos="9359" w:leader="dot"/>
            </w:tabs>
            <w:rPr/>
          </w:pPr>
          <w:hyperlink w:anchor="__RefHeading___Toc7913_3476700982" w:tooltip="4. Longer-horizon possibilities">
            <w:r>
              <w:rPr>
                <w:rStyle w:val="IndexLink"/>
                <w:webHidden/>
              </w:rPr>
              <w:t>4. Longer-horizon possibilities</w:t>
              <w:tab/>
              <w:t>48</w:t>
            </w:r>
          </w:hyperlink>
        </w:p>
        <w:p>
          <w:pPr>
            <w:pStyle w:val="TOC2"/>
            <w:tabs>
              <w:tab w:val="clear" w:pos="9077"/>
              <w:tab w:val="right" w:pos="9359" w:leader="dot"/>
            </w:tabs>
            <w:rPr/>
          </w:pPr>
          <w:hyperlink w:anchor="__RefHeading___Toc7915_3476700982" w:tooltip="5. Known follow-ups carried into future releases">
            <w:r>
              <w:rPr>
                <w:rStyle w:val="IndexLink"/>
                <w:webHidden/>
              </w:rPr>
              <w:t>5. Known follow-ups carried into future releases</w:t>
              <w:tab/>
              <w:t>48</w:t>
            </w:r>
          </w:hyperlink>
          <w:r>
            <w:rPr>
              <w:rStyle w:val="IndexLink"/>
            </w:rPr>
            <w:fldChar w:fldCharType="end"/>
          </w:r>
        </w:p>
      </w:sdtContent>
    </w:sdt>
    <w:p>
      <w:pPr>
        <w:pStyle w:val="Heading1"/>
        <w:rPr/>
      </w:pPr>
      <w:bookmarkStart w:id="0" w:name="__RefHeading___Toc7787_3476700982"/>
      <w:bookmarkStart w:id="1" w:name="alphaearth-toolbox-documentation"/>
      <w:bookmarkEnd w:id="0"/>
      <w:r>
        <w:rPr/>
        <w:t>AlphaEarth Toolbox — Documentation</w:t>
      </w:r>
      <w:bookmarkEnd w:id="1"/>
    </w:p>
    <w:p>
      <w:pPr>
        <w:pStyle w:val="FirstParagraph"/>
        <w:rPr/>
      </w:pPr>
      <w:r>
        <w:rPr>
          <w:i/>
        </w:rPr>
        <w:t>Version 0.10.0 (experimental)</w:t>
      </w:r>
    </w:p>
    <w:p>
      <w:pPr>
        <w:pStyle w:val="BodyText"/>
        <w:rPr/>
      </w:pPr>
      <w:r>
        <w:rPr/>
        <w:t xml:space="preserve">This folder is the detailed documentation set for the AlphaEarth Toolbox QGIS plugin, which brings Google DeepMind’s </w:t>
      </w:r>
      <w:r>
        <w:rPr>
          <w:b/>
        </w:rPr>
        <w:t>AlphaEarth Satellite Embedding V1</w:t>
      </w:r>
      <w:r>
        <w:rPr/>
        <w:t xml:space="preserve"> into QGIS — loading, visualising and analysing the 64-band annual embeddings with no Earth Engine account, API key or GPU, and no extra Python packages for the core workflow.</w:t>
      </w:r>
    </w:p>
    <w:p>
      <w:pPr>
        <w:pStyle w:val="Heading2"/>
        <w:rPr/>
      </w:pPr>
      <w:bookmarkStart w:id="2" w:name="__RefHeading___Toc7789_3476700982"/>
      <w:bookmarkStart w:id="3" w:name="documents"/>
      <w:bookmarkEnd w:id="2"/>
      <w:r>
        <w:rPr/>
        <w:t>Documents</w:t>
      </w:r>
      <w:bookmarkEnd w:id="3"/>
    </w:p>
    <w:p>
      <w:pPr>
        <w:pStyle w:val="FirstParagraph"/>
        <w:rPr/>
      </w:pPr>
      <w:r>
        <w:rPr/>
        <w:t>The set is organised by audience and question:</w:t>
      </w:r>
    </w:p>
    <w:p>
      <w:pPr>
        <w:pStyle w:val="Compact"/>
        <w:numPr>
          <w:ilvl w:val="0"/>
          <w:numId w:val="1"/>
        </w:numPr>
        <w:rPr/>
      </w:pPr>
      <w:hyperlink r:id="rId2">
        <w:r>
          <w:rPr>
            <w:rStyle w:val="Hyperlink"/>
            <w:b/>
          </w:rPr>
          <w:t>Architecture</w:t>
        </w:r>
      </w:hyperlink>
      <w:r>
        <w:rPr/>
        <w:t xml:space="preserve"> — for developers and reviewers. How the plugin is layered, the import-light boundary that keeps the core testable without QGIS, how an algorithm is discovered and run, how the optional scikit-learn tier is detected and installed, how remote tiles are read, and how the code is tested and packaged.</w:t>
      </w:r>
    </w:p>
    <w:p>
      <w:pPr>
        <w:pStyle w:val="Compact"/>
        <w:numPr>
          <w:ilvl w:val="0"/>
          <w:numId w:val="1"/>
        </w:numPr>
        <w:rPr/>
      </w:pPr>
      <w:hyperlink r:id="rId3">
        <w:r>
          <w:rPr>
            <w:rStyle w:val="Hyperlink"/>
            <w:b/>
          </w:rPr>
          <w:t>Methodology</w:t>
        </w:r>
      </w:hyperlink>
      <w:r>
        <w:rPr/>
        <w:t xml:space="preserve"> — for technical users. What an AlphaEarth embedding is, why its unit-vector format makes similarity an exact dot product, exactly how a year of data is discovered and mosaicked from the public cloud bucket, how the grid is sized, why nearest-neighbour resampling is used, and the maths behind RGB reduction, change, sample extraction and the ML tier.</w:t>
      </w:r>
    </w:p>
    <w:p>
      <w:pPr>
        <w:pStyle w:val="Compact"/>
        <w:numPr>
          <w:ilvl w:val="0"/>
          <w:numId w:val="1"/>
        </w:numPr>
        <w:rPr/>
      </w:pPr>
      <w:hyperlink r:id="rId4">
        <w:r>
          <w:rPr>
            <w:rStyle w:val="Hyperlink"/>
            <w:b/>
          </w:rPr>
          <w:t>User Guide</w:t>
        </w:r>
      </w:hyperlink>
      <w:r>
        <w:rPr/>
        <w:t xml:space="preserve"> — for end users. Installing the plugin, using the tabbed wizard, and running all twelve algorithms step by step, including the no-sign-in fetch-by-year workflow (single year, the multi-year tick-box fetch and the one-step change-over-years compare), the optional scikit-learn install with model save/reuse and accuracy reporting, batch and Modeler use, and required attribution.</w:t>
      </w:r>
    </w:p>
    <w:p>
      <w:pPr>
        <w:pStyle w:val="Compact"/>
        <w:numPr>
          <w:ilvl w:val="0"/>
          <w:numId w:val="1"/>
        </w:numPr>
        <w:rPr/>
      </w:pPr>
      <w:hyperlink r:id="rId5">
        <w:r>
          <w:rPr>
            <w:rStyle w:val="Hyperlink"/>
            <w:b/>
          </w:rPr>
          <w:t>Limitations</w:t>
        </w:r>
      </w:hyperlink>
      <w:r>
        <w:rPr/>
        <w:t xml:space="preserve"> — what the toolbox does not do yet, the constraints inherited from the annual 10 m data, and how mature the testing is.</w:t>
      </w:r>
    </w:p>
    <w:p>
      <w:pPr>
        <w:pStyle w:val="Compact"/>
        <w:numPr>
          <w:ilvl w:val="0"/>
          <w:numId w:val="1"/>
        </w:numPr>
        <w:rPr/>
      </w:pPr>
      <w:hyperlink r:id="rId6">
        <w:r>
          <w:rPr>
            <w:rStyle w:val="Hyperlink"/>
            <w:b/>
          </w:rPr>
          <w:t>Roadmap &amp; Future Possibilities</w:t>
        </w:r>
      </w:hyperlink>
      <w:r>
        <w:rPr/>
        <w:t xml:space="preserve"> — from the current twelve-algorithm release to a public listing, and longer-horizon directions.</w:t>
      </w:r>
    </w:p>
    <w:p>
      <w:pPr>
        <w:pStyle w:val="Compact"/>
        <w:numPr>
          <w:ilvl w:val="0"/>
          <w:numId w:val="1"/>
        </w:numPr>
        <w:rPr/>
      </w:pPr>
      <w:hyperlink r:id="rId7">
        <w:r>
          <w:rPr>
            <w:rStyle w:val="Hyperlink"/>
            <w:b/>
          </w:rPr>
          <w:t>Release notes</w:t>
        </w:r>
      </w:hyperlink>
      <w:r>
        <w:rPr/>
        <w:t xml:space="preserve"> and the </w:t>
      </w:r>
      <w:hyperlink r:id="rId8">
        <w:r>
          <w:rPr>
            <w:rStyle w:val="Hyperlink"/>
            <w:b/>
          </w:rPr>
          <w:t>smoke-test checklist</w:t>
        </w:r>
      </w:hyperlink>
      <w:r>
        <w:rPr/>
        <w:t xml:space="preserve"> — what changed in this release and the manual real-QGIS pass to run before publishing.</w:t>
      </w:r>
    </w:p>
    <w:p>
      <w:pPr>
        <w:pStyle w:val="FirstParagraph"/>
        <w:rPr/>
      </w:pPr>
      <w:r>
        <w:rPr/>
        <w:t xml:space="preserve">For the top-level overview and install instructions see the repository </w:t>
      </w:r>
      <w:hyperlink r:id="rId9">
        <w:r>
          <w:rPr>
            <w:rStyle w:val="Style"/>
            <w:rFonts w:ascii="Consolas" w:hAnsi="Consolas"/>
            <w:sz w:val="22"/>
          </w:rPr>
          <w:t>README.md</w:t>
        </w:r>
      </w:hyperlink>
      <w:r>
        <w:rPr/>
        <w:t xml:space="preserve">; for the full design rationale and positioning against the EMBED-CD plugin see </w:t>
      </w:r>
      <w:hyperlink r:id="rId10">
        <w:r>
          <w:rPr>
            <w:rStyle w:val="Style"/>
            <w:rFonts w:ascii="Consolas" w:hAnsi="Consolas"/>
            <w:sz w:val="22"/>
          </w:rPr>
          <w:t>SCOPE.md</w:t>
        </w:r>
      </w:hyperlink>
      <w:r>
        <w:rPr/>
        <w:t>.</w:t>
      </w:r>
    </w:p>
    <w:p>
      <w:pPr>
        <w:pStyle w:val="Heading2"/>
        <w:rPr/>
      </w:pPr>
      <w:bookmarkStart w:id="4" w:name="__RefHeading___Toc7791_3476700982"/>
      <w:bookmarkStart w:id="5" w:name="at-a-glance"/>
      <w:bookmarkEnd w:id="4"/>
      <w:r>
        <w:rPr/>
        <w:t>At a glance</w:t>
      </w:r>
      <w:bookmarkEnd w:id="5"/>
    </w:p>
    <w:p>
      <w:pPr>
        <w:pStyle w:val="FirstParagraph"/>
        <w:rPr/>
      </w:pPr>
      <w:r>
        <w:rPr/>
        <w:t xml:space="preserve">The toolbox registers a Processing provider, </w:t>
      </w:r>
      <w:r>
        <w:rPr>
          <w:b/>
        </w:rPr>
        <w:t>AlphaEarth Toolbox</w:t>
      </w:r>
      <w:r>
        <w:rPr/>
        <w:t xml:space="preserve"> (id </w:t>
      </w:r>
      <w:r>
        <w:rPr>
          <w:rStyle w:val="VerbatimChar"/>
        </w:rPr>
        <w:t>alphaearth</w:t>
      </w:r>
      <w:r>
        <w:rPr/>
        <w:t>), with twelve algorithms.</w:t>
      </w:r>
    </w:p>
    <w:p>
      <w:pPr>
        <w:pStyle w:val="BodyText"/>
        <w:rPr/>
      </w:pPr>
      <w:r>
        <w:rPr/>
        <w:t xml:space="preserve">Eight are in the no-dependency (NumPy + GDAL) tier. </w:t>
      </w:r>
      <w:r>
        <w:rPr>
          <w:i/>
        </w:rPr>
        <w:t>Load embedding</w:t>
      </w:r>
      <w:r>
        <w:rPr/>
        <w:t xml:space="preserve"> (</w:t>
      </w:r>
      <w:r>
        <w:rPr>
          <w:rStyle w:val="VerbatimChar"/>
        </w:rPr>
        <w:t>alphaearth:loadembedding</w:t>
      </w:r>
      <w:r>
        <w:rPr/>
        <w:t xml:space="preserve">) clips and warps a 64-band embedding to an area of interest from a layer, a COG URL, </w:t>
      </w:r>
      <w:r>
        <w:rPr>
          <w:b/>
        </w:rPr>
        <w:t>or just a year (2017–2025)</w:t>
      </w:r>
      <w:r>
        <w:rPr/>
        <w:t xml:space="preserve"> fetched straight from the public </w:t>
      </w:r>
      <w:r>
        <w:rPr>
          <w:rStyle w:val="VerbatimChar"/>
        </w:rPr>
        <w:t>gs://alphaearth_foundations</w:t>
      </w:r>
      <w:r>
        <w:rPr/>
        <w:t xml:space="preserve"> bucket. </w:t>
      </w:r>
      <w:r>
        <w:rPr>
          <w:i/>
        </w:rPr>
        <w:t>Load embeddings (multiple years)</w:t>
      </w:r>
      <w:r>
        <w:rPr/>
        <w:t xml:space="preserve"> (</w:t>
      </w:r>
      <w:r>
        <w:rPr>
          <w:rStyle w:val="VerbatimChar"/>
        </w:rPr>
        <w:t>alphaearth:loadyears</w:t>
      </w:r>
      <w:r>
        <w:rPr/>
        <w:t xml:space="preserve">) does the same for a </w:t>
      </w:r>
      <w:r>
        <w:rPr>
          <w:b/>
        </w:rPr>
        <w:t>set</w:t>
      </w:r>
      <w:r>
        <w:rPr/>
        <w:t xml:space="preserve"> of years chosen with tick-boxes over the </w:t>
      </w:r>
      <w:r>
        <w:rPr>
          <w:i/>
        </w:rPr>
        <w:t>same</w:t>
      </w:r>
      <w:r>
        <w:rPr/>
        <w:t xml:space="preserve"> area of interest, writing one pixel-aligned 64-band GeoTIFF per year (</w:t>
      </w:r>
      <w:r>
        <w:rPr>
          <w:rStyle w:val="VerbatimChar"/>
        </w:rPr>
        <w:t>alphaearth_&lt;year&gt;.tif</w:t>
      </w:r>
      <w:r>
        <w:rPr/>
        <w:t xml:space="preserve">) into an output folder — ready to feed straight into </w:t>
      </w:r>
      <w:r>
        <w:rPr>
          <w:i/>
        </w:rPr>
        <w:t>Change / trajectory</w:t>
      </w:r>
      <w:r>
        <w:rPr/>
        <w:t xml:space="preserve"> or </w:t>
      </w:r>
      <w:r>
        <w:rPr>
          <w:i/>
        </w:rPr>
        <w:t>Similarity</w:t>
      </w:r>
      <w:r>
        <w:rPr/>
        <w:t xml:space="preserve"> with no re-projection. </w:t>
      </w:r>
      <w:r>
        <w:rPr>
          <w:i/>
        </w:rPr>
        <w:t>Embedding → RGB</w:t>
      </w:r>
      <w:r>
        <w:rPr/>
        <w:t xml:space="preserve"> (</w:t>
      </w:r>
      <w:r>
        <w:rPr>
          <w:rStyle w:val="VerbatimChar"/>
        </w:rPr>
        <w:t>alphaearth:torgb</w:t>
      </w:r>
      <w:r>
        <w:rPr/>
        <w:t xml:space="preserve">) paints the 64 bands to a 3-band preview, by PCA-to-3 or a band triplet with a percentile stretch. </w:t>
      </w:r>
      <w:r>
        <w:rPr>
          <w:i/>
        </w:rPr>
        <w:t>Similarity search</w:t>
      </w:r>
      <w:r>
        <w:rPr/>
        <w:t xml:space="preserve"> (</w:t>
      </w:r>
      <w:r>
        <w:rPr>
          <w:rStyle w:val="VerbatimChar"/>
        </w:rPr>
        <w:t>alphaearth:similarity</w:t>
      </w:r>
      <w:r>
        <w:rPr/>
        <w:t xml:space="preserve">) scores every pixel by cosine similarity to seed features — an exact dot product, because AlphaEarth pixels are unit vectors — producing a 0–1 raster and an optional “more like this” mask. </w:t>
      </w:r>
      <w:r>
        <w:rPr>
          <w:i/>
        </w:rPr>
        <w:t>Change / trajectory</w:t>
      </w:r>
      <w:r>
        <w:rPr/>
        <w:t xml:space="preserve"> (</w:t>
      </w:r>
      <w:r>
        <w:rPr>
          <w:rStyle w:val="VerbatimChar"/>
        </w:rPr>
        <w:t>alphaearth:change</w:t>
      </w:r>
      <w:r>
        <w:rPr/>
        <w:t xml:space="preserve">) compares two or more already-loaded years by cosine or Euclidean distance, in pairwise, trajectory-magnitude and anomaly-vs-baseline modes — the capability that takes the toolbox past the bi-temporal EMBED-CD plugin. </w:t>
      </w:r>
      <w:r>
        <w:rPr>
          <w:i/>
        </w:rPr>
        <w:t>Change over years</w:t>
      </w:r>
      <w:r>
        <w:rPr/>
        <w:t xml:space="preserve"> (</w:t>
      </w:r>
      <w:r>
        <w:rPr>
          <w:rStyle w:val="VerbatimChar"/>
        </w:rPr>
        <w:t>alphaearth:changeyears</w:t>
      </w:r>
      <w:r>
        <w:rPr/>
        <w:t xml:space="preserve">) folds the multi-year fetch and </w:t>
      </w:r>
      <w:r>
        <w:rPr>
          <w:i/>
        </w:rPr>
        <w:t>Change / trajectory</w:t>
      </w:r>
      <w:r>
        <w:rPr/>
        <w:t xml:space="preserve"> into one step — tick the years, set one area of interest, get the change raster directly (every year fetched onto the same grid, so always pixel-aligned). </w:t>
      </w:r>
      <w:r>
        <w:rPr>
          <w:i/>
        </w:rPr>
        <w:t>Extract training samples</w:t>
      </w:r>
      <w:r>
        <w:rPr/>
        <w:t xml:space="preserve"> (</w:t>
      </w:r>
      <w:r>
        <w:rPr>
          <w:rStyle w:val="VerbatimChar"/>
        </w:rPr>
        <w:t>alphaearth:extract</w:t>
      </w:r>
      <w:r>
        <w:rPr/>
        <w:t xml:space="preserve">) samples the 64-D vector at point/polygon features into a point layer (one row per pixel, </w:t>
      </w:r>
      <w:r>
        <w:rPr>
          <w:rStyle w:val="VerbatimChar"/>
        </w:rPr>
        <w:t>A00…A63</w:t>
      </w:r>
      <w:r>
        <w:rPr/>
        <w:t xml:space="preserve"> plus source attributes) for external ML or QA. </w:t>
      </w:r>
      <w:r>
        <w:rPr>
          <w:i/>
        </w:rPr>
        <w:t>Change report</w:t>
      </w:r>
      <w:r>
        <w:rPr/>
        <w:t xml:space="preserve"> (</w:t>
      </w:r>
      <w:r>
        <w:rPr>
          <w:rStyle w:val="VerbatimChar"/>
        </w:rPr>
        <w:t>alphaearth:changereport</w:t>
      </w:r>
      <w:r>
        <w:rPr/>
        <w:t>) turns any single-band change raster into a small report — a change-magnitude distribution with summary statistics, the percentage of area changed at each threshold, an optional over-time series and an optional change-vs-embedding-band scatter — written as any combination of HTML, PNG, CSV and PDF (HTML and CSV need nothing extra; PNG and PDF use matplotlib when present and are skipped with a message when it is not). The same report is offered as an opt-in extra on both change algorithms and in the wizard’s Change tab.</w:t>
      </w:r>
    </w:p>
    <w:p>
      <w:pPr>
        <w:pStyle w:val="BodyText"/>
        <w:rPr/>
      </w:pPr>
      <w:r>
        <w:rPr/>
        <w:t xml:space="preserve">Four more form the optional scikit-learn tier. </w:t>
      </w:r>
      <w:r>
        <w:rPr>
          <w:i/>
        </w:rPr>
        <w:t>Classify embedding</w:t>
      </w:r>
      <w:r>
        <w:rPr/>
        <w:t xml:space="preserve"> (</w:t>
      </w:r>
      <w:r>
        <w:rPr>
          <w:rStyle w:val="VerbatimChar"/>
        </w:rPr>
        <w:t>alphaearth:classify</w:t>
      </w:r>
      <w:r>
        <w:rPr/>
        <w:t xml:space="preserve">) trains a random-forest or gradient-boosting classifier on labelled features and maps land cover across every valid pixel, optionally with a per-pixel confidence raster. </w:t>
      </w:r>
      <w:r>
        <w:rPr>
          <w:i/>
        </w:rPr>
        <w:t>Classify over years</w:t>
      </w:r>
      <w:r>
        <w:rPr/>
        <w:t xml:space="preserve"> (</w:t>
      </w:r>
      <w:r>
        <w:rPr>
          <w:rStyle w:val="VerbatimChar"/>
        </w:rPr>
        <w:t>alphaearth:classifyyears</w:t>
      </w:r>
      <w:r>
        <w:rPr/>
        <w:t xml:space="preserve">) is the classification analogue of </w:t>
      </w:r>
      <w:r>
        <w:rPr>
          <w:i/>
        </w:rPr>
        <w:t>Change over years</w:t>
      </w:r>
      <w:r>
        <w:rPr/>
        <w:t xml:space="preserve">: tick two or more years, set one area of interest, and it fetches every year onto the same grid and maps land cover for each in one step — one model trained on the most recent year (or reused from a saved file) applied across the series, writing a folder of per-year class rasters plus an optional first-to-last transition raster and a changed/unchanged mask. </w:t>
      </w:r>
      <w:r>
        <w:rPr>
          <w:i/>
        </w:rPr>
        <w:t>Cluster embedding</w:t>
      </w:r>
      <w:r>
        <w:rPr/>
        <w:t xml:space="preserve"> (</w:t>
      </w:r>
      <w:r>
        <w:rPr>
          <w:rStyle w:val="VerbatimChar"/>
        </w:rPr>
        <w:t>alphaearth:cluster</w:t>
      </w:r>
      <w:r>
        <w:rPr/>
        <w:t xml:space="preserve">) runs unsupervised K-means. </w:t>
      </w:r>
      <w:r>
        <w:rPr>
          <w:i/>
        </w:rPr>
        <w:t>Regress embedding</w:t>
      </w:r>
      <w:r>
        <w:rPr/>
        <w:t xml:space="preserve"> (</w:t>
      </w:r>
      <w:r>
        <w:rPr>
          <w:rStyle w:val="VerbatimChar"/>
        </w:rPr>
        <w:t>alphaearth:regress</w:t>
      </w:r>
      <w:r>
        <w:rPr/>
        <w:t xml:space="preserve">) predicts a continuous target from a numeric field. Classify and Regress can save the fitted model and reuse it on another scene (version- and band-count-stamped, so a mismatch fails loudly) and optionally write a k-fold accuracy report with a class-balance summary. Classify, Regress and Classify over years can optionally </w:t>
      </w:r>
      <w:r>
        <w:rPr>
          <w:b/>
        </w:rPr>
        <w:t>tune their hyper-parameters</w:t>
      </w:r>
      <w:r>
        <w:rPr/>
        <w:t xml:space="preserve"> (a cross-validated randomized search), and Cluster can </w:t>
      </w:r>
      <w:r>
        <w:rPr>
          <w:b/>
        </w:rPr>
        <w:t>choose k automatically</w:t>
      </w:r>
      <w:r>
        <w:rPr/>
        <w:t xml:space="preserve"> by silhouette — all opt-in and default-off, falling back to the defaults with a warning rather than failing when the data is too small. scikit-learn is never a hard dependency — it is detected at runtime, and the wizard offers a one-click install into the QGIS Python environment when it is missing.</w:t>
      </w:r>
    </w:p>
    <w:p>
      <w:pPr>
        <w:pStyle w:val="BodyText"/>
        <w:rPr/>
      </w:pPr>
      <w:r>
        <w:rPr/>
        <w:t xml:space="preserve">All twelve are standard </w:t>
      </w:r>
      <w:r>
        <w:rPr>
          <w:rStyle w:val="VerbatimChar"/>
        </w:rPr>
        <w:t>QgsProcessingAlgorithm</w:t>
      </w:r>
      <w:r>
        <w:rPr/>
        <w:t>s, so they run headless, in batch and in the Graphical Modeler; the plugin’s own dialog is a guided tabbed wizard with curated presets and off-GUI-thread execution.</w:t>
      </w:r>
    </w:p>
    <w:p>
      <w:pPr>
        <w:pStyle w:val="Heading2"/>
        <w:rPr/>
      </w:pPr>
      <w:bookmarkStart w:id="6" w:name="__RefHeading___Toc7793_3476700982"/>
      <w:bookmarkStart w:id="7" w:name="licensing-attribution"/>
      <w:bookmarkEnd w:id="6"/>
      <w:r>
        <w:rPr/>
        <w:t>Licensing &amp; attribution</w:t>
      </w:r>
      <w:bookmarkEnd w:id="7"/>
    </w:p>
    <w:p>
      <w:pPr>
        <w:pStyle w:val="FirstParagraph"/>
        <w:rPr/>
      </w:pPr>
      <w:r>
        <w:rPr/>
        <w:t xml:space="preserve">The plugin code is licensed </w:t>
      </w:r>
      <w:r>
        <w:rPr>
          <w:b/>
        </w:rPr>
        <w:t>GPL-2.0-or-later</w:t>
      </w:r>
      <w:r>
        <w:rPr/>
        <w:t xml:space="preserve">. The AlphaEarth data is </w:t>
      </w:r>
      <w:r>
        <w:rPr>
          <w:b/>
        </w:rPr>
        <w:t>CC BY 4.0</w:t>
      </w:r>
      <w:r>
        <w:rPr/>
        <w:t xml:space="preserve"> and requires attribution — </w:t>
      </w:r>
      <w:r>
        <w:rPr>
          <w:i/>
        </w:rPr>
        <w:t>“Contains modified Google DeepMind AlphaEarth Satellite Embedding V1 data (CC BY 4.0).”</w:t>
      </w:r>
      <w:r>
        <w:rPr/>
        <w:t xml:space="preserve"> — which is shown in each algorithm’s help and should accompany any published output. AlphaEarth is commercially usable with attribution.</w:t>
      </w:r>
    </w:p>
    <w:p>
      <w:pPr>
        <w:pStyle w:val="Normal"/>
        <w:rPr/>
      </w:pPr>
      <w:r>
        <w:rPr/>
      </w:r>
      <w:r>
        <w:br w:type="page"/>
      </w:r>
    </w:p>
    <w:p>
      <w:pPr>
        <w:pStyle w:val="Heading1"/>
        <w:spacing w:before="0" w:after="0"/>
        <w:rPr/>
      </w:pPr>
      <w:bookmarkStart w:id="8" w:name="__RefHeading___Toc7795_3476700982"/>
      <w:bookmarkStart w:id="9" w:name="architecture"/>
      <w:bookmarkEnd w:id="8"/>
      <w:r>
        <w:rPr/>
        <w:t>Architecture</w:t>
      </w:r>
      <w:bookmarkEnd w:id="9"/>
    </w:p>
    <w:p>
      <w:pPr>
        <w:pStyle w:val="FirstParagraph"/>
        <w:rPr/>
      </w:pPr>
      <w:r>
        <w:rPr>
          <w:i/>
        </w:rPr>
        <w:t>AlphaEarth Toolbox for QGIS — v0.10.0</w:t>
      </w:r>
    </w:p>
    <w:p>
      <w:pPr>
        <w:pStyle w:val="BodyText"/>
        <w:rPr/>
      </w:pPr>
      <w:r>
        <w:rPr/>
        <w:t xml:space="preserve">This document describes how the plugin is put together: the layering that keeps most of the code testable without QGIS, how a Processing algorithm is discovered and run, how the optional scikit-learn tier is detected and installed, how remote tiles are read, and how the pieces are tested and packaged. It is written for developers who want to extend the toolbox or review it, and for technically-minded users who want to understand what runs when they press </w:t>
      </w:r>
      <w:r>
        <w:rPr>
          <w:i/>
        </w:rPr>
        <w:t>Run</w:t>
      </w:r>
      <w:r>
        <w:rPr/>
        <w:t>.</w:t>
      </w:r>
    </w:p>
    <w:p>
      <w:pPr>
        <w:pStyle w:val="Heading2"/>
        <w:rPr/>
      </w:pPr>
      <w:bookmarkStart w:id="10" w:name="__RefHeading___Toc7797_3476700982"/>
      <w:bookmarkStart w:id="11" w:name="design-goals"/>
      <w:bookmarkEnd w:id="10"/>
      <w:r>
        <w:rPr/>
        <w:t>1. Design goals</w:t>
      </w:r>
      <w:bookmarkEnd w:id="11"/>
    </w:p>
    <w:p>
      <w:pPr>
        <w:pStyle w:val="FirstParagraph"/>
        <w:rPr/>
      </w:pPr>
      <w:r>
        <w:rPr/>
        <w:t>The toolbox exists to make Google DeepMind’s AlphaEarth Satellite Embedding V1 usable end-to-end inside QGIS with no Earth Engine account, no API key, no GPU and no extra Python packages. Four principles shape the code, and every module below can be traced back to one of them.</w:t>
      </w:r>
    </w:p>
    <w:p>
      <w:pPr>
        <w:pStyle w:val="BodyText"/>
        <w:rPr/>
      </w:pPr>
      <w:r>
        <w:rPr/>
        <w:t xml:space="preserve">The first is an </w:t>
      </w:r>
      <w:r>
        <w:rPr>
          <w:i/>
        </w:rPr>
        <w:t>import-light core</w:t>
      </w:r>
      <w:r>
        <w:rPr/>
        <w:t xml:space="preserve">. Importing the top-level </w:t>
      </w:r>
      <w:r>
        <w:rPr>
          <w:rStyle w:val="VerbatimChar"/>
        </w:rPr>
        <w:t>alphaearth_toolbox</w:t>
      </w:r>
      <w:r>
        <w:rPr/>
        <w:t xml:space="preserve"> package must never pull in PyQt, the </w:t>
      </w:r>
      <w:r>
        <w:rPr>
          <w:rStyle w:val="VerbatimChar"/>
        </w:rPr>
        <w:t>qgis</w:t>
      </w:r>
      <w:r>
        <w:rPr/>
        <w:t xml:space="preserve"> runtime or GDAL. That keeps the pure compute and configuration code importable — and unit-testable — in a plain Python environment, which is what lets the continuous-integration “checks” job run without a geospatial stack installed.</w:t>
      </w:r>
    </w:p>
    <w:p>
      <w:pPr>
        <w:pStyle w:val="BodyText"/>
        <w:rPr/>
      </w:pPr>
      <w:r>
        <w:rPr/>
        <w:t xml:space="preserve">The second is a </w:t>
      </w:r>
      <w:r>
        <w:rPr>
          <w:i/>
        </w:rPr>
        <w:t>dependency-tiered</w:t>
      </w:r>
      <w:r>
        <w:rPr/>
        <w:t xml:space="preserve"> algorithm set. QGIS ships NumPy and GDAL but not scikit-learn, so the algorithms are split into a no-dependency tier (Load, Load multiple years, Embedding→RGB, Similarity, Change/trajectory, Change over years, Change report and Extract training samples, which need only NumPy and GDAL — the change report’s PNG/PDF outputs use matplotlib when present but never require it) and a scikit-learn tier (classification, classification over years, clustering, regression). A fresh install is immediately useful without anyone touching the machine-learning tier, and scikit-learn is detected at runtime and offered as a one-click guided install — never a hard dependency, never vendored (§9).</w:t>
      </w:r>
    </w:p>
    <w:p>
      <w:pPr>
        <w:pStyle w:val="BodyText"/>
        <w:rPr/>
      </w:pPr>
      <w:r>
        <w:rPr/>
        <w:t xml:space="preserve">The third is </w:t>
      </w:r>
      <w:r>
        <w:rPr>
          <w:i/>
        </w:rPr>
        <w:t>reading straight from the cloud, no sign-in</w:t>
      </w:r>
      <w:r>
        <w:rPr/>
        <w:t xml:space="preserve">. AlphaEarth V1 is published as Cloud-Optimised GeoTIFFs in the public </w:t>
      </w:r>
      <w:r>
        <w:rPr>
          <w:rStyle w:val="VerbatimChar"/>
        </w:rPr>
        <w:t>gs://alphaearth_foundations</w:t>
      </w:r>
      <w:r>
        <w:rPr/>
        <w:t xml:space="preserve"> bucket. The toolbox reads them anonymously over GDAL’s </w:t>
      </w:r>
      <w:r>
        <w:rPr>
          <w:rStyle w:val="VerbatimChar"/>
        </w:rPr>
        <w:t>/vsicurl</w:t>
      </w:r>
      <w:r>
        <w:rPr/>
        <w:t>, using windowed reads so a small area of interest is pulled from large remote scenes without downloading whole tiles.</w:t>
      </w:r>
    </w:p>
    <w:p>
      <w:pPr>
        <w:pStyle w:val="BodyText"/>
        <w:rPr/>
      </w:pPr>
      <w:r>
        <w:rPr/>
        <w:t xml:space="preserve">The fourth is </w:t>
      </w:r>
      <w:r>
        <w:rPr>
          <w:i/>
        </w:rPr>
        <w:t>house-style consistency</w:t>
      </w:r>
      <w:r>
        <w:rPr/>
        <w:t xml:space="preserve"> with the sibling </w:t>
      </w:r>
      <w:r>
        <w:rPr>
          <w:rStyle w:val="VerbatimChar"/>
        </w:rPr>
        <w:t>bal_toolbox_qgis</w:t>
      </w:r>
      <w:r>
        <w:rPr/>
        <w:t xml:space="preserve"> and </w:t>
      </w:r>
      <w:r>
        <w:rPr>
          <w:rStyle w:val="VerbatimChar"/>
        </w:rPr>
        <w:t>burnt_area_toolbox_qgis</w:t>
      </w:r>
      <w:r>
        <w:rPr/>
        <w:t xml:space="preserve"> plugins: a Processing provider plus a dialog (here a guided tabbed wizard), GDAL-native I/O with no rasterio/fiona dependency, four green quality gates (ruff, ruff-format, mypy-strict, pytest), and a reproducible standard-library ZIP builder.</w:t>
      </w:r>
    </w:p>
    <w:p>
      <w:pPr>
        <w:pStyle w:val="Heading2"/>
        <w:rPr/>
      </w:pPr>
      <w:bookmarkStart w:id="12" w:name="__RefHeading___Toc7799_3476700982"/>
      <w:bookmarkStart w:id="13" w:name="package-layout"/>
      <w:bookmarkEnd w:id="12"/>
      <w:r>
        <w:rPr/>
        <w:t>2. Package layout</w:t>
      </w:r>
      <w:bookmarkEnd w:id="13"/>
    </w:p>
    <w:p>
      <w:pPr>
        <w:pStyle w:val="SourceCode"/>
        <w:rPr/>
      </w:pPr>
      <w:r>
        <w:rPr>
          <w:rStyle w:val="VerbatimChar"/>
        </w:rPr>
        <w:t>alphaearth_toolbox_qgis/</w:t>
      </w:r>
      <w:r>
        <w:rPr/>
        <w:br/>
      </w:r>
      <w:r>
        <w:rPr>
          <w:rStyle w:val="VerbatimChar"/>
        </w:rPr>
        <w:t>├─ alphaearth_toolbox/            # the installable plugin package</w:t>
      </w:r>
      <w:r>
        <w:rPr/>
        <w:br/>
      </w:r>
      <w:r>
        <w:rPr>
          <w:rStyle w:val="VerbatimChar"/>
        </w:rPr>
        <w:t>│  ├─ __init__.py                 # classFactory + Python-version guard (import-light)</w:t>
      </w:r>
      <w:r>
        <w:rPr/>
        <w:br/>
      </w:r>
      <w:r>
        <w:rPr>
          <w:rStyle w:val="VerbatimChar"/>
        </w:rPr>
        <w:t>│  ├─ metadata.txt                # QGIS plugin metadata (v0.10.0, experimental, CC BY 4.0)</w:t>
      </w:r>
      <w:r>
        <w:rPr/>
        <w:br/>
      </w:r>
      <w:r>
        <w:rPr>
          <w:rStyle w:val="VerbatimChar"/>
        </w:rPr>
        <w:t>│  ├─ icon.svg                    # provider/menu icon</w:t>
      </w:r>
      <w:r>
        <w:rPr/>
        <w:br/>
      </w:r>
      <w:r>
        <w:rPr>
          <w:rStyle w:val="VerbatimChar"/>
        </w:rPr>
        <w:t>│  ├─ provider.py                 # AlphaEarthProvider  (id = "alphaearth")</w:t>
      </w:r>
      <w:r>
        <w:rPr/>
        <w:br/>
      </w:r>
      <w:r>
        <w:rPr>
          <w:rStyle w:val="VerbatimChar"/>
        </w:rPr>
        <w:t>│  ├─ plugin.py                   # menu/toolbar wiring + provider registration</w:t>
      </w:r>
      <w:r>
        <w:rPr/>
        <w:br/>
      </w:r>
      <w:r>
        <w:rPr>
          <w:rStyle w:val="VerbatimChar"/>
        </w:rPr>
        <w:t>│  ├─ aecore/                     # compute core</w:t>
      </w:r>
      <w:r>
        <w:rPr/>
        <w:br/>
      </w:r>
      <w:r>
        <w:rPr>
          <w:rStyle w:val="VerbatimChar"/>
        </w:rPr>
        <w:t>│  │  ├─ similarity.py            # pure-NumPy cosine similarity (no GDAL/QGIS)</w:t>
      </w:r>
      <w:r>
        <w:rPr/>
        <w:br/>
      </w:r>
      <w:r>
        <w:rPr>
          <w:rStyle w:val="VerbatimChar"/>
        </w:rPr>
        <w:t>│  │  ├─ change.py                # pure-NumPy multi-year change / trajectory (no GDAL/QGIS)</w:t>
      </w:r>
      <w:r>
        <w:rPr/>
        <w:br/>
      </w:r>
      <w:r>
        <w:rPr>
          <w:rStyle w:val="VerbatimChar"/>
        </w:rPr>
        <w:t>│  │  ├─ sampling.py              # pure per-pixel vector sampling helpers (no GDAL/QGIS)</w:t>
      </w:r>
      <w:r>
        <w:rPr/>
        <w:br/>
      </w:r>
      <w:r>
        <w:rPr>
          <w:rStyle w:val="VerbatimChar"/>
        </w:rPr>
        <w:t>│  │  ├─ rgb.py                   # pure-NumPy PCA / band-triplet RGB reduction (no GDAL/QGIS)</w:t>
      </w:r>
      <w:r>
        <w:rPr/>
        <w:br/>
      </w:r>
      <w:r>
        <w:rPr>
          <w:rStyle w:val="VerbatimChar"/>
        </w:rPr>
        <w:t>│  │  ├─ ml.py                    # pure-NumPy ML plumbing: matrix/mask/chunked predict + CV/accuracy/class-balance (no GDAL/QGIS)</w:t>
      </w:r>
      <w:r>
        <w:rPr/>
        <w:br/>
      </w:r>
      <w:r>
        <w:rPr>
          <w:rStyle w:val="VerbatimChar"/>
        </w:rPr>
        <w:t>│  │  ├─ model_io.py              # pure save/load of a fitted estimator to .pkl, stamped + validated (no GDAL/QGIS)</w:t>
      </w:r>
      <w:r>
        <w:rPr/>
        <w:br/>
      </w:r>
      <w:r>
        <w:rPr>
          <w:rStyle w:val="VerbatimChar"/>
        </w:rPr>
        <w:t>│  │  ├─ presets.py               # pure-stdlib named starting points for RGB/similarity/cluster/change</w:t>
      </w:r>
      <w:r>
        <w:rPr/>
        <w:br/>
      </w:r>
      <w:r>
        <w:rPr>
          <w:rStyle w:val="VerbatimChar"/>
        </w:rPr>
        <w:t>│  │  ├─ report.py                 # pure-NumPy/stdlib change-report maths + HTML/CSV render (matplotlib optional for PNG/PDF)</w:t>
      </w:r>
      <w:r>
        <w:rPr/>
        <w:br/>
      </w:r>
      <w:r>
        <w:rPr>
          <w:rStyle w:val="VerbatimChar"/>
        </w:rPr>
        <w:t>│  │  ├─ intake.py                # constants, UTM-zone maths, GCS listing, persistent-cache dir (pure stdlib)</w:t>
      </w:r>
      <w:r>
        <w:rPr/>
        <w:br/>
      </w:r>
      <w:r>
        <w:rPr>
          <w:rStyle w:val="VerbatimChar"/>
        </w:rPr>
        <w:t>│  │  └─ _raster.py               # GDAL read / warp / mosaic / write (runtime only)</w:t>
      </w:r>
      <w:r>
        <w:rPr/>
        <w:br/>
      </w:r>
      <w:r>
        <w:rPr>
          <w:rStyle w:val="VerbatimChar"/>
        </w:rPr>
        <w:t>│  ├─ algorithms/                 # one module per Processing algorithm + glue</w:t>
      </w:r>
      <w:r>
        <w:rPr/>
        <w:br/>
      </w:r>
      <w:r>
        <w:rPr>
          <w:rStyle w:val="VerbatimChar"/>
        </w:rPr>
        <w:t>│  │  ├─ __init__.py              # lazy algorithm discovery (_algorithms)</w:t>
      </w:r>
      <w:r>
        <w:rPr/>
        <w:br/>
      </w:r>
      <w:r>
        <w:rPr>
          <w:rStyle w:val="VerbatimChar"/>
        </w:rPr>
        <w:t>│  │  ├─ load_embedding.py        # alphaearth:loadembedding</w:t>
      </w:r>
      <w:r>
        <w:rPr/>
        <w:br/>
      </w:r>
      <w:r>
        <w:rPr>
          <w:rStyle w:val="VerbatimChar"/>
        </w:rPr>
        <w:t>│  │  ├─ load_years.py            # alphaearth:loadyears</w:t>
      </w:r>
      <w:r>
        <w:rPr/>
        <w:br/>
      </w:r>
      <w:r>
        <w:rPr>
          <w:rStyle w:val="VerbatimChar"/>
        </w:rPr>
        <w:t>│  │  ├─ embedding_rgb.py         # alphaearth:torgb</w:t>
      </w:r>
      <w:r>
        <w:rPr/>
        <w:br/>
      </w:r>
      <w:r>
        <w:rPr>
          <w:rStyle w:val="VerbatimChar"/>
        </w:rPr>
        <w:t>│  │  ├─ similarity_search.py     # alphaearth:similarity</w:t>
      </w:r>
      <w:r>
        <w:rPr/>
        <w:br/>
      </w:r>
      <w:r>
        <w:rPr>
          <w:rStyle w:val="VerbatimChar"/>
        </w:rPr>
        <w:t>│  │  ├─ change_detection.py      # alphaearth:change</w:t>
      </w:r>
      <w:r>
        <w:rPr/>
        <w:br/>
      </w:r>
      <w:r>
        <w:rPr>
          <w:rStyle w:val="VerbatimChar"/>
        </w:rPr>
        <w:t>│  │  ├─ change_years.py          # alphaearth:changeyears (fetch ticked years + compare, no-dep)</w:t>
      </w:r>
      <w:r>
        <w:rPr/>
        <w:br/>
      </w:r>
      <w:r>
        <w:rPr>
          <w:rStyle w:val="VerbatimChar"/>
        </w:rPr>
        <w:t>│  │  ├─ change_report.py         # alphaearth:changereport (report/charts from a change raster, no-dep)</w:t>
      </w:r>
      <w:r>
        <w:rPr/>
        <w:br/>
      </w:r>
      <w:r>
        <w:rPr>
          <w:rStyle w:val="VerbatimChar"/>
        </w:rPr>
        <w:t>│  │  ├─ extract_samples.py       # alphaearth:extract</w:t>
      </w:r>
      <w:r>
        <w:rPr/>
        <w:br/>
      </w:r>
      <w:r>
        <w:rPr>
          <w:rStyle w:val="VerbatimChar"/>
        </w:rPr>
        <w:t>│  │  ├─ classify.py              # alphaearth:classify   (scikit-learn tier)</w:t>
      </w:r>
      <w:r>
        <w:rPr/>
        <w:br/>
      </w:r>
      <w:r>
        <w:rPr>
          <w:rStyle w:val="VerbatimChar"/>
        </w:rPr>
        <w:t>│  │  ├─ classify_years.py        # alphaearth:classifyyears (fetch ticked years + classify each, scikit-learn tier)</w:t>
      </w:r>
      <w:r>
        <w:rPr/>
        <w:br/>
      </w:r>
      <w:r>
        <w:rPr>
          <w:rStyle w:val="VerbatimChar"/>
        </w:rPr>
        <w:t>│  │  ├─ cluster.py               # alphaearth:cluster    (scikit-learn tier)</w:t>
      </w:r>
      <w:r>
        <w:rPr/>
        <w:br/>
      </w:r>
      <w:r>
        <w:rPr>
          <w:rStyle w:val="VerbatimChar"/>
        </w:rPr>
        <w:t>│  │  ├─ regress.py               # alphaearth:regress    (scikit-learn tier)</w:t>
      </w:r>
      <w:r>
        <w:rPr/>
        <w:br/>
      </w:r>
      <w:r>
        <w:rPr>
          <w:rStyle w:val="VerbatimChar"/>
        </w:rPr>
        <w:t>│  │  ├─ _fetch.py                # shared public-GCS fetch-by-year (single + multi-year, uses QGIS/GDAL)</w:t>
      </w:r>
      <w:r>
        <w:rPr/>
        <w:br/>
      </w:r>
      <w:r>
        <w:rPr>
          <w:rStyle w:val="VerbatimChar"/>
        </w:rPr>
        <w:t>│  │  ├─ _ml_shared.py            # shared scikit-learn-tier Processing params (LOAD/SAVE_MODEL, ACCURACY_FOLDS, REPORT, TUNE/TUNE_K)</w:t>
      </w:r>
      <w:r>
        <w:rPr/>
        <w:br/>
      </w:r>
      <w:r>
        <w:rPr>
          <w:rStyle w:val="VerbatimChar"/>
        </w:rPr>
        <w:t>│  │  ├─ _sklearn.py              # PURE scikit-learn detect + guided-install plumbing</w:t>
      </w:r>
      <w:r>
        <w:rPr/>
        <w:br/>
      </w:r>
      <w:r>
        <w:rPr>
          <w:rStyle w:val="VerbatimChar"/>
        </w:rPr>
        <w:t>│  │  ├─ _features.py             # QGIS feature → training-sample bridge (uses QGIS/GDAL)</w:t>
      </w:r>
      <w:r>
        <w:rPr/>
        <w:br/>
      </w:r>
      <w:r>
        <w:rPr>
          <w:rStyle w:val="VerbatimChar"/>
        </w:rPr>
        <w:t>│  │  ├─ _styling.py              # best-effort renderers: paletted / colour ramps (uses QGIS)</w:t>
      </w:r>
      <w:r>
        <w:rPr/>
        <w:br/>
      </w:r>
      <w:r>
        <w:rPr>
          <w:rStyle w:val="VerbatimChar"/>
        </w:rPr>
        <w:t>│  │  ├─ _qgis_io.py              # QGIS layer ⇄ core file I/O bridge (uses GDAL/QGIS)</w:t>
      </w:r>
      <w:r>
        <w:rPr/>
        <w:br/>
      </w:r>
      <w:r>
        <w:rPr>
          <w:rStyle w:val="VerbatimChar"/>
        </w:rPr>
        <w:t>│  │  ├─ _raster_source.py        # PURE source-resolution policy + VRT XML builder</w:t>
      </w:r>
      <w:r>
        <w:rPr/>
        <w:br/>
      </w:r>
      <w:r>
        <w:rPr>
          <w:rStyle w:val="VerbatimChar"/>
        </w:rPr>
        <w:t>│  │  └─ _progress.py             # PURE duck-typed feedback adapters</w:t>
      </w:r>
      <w:r>
        <w:rPr/>
        <w:br/>
      </w:r>
      <w:r>
        <w:rPr>
          <w:rStyle w:val="VerbatimChar"/>
        </w:rPr>
        <w:t>│  └─ gui/</w:t>
      </w:r>
      <w:r>
        <w:rPr/>
        <w:br/>
      </w:r>
      <w:r>
        <w:rPr>
          <w:rStyle w:val="VerbatimChar"/>
        </w:rPr>
        <w:t>│     └─ dialog.py                # guided tabbed wizard (Load/Visualise, Classify, Similarity, Change)</w:t>
      </w:r>
      <w:r>
        <w:rPr/>
        <w:br/>
      </w:r>
      <w:r>
        <w:rPr>
          <w:rStyle w:val="VerbatimChar"/>
        </w:rPr>
        <w:t>├─ tests/                         # pytest (pure core + pure policy; GDAL parity tests skip w/o GDAL)</w:t>
      </w:r>
      <w:r>
        <w:rPr/>
        <w:br/>
      </w:r>
      <w:r>
        <w:rPr>
          <w:rStyle w:val="VerbatimChar"/>
        </w:rPr>
        <w:t>├─ scripts/build_plugin_zip.py    # reproducible stdlib ZIP builder</w:t>
      </w:r>
      <w:r>
        <w:rPr/>
        <w:br/>
      </w:r>
      <w:r>
        <w:rPr>
          <w:rStyle w:val="VerbatimChar"/>
        </w:rPr>
        <w:t>├─ .github/workflows/ci.yml       # 4 gates + a QGIS/GDAL container job (3.34 LTR + latest)</w:t>
      </w:r>
      <w:r>
        <w:rPr/>
        <w:br/>
      </w:r>
      <w:r>
        <w:rPr>
          <w:rStyle w:val="VerbatimChar"/>
        </w:rPr>
        <w:t>├─ pyproject.toml                 # ruff / mypy / pytest config; dev extras</w:t>
      </w:r>
      <w:r>
        <w:rPr/>
        <w:br/>
      </w:r>
      <w:r>
        <w:rPr>
          <w:rStyle w:val="VerbatimChar"/>
        </w:rPr>
        <w:t>├─ SCOPE.md                       # full design &amp; roadmap</w:t>
      </w:r>
      <w:r>
        <w:rPr/>
        <w:br/>
      </w:r>
      <w:r>
        <w:rPr>
          <w:rStyle w:val="VerbatimChar"/>
        </w:rPr>
        <w:t>├─ README.md</w:t>
      </w:r>
      <w:r>
        <w:rPr/>
        <w:br/>
      </w:r>
      <w:r>
        <w:rPr>
          <w:rStyle w:val="VerbatimChar"/>
        </w:rPr>
        <w:t>└─ docs/                          # this documentation set</w:t>
      </w:r>
    </w:p>
    <w:p>
      <w:pPr>
        <w:pStyle w:val="Heading2"/>
        <w:rPr/>
      </w:pPr>
      <w:bookmarkStart w:id="14" w:name="__RefHeading___Toc7801_3476700982"/>
      <w:bookmarkStart w:id="15" w:name="the-import-light-boundary"/>
      <w:bookmarkEnd w:id="14"/>
      <w:r>
        <w:rPr/>
        <w:t>3. The import-light boundary</w:t>
      </w:r>
      <w:bookmarkEnd w:id="15"/>
    </w:p>
    <w:p>
      <w:pPr>
        <w:pStyle w:val="FirstParagraph"/>
        <w:rPr/>
      </w:pPr>
      <w:r>
        <w:rPr/>
        <w:t xml:space="preserve">The single most important structural rule is which modules may import </w:t>
      </w:r>
      <w:r>
        <w:rPr>
          <w:rStyle w:val="VerbatimChar"/>
        </w:rPr>
        <w:t>qgis</w:t>
      </w:r>
      <w:r>
        <w:rPr/>
        <w:t xml:space="preserve">, PyQt or </w:t>
      </w:r>
      <w:r>
        <w:rPr>
          <w:rStyle w:val="VerbatimChar"/>
        </w:rPr>
        <w:t>osgeo</w:t>
      </w:r>
      <w:r>
        <w:rPr/>
        <w:t>, and which may not. Getting this wrong breaks the CI “checks” job, which runs on a plain Ubuntu Python with no geospatial stack.</w:t>
      </w:r>
    </w:p>
    <w:p>
      <w:pPr>
        <w:pStyle w:val="BodyText"/>
        <w:rPr/>
      </w:pPr>
      <w:r>
        <w:rPr/>
        <w:t xml:space="preserve">Several modules import </w:t>
      </w:r>
      <w:r>
        <w:rPr>
          <w:b/>
        </w:rPr>
        <w:t>nothing</w:t>
      </w:r>
      <w:r>
        <w:rPr/>
        <w:t xml:space="preserve"> heavy and are therefore importable and unit-testable anywhere: </w:t>
      </w:r>
      <w:r>
        <w:rPr>
          <w:rStyle w:val="VerbatimChar"/>
        </w:rPr>
        <w:t>alphaearth_toolbox/__init__.py</w:t>
      </w:r>
      <w:r>
        <w:rPr/>
        <w:t xml:space="preserve"> (only </w:t>
      </w:r>
      <w:r>
        <w:rPr>
          <w:rStyle w:val="VerbatimChar"/>
        </w:rPr>
        <w:t>sys</w:t>
      </w:r>
      <w:r>
        <w:rPr/>
        <w:t xml:space="preserve"> and </w:t>
      </w:r>
      <w:r>
        <w:rPr>
          <w:rStyle w:val="VerbatimChar"/>
        </w:rPr>
        <w:t>typing</w:t>
      </w:r>
      <w:r>
        <w:rPr/>
        <w:t xml:space="preserve">), the pure compute cores </w:t>
      </w:r>
      <w:r>
        <w:rPr>
          <w:rStyle w:val="VerbatimChar"/>
        </w:rPr>
        <w:t>aecore/similarity.py</w:t>
      </w:r>
      <w:r>
        <w:rPr/>
        <w:t xml:space="preserve">, </w:t>
      </w:r>
      <w:r>
        <w:rPr>
          <w:rStyle w:val="VerbatimChar"/>
        </w:rPr>
        <w:t>aecore/change.py</w:t>
      </w:r>
      <w:r>
        <w:rPr/>
        <w:t xml:space="preserve">, </w:t>
      </w:r>
      <w:r>
        <w:rPr>
          <w:rStyle w:val="VerbatimChar"/>
        </w:rPr>
        <w:t>aecore/sampling.py</w:t>
      </w:r>
      <w:r>
        <w:rPr/>
        <w:t xml:space="preserve">, </w:t>
      </w:r>
      <w:r>
        <w:rPr>
          <w:rStyle w:val="VerbatimChar"/>
        </w:rPr>
        <w:t>aecore/rgb.py</w:t>
      </w:r>
      <w:r>
        <w:rPr/>
        <w:t xml:space="preserve"> and </w:t>
      </w:r>
      <w:r>
        <w:rPr>
          <w:rStyle w:val="VerbatimChar"/>
        </w:rPr>
        <w:t>aecore/ml.py</w:t>
      </w:r>
      <w:r>
        <w:rPr/>
        <w:t xml:space="preserve"> (only NumPy — </w:t>
      </w:r>
      <w:r>
        <w:rPr>
          <w:rStyle w:val="VerbatimChar"/>
        </w:rPr>
        <w:t>ml.py</w:t>
      </w:r>
      <w:r>
        <w:rPr/>
        <w:t xml:space="preserve">’s cross-validation, confusion-matrix and class-balance maths included), </w:t>
      </w:r>
      <w:r>
        <w:rPr>
          <w:rStyle w:val="VerbatimChar"/>
        </w:rPr>
        <w:t>aecore/model_io.py</w:t>
      </w:r>
      <w:r>
        <w:rPr/>
        <w:t xml:space="preserve"> (only the standard library — </w:t>
      </w:r>
      <w:r>
        <w:rPr>
          <w:rStyle w:val="VerbatimChar"/>
        </w:rPr>
        <w:t>pickle</w:t>
      </w:r>
      <w:r>
        <w:rPr/>
        <w:t xml:space="preserve"> plus a version/band stamp), </w:t>
      </w:r>
      <w:r>
        <w:rPr>
          <w:rStyle w:val="VerbatimChar"/>
        </w:rPr>
        <w:t>aecore/presets.py</w:t>
      </w:r>
      <w:r>
        <w:rPr/>
        <w:t xml:space="preserve"> (only the standard library) and </w:t>
      </w:r>
      <w:r>
        <w:rPr>
          <w:rStyle w:val="VerbatimChar"/>
        </w:rPr>
        <w:t>aecore/report.py</w:t>
      </w:r>
      <w:r>
        <w:rPr/>
        <w:t xml:space="preserve"> (only NumPy and the standard library for its maths and its HTML/CSV rendering — matplotlib is imported lazily and defensively for the optional PNG/PDF output, never at module top), </w:t>
      </w:r>
      <w:r>
        <w:rPr>
          <w:rStyle w:val="VerbatimChar"/>
        </w:rPr>
        <w:t>aecore/intake.py</w:t>
      </w:r>
      <w:r>
        <w:rPr/>
        <w:t xml:space="preserve"> (only the standard library — </w:t>
      </w:r>
      <w:r>
        <w:rPr>
          <w:rStyle w:val="VerbatimChar"/>
        </w:rPr>
        <w:t>json</w:t>
      </w:r>
      <w:r>
        <w:rPr/>
        <w:t xml:space="preserve">, </w:t>
      </w:r>
      <w:r>
        <w:rPr>
          <w:rStyle w:val="VerbatimChar"/>
        </w:rPr>
        <w:t>math</w:t>
      </w:r>
      <w:r>
        <w:rPr/>
        <w:t xml:space="preserve">, </w:t>
      </w:r>
      <w:r>
        <w:rPr>
          <w:rStyle w:val="VerbatimChar"/>
        </w:rPr>
        <w:t>urllib</w:t>
      </w:r>
      <w:r>
        <w:rPr/>
        <w:t xml:space="preserve">; </w:t>
      </w:r>
      <w:r>
        <w:rPr>
          <w:rStyle w:val="VerbatimChar"/>
        </w:rPr>
        <w:t>persistent_cache_dir</w:t>
      </w:r>
      <w:r>
        <w:rPr/>
        <w:t xml:space="preserve">’s directory logic is pure here, only the profile-path lookup is done in QGIS-facing code), </w:t>
      </w:r>
      <w:r>
        <w:rPr>
          <w:rStyle w:val="VerbatimChar"/>
        </w:rPr>
        <w:t>algorithms/_raster_source.py</w:t>
      </w:r>
      <w:r>
        <w:rPr/>
        <w:t xml:space="preserve">, </w:t>
      </w:r>
      <w:r>
        <w:rPr>
          <w:rStyle w:val="VerbatimChar"/>
        </w:rPr>
        <w:t>algorithms/_progress.py</w:t>
      </w:r>
      <w:r>
        <w:rPr/>
        <w:t xml:space="preserve"> (only </w:t>
      </w:r>
      <w:r>
        <w:rPr>
          <w:rStyle w:val="VerbatimChar"/>
        </w:rPr>
        <w:t>typing</w:t>
      </w:r>
      <w:r>
        <w:rPr/>
        <w:t xml:space="preserve"> and </w:t>
      </w:r>
      <w:r>
        <w:rPr>
          <w:rStyle w:val="VerbatimChar"/>
        </w:rPr>
        <w:t>collections.abc</w:t>
      </w:r>
      <w:r>
        <w:rPr/>
        <w:t xml:space="preserve">) and </w:t>
      </w:r>
      <w:r>
        <w:rPr>
          <w:rStyle w:val="VerbatimChar"/>
        </w:rPr>
        <w:t>algorithms/_sklearn.py</w:t>
      </w:r>
      <w:r>
        <w:rPr/>
        <w:t xml:space="preserve"> (only the standard library — scikit-learn itself is imported lazily and defensively, never at module top).</w:t>
      </w:r>
    </w:p>
    <w:p>
      <w:pPr>
        <w:pStyle w:val="BodyText"/>
        <w:rPr/>
      </w:pPr>
      <w:r>
        <w:rPr/>
        <w:t xml:space="preserve">The remaining modules do import </w:t>
      </w:r>
      <w:r>
        <w:rPr>
          <w:rStyle w:val="VerbatimChar"/>
        </w:rPr>
        <w:t>qgis</w:t>
      </w:r>
      <w:r>
        <w:rPr/>
        <w:t xml:space="preserve"> and/or </w:t>
      </w:r>
      <w:r>
        <w:rPr>
          <w:rStyle w:val="VerbatimChar"/>
        </w:rPr>
        <w:t>osgeo</w:t>
      </w:r>
      <w:r>
        <w:rPr/>
        <w:t xml:space="preserve"> and only run inside QGIS: </w:t>
      </w:r>
      <w:r>
        <w:rPr>
          <w:rStyle w:val="VerbatimChar"/>
        </w:rPr>
        <w:t>provider.py</w:t>
      </w:r>
      <w:r>
        <w:rPr/>
        <w:t xml:space="preserve">, </w:t>
      </w:r>
      <w:r>
        <w:rPr>
          <w:rStyle w:val="VerbatimChar"/>
        </w:rPr>
        <w:t>plugin.py</w:t>
      </w:r>
      <w:r>
        <w:rPr/>
        <w:t xml:space="preserve">, all twelve algorithm modules, </w:t>
      </w:r>
      <w:r>
        <w:rPr>
          <w:rStyle w:val="VerbatimChar"/>
        </w:rPr>
        <w:t>algorithms/_fetch.py</w:t>
      </w:r>
      <w:r>
        <w:rPr/>
        <w:t xml:space="preserve">, </w:t>
      </w:r>
      <w:r>
        <w:rPr>
          <w:rStyle w:val="VerbatimChar"/>
        </w:rPr>
        <w:t>algorithms/_ml_shared.py</w:t>
      </w:r>
      <w:r>
        <w:rPr/>
        <w:t xml:space="preserve"> (which declares the shared scikit-learn-tier Processing parameters), </w:t>
      </w:r>
      <w:r>
        <w:rPr>
          <w:rStyle w:val="VerbatimChar"/>
        </w:rPr>
        <w:t>algorithms/_report.py</w:t>
      </w:r>
      <w:r>
        <w:rPr/>
        <w:t xml:space="preserve"> (which declares the shared change-report Processing parameters and reads/writes them through the pure </w:t>
      </w:r>
      <w:r>
        <w:rPr>
          <w:rStyle w:val="VerbatimChar"/>
        </w:rPr>
        <w:t>aecore.report</w:t>
      </w:r>
      <w:r>
        <w:rPr/>
        <w:t xml:space="preserve">), </w:t>
      </w:r>
      <w:r>
        <w:rPr>
          <w:rStyle w:val="VerbatimChar"/>
        </w:rPr>
        <w:t>algorithms/_qgis_io.py</w:t>
      </w:r>
      <w:r>
        <w:rPr/>
        <w:t xml:space="preserve">, </w:t>
      </w:r>
      <w:r>
        <w:rPr>
          <w:rStyle w:val="VerbatimChar"/>
        </w:rPr>
        <w:t>algorithms/_features.py</w:t>
      </w:r>
      <w:r>
        <w:rPr/>
        <w:t xml:space="preserve">, </w:t>
      </w:r>
      <w:r>
        <w:rPr>
          <w:rStyle w:val="VerbatimChar"/>
        </w:rPr>
        <w:t>algorithms/_styling.py</w:t>
      </w:r>
      <w:r>
        <w:rPr/>
        <w:t xml:space="preserve">, </w:t>
      </w:r>
      <w:r>
        <w:rPr>
          <w:rStyle w:val="VerbatimChar"/>
        </w:rPr>
        <w:t>aecore/_raster.py</w:t>
      </w:r>
      <w:r>
        <w:rPr/>
        <w:t xml:space="preserve"> and </w:t>
      </w:r>
      <w:r>
        <w:rPr>
          <w:rStyle w:val="VerbatimChar"/>
        </w:rPr>
        <w:t>gui/dialog.py</w:t>
      </w:r>
      <w:r>
        <w:rPr/>
        <w:t xml:space="preserve">. Even these defer the heaviest imports. Each algorithm class imports </w:t>
      </w:r>
      <w:r>
        <w:rPr>
          <w:rStyle w:val="VerbatimChar"/>
        </w:rPr>
        <w:t>numpy</w:t>
      </w:r>
      <w:r>
        <w:rPr/>
        <w:t xml:space="preserve">, </w:t>
      </w:r>
      <w:r>
        <w:rPr>
          <w:rStyle w:val="VerbatimChar"/>
        </w:rPr>
        <w:t>osgeo.gdal</w:t>
      </w:r>
      <w:r>
        <w:rPr/>
        <w:t xml:space="preserve"> and its </w:t>
      </w:r>
      <w:r>
        <w:rPr>
          <w:rStyle w:val="VerbatimChar"/>
        </w:rPr>
        <w:t>aecore</w:t>
      </w:r>
      <w:r>
        <w:rPr/>
        <w:t xml:space="preserve"> core (and </w:t>
      </w:r>
      <w:r>
        <w:rPr>
          <w:rStyle w:val="VerbatimChar"/>
        </w:rPr>
        <w:t>_raster</w:t>
      </w:r>
      <w:r>
        <w:rPr/>
        <w:t xml:space="preserve">) </w:t>
      </w:r>
      <w:r>
        <w:rPr>
          <w:i/>
        </w:rPr>
        <w:t>inside</w:t>
      </w:r>
      <w:r>
        <w:rPr/>
        <w:t xml:space="preserve"> </w:t>
      </w:r>
      <w:r>
        <w:rPr>
          <w:rStyle w:val="VerbatimChar"/>
        </w:rPr>
        <w:t>processAlgorithm</w:t>
      </w:r>
      <w:r>
        <w:rPr/>
        <w:t>, not at module top level, so that merely discovering an algorithm never forces GDAL to load; the ML algorithms likewise import scikit-learn only once a run actually begins.</w:t>
      </w:r>
    </w:p>
    <w:p>
      <w:pPr>
        <w:pStyle w:val="BodyText"/>
        <w:rPr/>
      </w:pPr>
      <w:r>
        <w:rPr/>
        <w:t xml:space="preserve">The lazy-import discipline is deliberate and appears at every layer. </w:t>
      </w:r>
      <w:r>
        <w:rPr>
          <w:rStyle w:val="VerbatimChar"/>
        </w:rPr>
        <w:t>__init__.py</w:t>
      </w:r>
      <w:r>
        <w:rPr/>
        <w:t xml:space="preserve"> imports </w:t>
      </w:r>
      <w:r>
        <w:rPr>
          <w:rStyle w:val="VerbatimChar"/>
        </w:rPr>
        <w:t>plugin</w:t>
      </w:r>
      <w:r>
        <w:rPr/>
        <w:t xml:space="preserve"> only inside </w:t>
      </w:r>
      <w:r>
        <w:rPr>
          <w:rStyle w:val="VerbatimChar"/>
        </w:rPr>
        <w:t>classFactory</w:t>
      </w:r>
      <w:r>
        <w:rPr/>
        <w:t xml:space="preserve">. </w:t>
      </w:r>
      <w:r>
        <w:rPr>
          <w:rStyle w:val="VerbatimChar"/>
        </w:rPr>
        <w:t>plugin.py</w:t>
      </w:r>
      <w:r>
        <w:rPr/>
        <w:t xml:space="preserve"> imports the dialog only inside </w:t>
      </w:r>
      <w:r>
        <w:rPr>
          <w:rStyle w:val="VerbatimChar"/>
        </w:rPr>
        <w:t>_open_dialog</w:t>
      </w:r>
      <w:r>
        <w:rPr/>
        <w:t xml:space="preserve">. </w:t>
      </w:r>
      <w:r>
        <w:rPr>
          <w:rStyle w:val="VerbatimChar"/>
        </w:rPr>
        <w:t>algorithms/__init__.py</w:t>
      </w:r>
      <w:r>
        <w:rPr/>
        <w:t xml:space="preserve"> imports the algorithm classes only inside </w:t>
      </w:r>
      <w:r>
        <w:rPr>
          <w:rStyle w:val="VerbatimChar"/>
        </w:rPr>
        <w:t>_algorithms()</w:t>
      </w:r>
      <w:r>
        <w:rPr/>
        <w:t xml:space="preserve"> and inside a module-level </w:t>
      </w:r>
      <w:r>
        <w:rPr>
          <w:rStyle w:val="VerbatimChar"/>
        </w:rPr>
        <w:t>__getattr__</w:t>
      </w:r>
      <w:r>
        <w:rPr/>
        <w:t xml:space="preserve">, so importing the </w:t>
      </w:r>
      <w:r>
        <w:rPr>
          <w:rStyle w:val="VerbatimChar"/>
        </w:rPr>
        <w:t>algorithms</w:t>
      </w:r>
      <w:r>
        <w:rPr/>
        <w:t xml:space="preserve"> package does not pull in </w:t>
      </w:r>
      <w:r>
        <w:rPr>
          <w:rStyle w:val="VerbatimChar"/>
        </w:rPr>
        <w:t>qgis</w:t>
      </w:r>
      <w:r>
        <w:rPr/>
        <w:t>.</w:t>
      </w:r>
    </w:p>
    <w:p>
      <w:pPr>
        <w:pStyle w:val="Heading2"/>
        <w:rPr/>
      </w:pPr>
      <w:bookmarkStart w:id="16" w:name="__RefHeading___Toc7803_3476700982"/>
      <w:bookmarkStart w:id="17" w:name="how-qgis-loads-the-plugin"/>
      <w:bookmarkEnd w:id="16"/>
      <w:r>
        <w:rPr/>
        <w:t>4. How QGIS loads the plugin</w:t>
      </w:r>
      <w:bookmarkEnd w:id="17"/>
    </w:p>
    <w:p>
      <w:pPr>
        <w:pStyle w:val="FirstParagraph"/>
        <w:rPr/>
      </w:pPr>
      <w:r>
        <w:rPr/>
        <w:t xml:space="preserve">QGIS constructs the plugin by calling </w:t>
      </w:r>
      <w:r>
        <w:rPr>
          <w:rStyle w:val="VerbatimChar"/>
        </w:rPr>
        <w:t>classFactory(iface)</w:t>
      </w:r>
      <w:r>
        <w:rPr/>
        <w:t xml:space="preserve"> in </w:t>
      </w:r>
      <w:r>
        <w:rPr>
          <w:rStyle w:val="VerbatimChar"/>
        </w:rPr>
        <w:t>alphaearth_toolbox/__init__.py</w:t>
      </w:r>
      <w:r>
        <w:rPr/>
        <w:t xml:space="preserve">. Before doing anything else, </w:t>
      </w:r>
      <w:r>
        <w:rPr>
          <w:rStyle w:val="VerbatimChar"/>
        </w:rPr>
        <w:t>classFactory</w:t>
      </w:r>
      <w:r>
        <w:rPr/>
        <w:t xml:space="preserve"> checks </w:t>
      </w:r>
      <w:r>
        <w:rPr>
          <w:rStyle w:val="VerbatimChar"/>
        </w:rPr>
        <w:t>sys.version_info</w:t>
      </w:r>
      <w:r>
        <w:rPr/>
        <w:t xml:space="preserve"> against </w:t>
      </w:r>
      <w:r>
        <w:rPr>
          <w:rStyle w:val="VerbatimChar"/>
        </w:rPr>
        <w:t>_MIN_PYTHON = (3, 10)</w:t>
      </w:r>
      <w:r>
        <w:rPr/>
        <w:t xml:space="preserve"> and raises a clear </w:t>
      </w:r>
      <w:r>
        <w:rPr>
          <w:rStyle w:val="VerbatimChar"/>
        </w:rPr>
        <w:t>RuntimeError</w:t>
      </w:r>
      <w:r>
        <w:rPr/>
        <w:t xml:space="preserve"> on older interpreters, rather than letting the core fail cryptically on 3.10-only syntax (the compute core uses </w:t>
      </w:r>
      <w:r>
        <w:rPr>
          <w:rStyle w:val="VerbatimChar"/>
        </w:rPr>
        <w:t>zip(..., strict=True)</w:t>
      </w:r>
      <w:r>
        <w:rPr/>
        <w:t xml:space="preserve">). It then lazily imports and returns an </w:t>
      </w:r>
      <w:r>
        <w:rPr>
          <w:rStyle w:val="VerbatimChar"/>
        </w:rPr>
        <w:t>AlphaEarthToolboxPlugin</w:t>
      </w:r>
      <w:r>
        <w:rPr/>
        <w:t>.</w:t>
      </w:r>
    </w:p>
    <w:p>
      <w:pPr>
        <w:pStyle w:val="BodyText"/>
        <w:rPr/>
      </w:pPr>
      <w:r>
        <w:rPr>
          <w:rStyle w:val="VerbatimChar"/>
        </w:rPr>
        <w:t>AlphaEarthToolboxPlugin</w:t>
      </w:r>
      <w:r>
        <w:rPr/>
        <w:t xml:space="preserve"> (</w:t>
      </w:r>
      <w:r>
        <w:rPr>
          <w:rStyle w:val="VerbatimChar"/>
        </w:rPr>
        <w:t>plugin.py</w:t>
      </w:r>
      <w:r>
        <w:rPr/>
        <w:t xml:space="preserve">) owns two things: the Processing provider and one GUI action. </w:t>
      </w:r>
      <w:r>
        <w:rPr>
          <w:rStyle w:val="VerbatimChar"/>
        </w:rPr>
        <w:t>initProcessing()</w:t>
      </w:r>
      <w:r>
        <w:rPr/>
        <w:t xml:space="preserve"> creates an </w:t>
      </w:r>
      <w:r>
        <w:rPr>
          <w:rStyle w:val="VerbatimChar"/>
        </w:rPr>
        <w:t>AlphaEarthProvider</w:t>
      </w:r>
      <w:r>
        <w:rPr/>
        <w:t xml:space="preserve"> and adds it to </w:t>
      </w:r>
      <w:r>
        <w:rPr>
          <w:rStyle w:val="VerbatimChar"/>
        </w:rPr>
        <w:t>QgsApplication.processingRegistry()</w:t>
      </w:r>
      <w:r>
        <w:rPr/>
        <w:t xml:space="preserve">. </w:t>
      </w:r>
      <w:r>
        <w:rPr>
          <w:rStyle w:val="VerbatimChar"/>
        </w:rPr>
        <w:t>initGui()</w:t>
      </w:r>
      <w:r>
        <w:rPr/>
        <w:t xml:space="preserve"> calls </w:t>
      </w:r>
      <w:r>
        <w:rPr>
          <w:rStyle w:val="VerbatimChar"/>
        </w:rPr>
        <w:t>initProcessing()</w:t>
      </w:r>
      <w:r>
        <w:rPr/>
        <w:t xml:space="preserve"> and then adds a single toolbar/menu action that opens the wizard dialog. </w:t>
      </w:r>
      <w:r>
        <w:rPr>
          <w:rStyle w:val="VerbatimChar"/>
        </w:rPr>
        <w:t>unload()</w:t>
      </w:r>
      <w:r>
        <w:rPr/>
        <w:t xml:space="preserve"> removes both the provider and the action, so the plugin unloads cleanly. Because </w:t>
      </w:r>
      <w:r>
        <w:rPr>
          <w:rStyle w:val="VerbatimChar"/>
        </w:rPr>
        <w:t>initProcessing()</w:t>
      </w:r>
      <w:r>
        <w:rPr/>
        <w:t xml:space="preserve"> is separate, a headless QGIS (Processing only, no GUI) gets the algorithms without ever constructing a Qt widget.</w:t>
      </w:r>
    </w:p>
    <w:p>
      <w:pPr>
        <w:pStyle w:val="BodyText"/>
        <w:rPr/>
      </w:pPr>
      <w:r>
        <w:rPr>
          <w:rStyle w:val="VerbatimChar"/>
        </w:rPr>
        <w:t>AlphaEarthProvider</w:t>
      </w:r>
      <w:r>
        <w:rPr/>
        <w:t xml:space="preserve"> (</w:t>
      </w:r>
      <w:r>
        <w:rPr>
          <w:rStyle w:val="VerbatimChar"/>
        </w:rPr>
        <w:t>provider.py</w:t>
      </w:r>
      <w:r>
        <w:rPr/>
        <w:t>) is intentionally thin. It advertises its identity (</w:t>
      </w:r>
      <w:r>
        <w:rPr>
          <w:rStyle w:val="VerbatimChar"/>
        </w:rPr>
        <w:t>id() == "alphaearth"</w:t>
      </w:r>
      <w:r>
        <w:rPr/>
        <w:t xml:space="preserve">, which prefixes every algorithm id such as </w:t>
      </w:r>
      <w:r>
        <w:rPr>
          <w:rStyle w:val="VerbatimChar"/>
        </w:rPr>
        <w:t>alphaearth:similarity</w:t>
      </w:r>
      <w:r>
        <w:rPr/>
        <w:t xml:space="preserve">), its display names and its icon, and </w:t>
      </w:r>
      <w:r>
        <w:rPr>
          <w:rStyle w:val="VerbatimChar"/>
        </w:rPr>
        <w:t>loadAlgorithms()</w:t>
      </w:r>
      <w:r>
        <w:rPr/>
        <w:t xml:space="preserve"> registers each instance returned by </w:t>
      </w:r>
      <w:r>
        <w:rPr>
          <w:rStyle w:val="VerbatimChar"/>
        </w:rPr>
        <w:t>algorithms._algorithms()</w:t>
      </w:r>
      <w:r>
        <w:rPr/>
        <w:t xml:space="preserve">. That function returns fresh </w:t>
      </w:r>
      <w:r>
        <w:rPr>
          <w:rStyle w:val="VerbatimChar"/>
        </w:rPr>
        <w:t>LoadEmbeddingAlgorithm</w:t>
      </w:r>
      <w:r>
        <w:rPr/>
        <w:t xml:space="preserve">, </w:t>
      </w:r>
      <w:r>
        <w:rPr>
          <w:rStyle w:val="VerbatimChar"/>
        </w:rPr>
        <w:t>LoadYearsAlgorithm</w:t>
      </w:r>
      <w:r>
        <w:rPr/>
        <w:t xml:space="preserve">, </w:t>
      </w:r>
      <w:r>
        <w:rPr>
          <w:rStyle w:val="VerbatimChar"/>
        </w:rPr>
        <w:t>EmbeddingToRgbAlgorithm</w:t>
      </w:r>
      <w:r>
        <w:rPr/>
        <w:t xml:space="preserve">, </w:t>
      </w:r>
      <w:r>
        <w:rPr>
          <w:rStyle w:val="VerbatimChar"/>
        </w:rPr>
        <w:t>SimilaritySearchAlgorithm</w:t>
      </w:r>
      <w:r>
        <w:rPr/>
        <w:t xml:space="preserve">, </w:t>
      </w:r>
      <w:r>
        <w:rPr>
          <w:rStyle w:val="VerbatimChar"/>
        </w:rPr>
        <w:t>ChangeDetectionAlgorithm</w:t>
      </w:r>
      <w:r>
        <w:rPr/>
        <w:t xml:space="preserve">, </w:t>
      </w:r>
      <w:r>
        <w:rPr>
          <w:rStyle w:val="VerbatimChar"/>
        </w:rPr>
        <w:t>ChangeOverYearsAlgorithm</w:t>
      </w:r>
      <w:r>
        <w:rPr/>
        <w:t xml:space="preserve">, </w:t>
      </w:r>
      <w:r>
        <w:rPr>
          <w:rStyle w:val="VerbatimChar"/>
        </w:rPr>
        <w:t>ChangeReportAlgorithm</w:t>
      </w:r>
      <w:r>
        <w:rPr/>
        <w:t xml:space="preserve">, </w:t>
      </w:r>
      <w:r>
        <w:rPr>
          <w:rStyle w:val="VerbatimChar"/>
        </w:rPr>
        <w:t>ExtractSamplesAlgorithm</w:t>
      </w:r>
      <w:r>
        <w:rPr/>
        <w:t xml:space="preserve">, </w:t>
      </w:r>
      <w:r>
        <w:rPr>
          <w:rStyle w:val="VerbatimChar"/>
        </w:rPr>
        <w:t>ClassifyEmbeddingAlgorithm</w:t>
      </w:r>
      <w:r>
        <w:rPr/>
        <w:t xml:space="preserve">, </w:t>
      </w:r>
      <w:r>
        <w:rPr>
          <w:rStyle w:val="VerbatimChar"/>
        </w:rPr>
        <w:t>ClassifyOverYearsAlgorithm</w:t>
      </w:r>
      <w:r>
        <w:rPr/>
        <w:t xml:space="preserve">, </w:t>
      </w:r>
      <w:r>
        <w:rPr>
          <w:rStyle w:val="VerbatimChar"/>
        </w:rPr>
        <w:t>ClusterEmbeddingAlgorithm</w:t>
      </w:r>
      <w:r>
        <w:rPr/>
        <w:t xml:space="preserve"> and </w:t>
      </w:r>
      <w:r>
        <w:rPr>
          <w:rStyle w:val="VerbatimChar"/>
        </w:rPr>
        <w:t>RegressEmbeddingAlgorithm</w:t>
      </w:r>
      <w:r>
        <w:rPr/>
        <w:t xml:space="preserve"> instances — twelve in all — importing them lazily so registration does not drag in GDAL or scikit-learn.</w:t>
      </w:r>
    </w:p>
    <w:p>
      <w:pPr>
        <w:pStyle w:val="Heading2"/>
        <w:rPr/>
      </w:pPr>
      <w:bookmarkStart w:id="18" w:name="__RefHeading___Toc7805_3476700982"/>
      <w:bookmarkStart w:id="19" w:name="anatomy-of-an-algorithm"/>
      <w:bookmarkEnd w:id="18"/>
      <w:r>
        <w:rPr/>
        <w:t>5. Anatomy of an algorithm</w:t>
      </w:r>
      <w:bookmarkEnd w:id="19"/>
    </w:p>
    <w:p>
      <w:pPr>
        <w:pStyle w:val="FirstParagraph"/>
        <w:rPr/>
      </w:pPr>
      <w:r>
        <w:rPr/>
        <w:t xml:space="preserve">All twelve algorithms are standard </w:t>
      </w:r>
      <w:r>
        <w:rPr>
          <w:rStyle w:val="VerbatimChar"/>
        </w:rPr>
        <w:t>QgsProcessingAlgorithm</w:t>
      </w:r>
      <w:r>
        <w:rPr/>
        <w:t xml:space="preserve"> subclasses, which is what makes them runnable from the toolbox dialog, headless via </w:t>
      </w:r>
      <w:r>
        <w:rPr>
          <w:rStyle w:val="VerbatimChar"/>
        </w:rPr>
        <w:t>processing.run</w:t>
      </w:r>
      <w:r>
        <w:rPr/>
        <w:t xml:space="preserve">, in batch, and in the Graphical Modeler. Each declares </w:t>
      </w:r>
      <w:r>
        <w:rPr>
          <w:rStyle w:val="VerbatimChar"/>
        </w:rPr>
        <w:t>name</w:t>
      </w:r>
      <w:r>
        <w:rPr/>
        <w:t xml:space="preserve">, </w:t>
      </w:r>
      <w:r>
        <w:rPr>
          <w:rStyle w:val="VerbatimChar"/>
        </w:rPr>
        <w:t>displayName</w:t>
      </w:r>
      <w:r>
        <w:rPr/>
        <w:t xml:space="preserve">, </w:t>
      </w:r>
      <w:r>
        <w:rPr>
          <w:rStyle w:val="VerbatimChar"/>
        </w:rPr>
        <w:t>group</w:t>
      </w:r>
      <w:r>
        <w:rPr/>
        <w:t>/</w:t>
      </w:r>
      <w:r>
        <w:rPr>
          <w:rStyle w:val="VerbatimChar"/>
        </w:rPr>
        <w:t>groupId</w:t>
      </w:r>
      <w:r>
        <w:rPr/>
        <w:t xml:space="preserve"> (“AlphaEarth”), a </w:t>
      </w:r>
      <w:r>
        <w:rPr>
          <w:rStyle w:val="VerbatimChar"/>
        </w:rPr>
        <w:t>shortHelpString</w:t>
      </w:r>
      <w:r>
        <w:rPr/>
        <w:t xml:space="preserve"> that ends with the required CC BY 4.0 attribution string, </w:t>
      </w:r>
      <w:r>
        <w:rPr>
          <w:rStyle w:val="VerbatimChar"/>
        </w:rPr>
        <w:t>initAlgorithm</w:t>
      </w:r>
      <w:r>
        <w:rPr/>
        <w:t xml:space="preserve"> (which declares typed parameters), and </w:t>
      </w:r>
      <w:r>
        <w:rPr>
          <w:rStyle w:val="VerbatimChar"/>
        </w:rPr>
        <w:t>processAlgorithm</w:t>
      </w:r>
      <w:r>
        <w:rPr/>
        <w:t xml:space="preserve"> (the work).</w:t>
      </w:r>
    </w:p>
    <w:p>
      <w:pPr>
        <w:pStyle w:val="BodyText"/>
        <w:rPr/>
      </w:pPr>
      <w:r>
        <w:rPr/>
        <w:t>The three raster-producing algorithms follow the same shape. Parameters are read through the typed accessors (</w:t>
      </w:r>
      <w:r>
        <w:rPr>
          <w:rStyle w:val="VerbatimChar"/>
        </w:rPr>
        <w:t>parameterAsCrs</w:t>
      </w:r>
      <w:r>
        <w:rPr/>
        <w:t xml:space="preserve">, </w:t>
      </w:r>
      <w:r>
        <w:rPr>
          <w:rStyle w:val="VerbatimChar"/>
        </w:rPr>
        <w:t>parameterAsExtent</w:t>
      </w:r>
      <w:r>
        <w:rPr/>
        <w:t xml:space="preserve">, </w:t>
      </w:r>
      <w:r>
        <w:rPr>
          <w:rStyle w:val="VerbatimChar"/>
        </w:rPr>
        <w:t>parameterAsSource</w:t>
      </w:r>
      <w:r>
        <w:rPr/>
        <w:t xml:space="preserve">, </w:t>
      </w:r>
      <w:r>
        <w:rPr>
          <w:rStyle w:val="VerbatimChar"/>
        </w:rPr>
        <w:t>parameterAsLayerList</w:t>
      </w:r>
      <w:r>
        <w:rPr/>
        <w:t xml:space="preserve">, and so on). A QGIS raster layer input is turned into a path the compute core can open by </w:t>
      </w:r>
      <w:r>
        <w:rPr>
          <w:rStyle w:val="VerbatimChar"/>
        </w:rPr>
        <w:t>raster_source_path</w:t>
      </w:r>
      <w:r>
        <w:rPr/>
        <w:t xml:space="preserve"> (see §7). The heavy work is delegated to the compute core (</w:t>
      </w:r>
      <w:r>
        <w:rPr>
          <w:rStyle w:val="VerbatimChar"/>
        </w:rPr>
        <w:t>aecore.similarity</w:t>
      </w:r>
      <w:r>
        <w:rPr/>
        <w:t xml:space="preserve"> or </w:t>
      </w:r>
      <w:r>
        <w:rPr>
          <w:rStyle w:val="VerbatimChar"/>
        </w:rPr>
        <w:t>aecore.change</w:t>
      </w:r>
      <w:r>
        <w:rPr/>
        <w:t xml:space="preserve"> for the maths, </w:t>
      </w:r>
      <w:r>
        <w:rPr>
          <w:rStyle w:val="VerbatimChar"/>
        </w:rPr>
        <w:t>aecore._raster</w:t>
      </w:r>
      <w:r>
        <w:rPr/>
        <w:t xml:space="preserve"> for the pixels). Progress and status are reported through the duck-typed adapters in </w:t>
      </w:r>
      <w:r>
        <w:rPr>
          <w:rStyle w:val="VerbatimChar"/>
        </w:rPr>
        <w:t>_progress.py</w:t>
      </w:r>
      <w:r>
        <w:rPr/>
        <w:t xml:space="preserve">, and cancellation is honoured by checking </w:t>
      </w:r>
      <w:r>
        <w:rPr>
          <w:rStyle w:val="VerbatimChar"/>
        </w:rPr>
        <w:t>feedback.isCanceled()</w:t>
      </w:r>
      <w:r>
        <w:rPr/>
        <w:t xml:space="preserve"> at loop boundaries. Outputs are written to a temporary GeoTIFF and then mirrored into the user’s chosen Processing destination by </w:t>
      </w:r>
      <w:r>
        <w:rPr>
          <w:rStyle w:val="VerbatimChar"/>
        </w:rPr>
        <w:t>export_raster</w:t>
      </w:r>
      <w:r>
        <w:rPr/>
        <w:t xml:space="preserve">, with the scratch directory cleaned up in a </w:t>
      </w:r>
      <w:r>
        <w:rPr>
          <w:rStyle w:val="VerbatimChar"/>
        </w:rPr>
        <w:t>finally</w:t>
      </w:r>
      <w:r>
        <w:rPr/>
        <w:t xml:space="preserve"> block. Both </w:t>
      </w:r>
      <w:r>
        <w:rPr>
          <w:rStyle w:val="VerbatimChar"/>
        </w:rPr>
        <w:t>SimilaritySearchAlgorithm</w:t>
      </w:r>
      <w:r>
        <w:rPr/>
        <w:t xml:space="preserve"> and </w:t>
      </w:r>
      <w:r>
        <w:rPr>
          <w:rStyle w:val="VerbatimChar"/>
        </w:rPr>
        <w:t>ChangeDetectionAlgorithm</w:t>
      </w:r>
      <w:r>
        <w:rPr/>
        <w:t xml:space="preserve"> implement </w:t>
      </w:r>
      <w:r>
        <w:rPr>
          <w:rStyle w:val="VerbatimChar"/>
        </w:rPr>
        <w:t>postProcessAlgorithm</w:t>
      </w:r>
      <w:r>
        <w:rPr/>
        <w:t xml:space="preserve"> to apply a best-effort blue-to-red pseudocolour style once the raster is a real map layer. </w:t>
      </w:r>
      <w:r>
        <w:rPr>
          <w:rStyle w:val="VerbatimChar"/>
        </w:rPr>
        <w:t>ChangeDetectionAlgorithm</w:t>
      </w:r>
      <w:r>
        <w:rPr/>
        <w:t xml:space="preserve"> additionally reads </w:t>
      </w:r>
      <w:r>
        <w:rPr>
          <w:i/>
        </w:rPr>
        <w:t>two or more</w:t>
      </w:r>
      <w:r>
        <w:rPr/>
        <w:t xml:space="preserve"> rasters (via </w:t>
      </w:r>
      <w:r>
        <w:rPr>
          <w:rStyle w:val="VerbatimChar"/>
        </w:rPr>
        <w:t>parameterAsLayerList</w:t>
      </w:r>
      <w:r>
        <w:rPr/>
        <w:t>) and verifies that every input shares one grid — matching shape and geotransform within a small tolerance — before comparing pixel-for-pixel.</w:t>
      </w:r>
    </w:p>
    <w:p>
      <w:pPr>
        <w:pStyle w:val="BodyText"/>
        <w:rPr/>
      </w:pPr>
      <w:r>
        <w:rPr>
          <w:rStyle w:val="VerbatimChar"/>
        </w:rPr>
        <w:t>ChangeOverYearsAlgorithm</w:t>
      </w:r>
      <w:r>
        <w:rPr/>
        <w:t xml:space="preserve"> (</w:t>
      </w:r>
      <w:r>
        <w:rPr>
          <w:rStyle w:val="VerbatimChar"/>
        </w:rPr>
        <w:t>change_years.py</w:t>
      </w:r>
      <w:r>
        <w:rPr/>
        <w:t xml:space="preserve">, id </w:t>
      </w:r>
      <w:r>
        <w:rPr>
          <w:rStyle w:val="VerbatimChar"/>
        </w:rPr>
        <w:t>alphaearth:changeyears</w:t>
      </w:r>
      <w:r>
        <w:rPr/>
        <w:t xml:space="preserve">) folds </w:t>
      </w:r>
      <w:r>
        <w:rPr>
          <w:i/>
        </w:rPr>
        <w:t>Load embeddings (multiple years)</w:t>
      </w:r>
      <w:r>
        <w:rPr/>
        <w:t xml:space="preserve"> and </w:t>
      </w:r>
      <w:r>
        <w:rPr>
          <w:i/>
        </w:rPr>
        <w:t>Change / trajectory</w:t>
      </w:r>
      <w:r>
        <w:rPr/>
        <w:t xml:space="preserve"> into one no-dependency step. The user ticks two or more years and sets a single area of interest, target CRS and resolution; the algorithm sizes the snapped grid once and fetches every ticked year onto that same grid in one pass through the shared </w:t>
      </w:r>
      <w:r>
        <w:rPr>
          <w:rStyle w:val="VerbatimChar"/>
        </w:rPr>
        <w:t>_fetch.fetch_year_cube</w:t>
      </w:r>
      <w:r>
        <w:rPr/>
        <w:t xml:space="preserve"> — so the years are inherently pixel-aligned and there is no alignment check that can fail. It then applies exactly the same </w:t>
      </w:r>
      <w:r>
        <w:rPr>
          <w:rStyle w:val="VerbatimChar"/>
        </w:rPr>
        <w:t>aecore.change</w:t>
      </w:r>
      <w:r>
        <w:rPr/>
        <w:t xml:space="preserve"> </w:t>
      </w:r>
      <w:r>
        <w:rPr>
          <w:rStyle w:val="VerbatimChar"/>
        </w:rPr>
        <w:t>compute_change</w:t>
      </w:r>
      <w:r>
        <w:rPr/>
        <w:t xml:space="preserve"> dispatch as the raster-based </w:t>
      </w:r>
      <w:r>
        <w:rPr>
          <w:i/>
        </w:rPr>
        <w:t>Change / trajectory</w:t>
      </w:r>
      <w:r>
        <w:rPr/>
        <w:t xml:space="preserve"> (a change mode of pairwise, trajectory magnitude or anomaly vs baseline, and a cosine or Euclidean metric), writing the single-band change raster directly, and can optionally also save the fetched per-year cubes to a folder. Because it reuses </w:t>
      </w:r>
      <w:r>
        <w:rPr>
          <w:rStyle w:val="VerbatimChar"/>
        </w:rPr>
        <w:t>fetch_year_cube</w:t>
      </w:r>
      <w:r>
        <w:rPr/>
        <w:t xml:space="preserve"> and </w:t>
      </w:r>
      <w:r>
        <w:rPr>
          <w:rStyle w:val="VerbatimChar"/>
        </w:rPr>
        <w:t>compute_change</w:t>
      </w:r>
      <w:r>
        <w:rPr/>
        <w:t xml:space="preserve"> rather than reimplementing them, its fetch and its maths cannot drift from the loaders and from </w:t>
      </w:r>
      <w:r>
        <w:rPr>
          <w:i/>
        </w:rPr>
        <w:t>Change / trajectory</w:t>
      </w:r>
      <w:r>
        <w:rPr/>
        <w:t>.</w:t>
      </w:r>
    </w:p>
    <w:p>
      <w:pPr>
        <w:pStyle w:val="BodyText"/>
        <w:rPr/>
      </w:pPr>
      <w:r>
        <w:rPr>
          <w:rStyle w:val="VerbatimChar"/>
        </w:rPr>
        <w:t>ChangeReportAlgorithm</w:t>
      </w:r>
      <w:r>
        <w:rPr/>
        <w:t xml:space="preserve"> (</w:t>
      </w:r>
      <w:r>
        <w:rPr>
          <w:rStyle w:val="VerbatimChar"/>
        </w:rPr>
        <w:t>change_report.py</w:t>
      </w:r>
      <w:r>
        <w:rPr/>
        <w:t xml:space="preserve">, id </w:t>
      </w:r>
      <w:r>
        <w:rPr>
          <w:rStyle w:val="VerbatimChar"/>
        </w:rPr>
        <w:t>alphaearth:changereport</w:t>
      </w:r>
      <w:r>
        <w:rPr/>
        <w:t xml:space="preserve">) is the one algorithm whose output is neither a raster nor a vector layer but a </w:t>
      </w:r>
      <w:r>
        <w:rPr>
          <w:i/>
        </w:rPr>
        <w:t>report</w:t>
      </w:r>
      <w:r>
        <w:rPr/>
        <w:t xml:space="preserve">. It reads one single-band change raster (a chosen band, no-data mapped to NaN), optionally a list of change rasters “over time” and optionally an embedding raster for a scatter, and turns them into any combination of an HTML page, a PNG, a CSV and a PDF. All the maths and the HTML/CSV rendering live in the pure </w:t>
      </w:r>
      <w:r>
        <w:rPr>
          <w:rStyle w:val="VerbatimChar"/>
        </w:rPr>
        <w:t>aecore.report</w:t>
      </w:r>
      <w:r>
        <w:rPr/>
        <w:t xml:space="preserve"> core — </w:t>
      </w:r>
      <w:r>
        <w:rPr>
          <w:rStyle w:val="VerbatimChar"/>
        </w:rPr>
        <w:t>finite_values</w:t>
      </w:r>
      <w:r>
        <w:rPr/>
        <w:t xml:space="preserve">, </w:t>
      </w:r>
      <w:r>
        <w:rPr>
          <w:rStyle w:val="VerbatimChar"/>
        </w:rPr>
        <w:t>summarise</w:t>
      </w:r>
      <w:r>
        <w:rPr/>
        <w:t xml:space="preserve">, </w:t>
      </w:r>
      <w:r>
        <w:rPr>
          <w:rStyle w:val="VerbatimChar"/>
        </w:rPr>
        <w:t>histogram</w:t>
      </w:r>
      <w:r>
        <w:rPr/>
        <w:t xml:space="preserve">, </w:t>
      </w:r>
      <w:r>
        <w:rPr>
          <w:rStyle w:val="VerbatimChar"/>
        </w:rPr>
        <w:t>area_fractions</w:t>
      </w:r>
      <w:r>
        <w:rPr/>
        <w:t xml:space="preserve">, </w:t>
      </w:r>
      <w:r>
        <w:rPr>
          <w:rStyle w:val="VerbatimChar"/>
        </w:rPr>
        <w:t>series_points</w:t>
      </w:r>
      <w:r>
        <w:rPr/>
        <w:t xml:space="preserve"> and </w:t>
      </w:r>
      <w:r>
        <w:rPr>
          <w:rStyle w:val="VerbatimChar"/>
        </w:rPr>
        <w:t>scatter_sample</w:t>
      </w:r>
      <w:r>
        <w:rPr/>
        <w:t xml:space="preserve"> build a </w:t>
      </w:r>
      <w:r>
        <w:rPr>
          <w:rStyle w:val="VerbatimChar"/>
        </w:rPr>
        <w:t>ReportModel</w:t>
      </w:r>
      <w:r>
        <w:rPr/>
        <w:t xml:space="preserve">, and </w:t>
      </w:r>
      <w:r>
        <w:rPr>
          <w:rStyle w:val="VerbatimChar"/>
        </w:rPr>
        <w:t>render_html</w:t>
      </w:r>
      <w:r>
        <w:rPr/>
        <w:t xml:space="preserve"> (standalone page, inline SVG charts, everything escaped) and </w:t>
      </w:r>
      <w:r>
        <w:rPr>
          <w:rStyle w:val="VerbatimChar"/>
        </w:rPr>
        <w:t>render_csv</w:t>
      </w:r>
      <w:r>
        <w:rPr/>
        <w:t xml:space="preserve"> emit the dependency-free formats; </w:t>
      </w:r>
      <w:r>
        <w:rPr>
          <w:rStyle w:val="VerbatimChar"/>
        </w:rPr>
        <w:t>render_png</w:t>
      </w:r>
      <w:r>
        <w:rPr/>
        <w:t>/</w:t>
      </w:r>
      <w:r>
        <w:rPr>
          <w:rStyle w:val="VerbatimChar"/>
        </w:rPr>
        <w:t>render_pdf</w:t>
      </w:r>
      <w:r>
        <w:rPr/>
        <w:t xml:space="preserve"> use matplotlib only when </w:t>
      </w:r>
      <w:r>
        <w:rPr>
          <w:rStyle w:val="VerbatimChar"/>
        </w:rPr>
        <w:t>matplotlib_available()</w:t>
      </w:r>
      <w:r>
        <w:rPr/>
        <w:t xml:space="preserve"> is true and are otherwise skipped with a message, never a run failure, exactly like the scikit-learn tier’s optional dependency. The Processing parameter plumbing (the four output-path parameters, the content tick-list, the scatter-band number, and the </w:t>
      </w:r>
      <w:r>
        <w:rPr>
          <w:rStyle w:val="VerbatimChar"/>
        </w:rPr>
        <w:t>read_request</w:t>
      </w:r>
      <w:r>
        <w:rPr/>
        <w:t xml:space="preserve"> / </w:t>
      </w:r>
      <w:r>
        <w:rPr>
          <w:rStyle w:val="VerbatimChar"/>
        </w:rPr>
        <w:t>build_and_write</w:t>
      </w:r>
      <w:r>
        <w:rPr/>
        <w:t xml:space="preserve"> helpers plus </w:t>
      </w:r>
      <w:r>
        <w:rPr>
          <w:rStyle w:val="VerbatimChar"/>
        </w:rPr>
        <w:t>pixel_area_m2</w:t>
      </w:r>
      <w:r>
        <w:rPr/>
        <w:t xml:space="preserve"> and </w:t>
      </w:r>
      <w:r>
        <w:rPr>
          <w:rStyle w:val="VerbatimChar"/>
        </w:rPr>
        <w:t>scatter_from_band</w:t>
      </w:r>
      <w:r>
        <w:rPr/>
        <w:t xml:space="preserve">) is declared once in </w:t>
      </w:r>
      <w:r>
        <w:rPr>
          <w:rStyle w:val="VerbatimChar"/>
        </w:rPr>
        <w:t>algorithms/_report.py</w:t>
      </w:r>
      <w:r>
        <w:rPr/>
        <w:t xml:space="preserve">, so the standalone algorithm and the report wired into both </w:t>
      </w:r>
      <w:r>
        <w:rPr>
          <w:i/>
        </w:rPr>
        <w:t>Change</w:t>
      </w:r>
      <w:r>
        <w:rPr/>
        <w:t xml:space="preserve"> algorithms share one source of truth and cannot drift.</w:t>
      </w:r>
    </w:p>
    <w:p>
      <w:pPr>
        <w:pStyle w:val="BodyText"/>
        <w:rPr/>
      </w:pPr>
      <w:r>
        <w:rPr/>
        <w:t xml:space="preserve">The report is also offered as an opt-in extra on </w:t>
      </w:r>
      <w:r>
        <w:rPr>
          <w:rStyle w:val="VerbatimChar"/>
        </w:rPr>
        <w:t>ChangeDetectionAlgorithm</w:t>
      </w:r>
      <w:r>
        <w:rPr/>
        <w:t xml:space="preserve"> and </w:t>
      </w:r>
      <w:r>
        <w:rPr>
          <w:rStyle w:val="VerbatimChar"/>
        </w:rPr>
        <w:t>ChangeOverYearsAlgorithm</w:t>
      </w:r>
      <w:r>
        <w:rPr/>
        <w:t xml:space="preserve">: </w:t>
      </w:r>
      <w:r>
        <w:rPr>
          <w:rStyle w:val="VerbatimChar"/>
        </w:rPr>
        <w:t>_report.add_report_parameters(self, advanced=True)</w:t>
      </w:r>
      <w:r>
        <w:rPr/>
        <w:t xml:space="preserve"> adds the same four output paths and content controls as advanced parameters, so an existing change run is unchanged unless the user sets a report path. When one is set, the change algorithm feeds its own computed magnitudes to the same </w:t>
      </w:r>
      <w:r>
        <w:rPr>
          <w:rStyle w:val="VerbatimChar"/>
        </w:rPr>
        <w:t>_report.build_and_write</w:t>
      </w:r>
      <w:r>
        <w:rPr/>
        <w:t xml:space="preserve"> — its over-time series taken from the consecutive-year pairs and its scatter plotted against the most recent year — so the report matches the raster exactly.</w:t>
      </w:r>
    </w:p>
    <w:p>
      <w:pPr>
        <w:pStyle w:val="BodyText"/>
        <w:rPr/>
      </w:pPr>
      <w:r>
        <w:rPr>
          <w:rStyle w:val="VerbatimChar"/>
        </w:rPr>
        <w:t>ExtractSamplesAlgorithm</w:t>
      </w:r>
      <w:r>
        <w:rPr/>
        <w:t xml:space="preserve"> is the one vector-producing algorithm and so diverges: it reads one embedding raster and a </w:t>
      </w:r>
      <w:r>
        <w:rPr>
          <w:rStyle w:val="VerbatimChar"/>
        </w:rPr>
        <w:t>QgsProcessingFeatureSource</w:t>
      </w:r>
      <w:r>
        <w:rPr/>
        <w:t xml:space="preserve">, builds an output field list (the source fields plus pixel metadata and one column per band) and writes a </w:t>
      </w:r>
      <w:r>
        <w:rPr>
          <w:rStyle w:val="VerbatimChar"/>
        </w:rPr>
        <w:t>QgsProcessingFeatureSink</w:t>
      </w:r>
      <w:r>
        <w:rPr/>
        <w:t xml:space="preserve"> of points rather than a raster. Its per-pixel sampling maths lives in the pure </w:t>
      </w:r>
      <w:r>
        <w:rPr>
          <w:rStyle w:val="VerbatimChar"/>
        </w:rPr>
        <w:t>aecore.sampling</w:t>
      </w:r>
      <w:r>
        <w:rPr/>
        <w:t xml:space="preserve"> core; the GDAL parts are limited to reading the embedding cube and its georeferencing.</w:t>
      </w:r>
    </w:p>
    <w:p>
      <w:pPr>
        <w:pStyle w:val="BodyText"/>
        <w:rPr/>
      </w:pPr>
      <w:r>
        <w:rPr>
          <w:rStyle w:val="VerbatimChar"/>
        </w:rPr>
        <w:t>EmbeddingToRgbAlgorithm</w:t>
      </w:r>
      <w:r>
        <w:rPr/>
        <w:t xml:space="preserve"> follows the raster shape but needs no seeds: it reads one embedding cube, reduces its 64 bands to three via the pure </w:t>
      </w:r>
      <w:r>
        <w:rPr>
          <w:rStyle w:val="VerbatimChar"/>
        </w:rPr>
        <w:t>aecore.rgb</w:t>
      </w:r>
      <w:r>
        <w:rPr/>
        <w:t xml:space="preserve"> core (top-3 PCA fitted on a pixel subsample, or a user-chosen band triplet) with a percentile contrast stretch, and writes a 3-band </w:t>
      </w:r>
      <w:r>
        <w:rPr>
          <w:rStyle w:val="VerbatimChar"/>
        </w:rPr>
        <w:t>uint8</w:t>
      </w:r>
      <w:r>
        <w:rPr/>
        <w:t xml:space="preserve"> RGB GeoTIFF. It is in the no-dependency tier — PCA here is a small NumPy SVD, not scikit-learn.</w:t>
      </w:r>
    </w:p>
    <w:p>
      <w:pPr>
        <w:pStyle w:val="BodyText"/>
        <w:rPr/>
      </w:pPr>
      <w:r>
        <w:rPr>
          <w:rStyle w:val="VerbatimChar"/>
        </w:rPr>
        <w:t>LoadEmbeddingAlgorithm</w:t>
      </w:r>
      <w:r>
        <w:rPr/>
        <w:t xml:space="preserve"> and </w:t>
      </w:r>
      <w:r>
        <w:rPr>
          <w:rStyle w:val="VerbatimChar"/>
        </w:rPr>
        <w:t>LoadYearsAlgorithm</w:t>
      </w:r>
      <w:r>
        <w:rPr/>
        <w:t xml:space="preserve"> share the public-GCS fetch-by-year path. Rather than duplicate ~250 lines of tile discovery, scene-grouped culling, mosaicking and de-quantisation, that logic lives once in </w:t>
      </w:r>
      <w:r>
        <w:rPr>
          <w:rStyle w:val="VerbatimChar"/>
        </w:rPr>
        <w:t>algorithms/_fetch.py</w:t>
      </w:r>
      <w:r>
        <w:rPr/>
        <w:t xml:space="preserve">: </w:t>
      </w:r>
      <w:r>
        <w:rPr>
          <w:rStyle w:val="VerbatimChar"/>
        </w:rPr>
        <w:t>fetch_year_cube(year, …, progress_start, progress_end)</w:t>
      </w:r>
      <w:r>
        <w:rPr/>
        <w:t xml:space="preserve"> returns the raw int8 mosaic and its geotransform for a single year, mapping its internal phases (anchor reads, survivor scans, warp) onto a caller-supplied slice of the progress bar; </w:t>
      </w:r>
      <w:r>
        <w:rPr>
          <w:rStyle w:val="VerbatimChar"/>
        </w:rPr>
        <w:t>dequantise</w:t>
      </w:r>
      <w:r>
        <w:rPr/>
        <w:t xml:space="preserve"> turns that int8 cube into unit-length float32 vectors; and </w:t>
      </w:r>
      <w:r>
        <w:rPr>
          <w:rStyle w:val="VerbatimChar"/>
        </w:rPr>
        <w:t>warn_if_large</w:t>
      </w:r>
      <w:r>
        <w:rPr/>
        <w:t xml:space="preserve"> / </w:t>
      </w:r>
      <w:r>
        <w:rPr>
          <w:rStyle w:val="VerbatimChar"/>
        </w:rPr>
        <w:t>report_and_raise</w:t>
      </w:r>
      <w:r>
        <w:rPr/>
        <w:t xml:space="preserve"> are the shared large-AOI heads-up and traceback-to-log error path. </w:t>
      </w:r>
      <w:r>
        <w:rPr>
          <w:rStyle w:val="VerbatimChar"/>
        </w:rPr>
        <w:t>LoadEmbedding</w:t>
      </w:r>
      <w:r>
        <w:rPr/>
        <w:t xml:space="preserve"> calls it once for its single </w:t>
      </w:r>
      <w:r>
        <w:rPr>
          <w:rStyle w:val="VerbatimChar"/>
        </w:rPr>
        <w:t>YEAR</w:t>
      </w:r>
      <w:r>
        <w:rPr/>
        <w:t xml:space="preserve">; </w:t>
      </w:r>
      <w:r>
        <w:rPr>
          <w:rStyle w:val="VerbatimChar"/>
        </w:rPr>
        <w:t>LoadYears</w:t>
      </w:r>
      <w:r>
        <w:rPr/>
        <w:t xml:space="preserve"> reads the tick-box </w:t>
      </w:r>
      <w:r>
        <w:rPr>
          <w:rStyle w:val="VerbatimChar"/>
        </w:rPr>
        <w:t>YEARS</w:t>
      </w:r>
      <w:r>
        <w:rPr/>
        <w:t xml:space="preserve"> enum (</w:t>
      </w:r>
      <w:r>
        <w:rPr>
          <w:rStyle w:val="VerbatimChar"/>
        </w:rPr>
        <w:t>intake.years_from_indices</w:t>
      </w:r>
      <w:r>
        <w:rPr/>
        <w:t xml:space="preserve"> maps the selected indices to sorted, de-duplicated years), sizes the grid </w:t>
      </w:r>
      <w:r>
        <w:rPr>
          <w:b/>
        </w:rPr>
        <w:t>once</w:t>
      </w:r>
      <w:r>
        <w:rPr/>
        <w:t xml:space="preserve"> so every year is pixel-aligned, then loops the years — giving each an equal progress slice and honouring </w:t>
      </w:r>
      <w:r>
        <w:rPr>
          <w:b/>
        </w:rPr>
        <w:t>Cancel</w:t>
      </w:r>
      <w:r>
        <w:rPr/>
        <w:t xml:space="preserve"> between years — and writes one </w:t>
      </w:r>
      <w:r>
        <w:rPr>
          <w:rStyle w:val="VerbatimChar"/>
        </w:rPr>
        <w:t>alphaearth_&lt;year&gt;.tif</w:t>
      </w:r>
      <w:r>
        <w:rPr/>
        <w:t xml:space="preserve"> (named by </w:t>
      </w:r>
      <w:r>
        <w:rPr>
          <w:rStyle w:val="VerbatimChar"/>
        </w:rPr>
        <w:t>intake.year_raster_name</w:t>
      </w:r>
      <w:r>
        <w:rPr/>
        <w:t xml:space="preserve">) into the output folder, returning a distinct </w:t>
      </w:r>
      <w:r>
        <w:rPr>
          <w:rStyle w:val="VerbatimChar"/>
        </w:rPr>
        <w:t>YEAR_&lt;year&gt;</w:t>
      </w:r>
      <w:r>
        <w:rPr/>
        <w:t xml:space="preserve"> result key per raster so the wizard adds each to the project. Because both loaders go through the same </w:t>
      </w:r>
      <w:r>
        <w:rPr>
          <w:rStyle w:val="VerbatimChar"/>
        </w:rPr>
        <w:t>_fetch</w:t>
      </w:r>
      <w:r>
        <w:rPr/>
        <w:t xml:space="preserve"> functions, the single-year and multi-year paths cannot drift.</w:t>
      </w:r>
    </w:p>
    <w:p>
      <w:pPr>
        <w:pStyle w:val="BodyText"/>
        <w:rPr/>
      </w:pPr>
      <w:r>
        <w:rPr/>
        <w:t>The four scikit-learn algorithms (</w:t>
      </w:r>
      <w:r>
        <w:rPr>
          <w:rStyle w:val="VerbatimChar"/>
        </w:rPr>
        <w:t>ClassifyEmbeddingAlgorithm</w:t>
      </w:r>
      <w:r>
        <w:rPr/>
        <w:t xml:space="preserve">, </w:t>
      </w:r>
      <w:r>
        <w:rPr>
          <w:rStyle w:val="VerbatimChar"/>
        </w:rPr>
        <w:t>ClassifyOverYearsAlgorithm</w:t>
      </w:r>
      <w:r>
        <w:rPr/>
        <w:t xml:space="preserve">, </w:t>
      </w:r>
      <w:r>
        <w:rPr>
          <w:rStyle w:val="VerbatimChar"/>
        </w:rPr>
        <w:t>ClusterEmbeddingAlgorithm</w:t>
      </w:r>
      <w:r>
        <w:rPr/>
        <w:t xml:space="preserve">, </w:t>
      </w:r>
      <w:r>
        <w:rPr>
          <w:rStyle w:val="VerbatimChar"/>
        </w:rPr>
        <w:t>RegressEmbeddingAlgorithm</w:t>
      </w:r>
      <w:r>
        <w:rPr/>
        <w:t xml:space="preserve">) share a common flow. Before any heavy work each calls </w:t>
      </w:r>
      <w:r>
        <w:rPr>
          <w:rStyle w:val="VerbatimChar"/>
        </w:rPr>
        <w:t>_sklearn.ensure_sklearn</w:t>
      </w:r>
      <w:r>
        <w:rPr/>
        <w:t xml:space="preserve"> and, if it is absent, raises a </w:t>
      </w:r>
      <w:r>
        <w:rPr>
          <w:rStyle w:val="VerbatimChar"/>
        </w:rPr>
        <w:t>QgsProcessingException</w:t>
      </w:r>
      <w:r>
        <w:rPr/>
        <w:t xml:space="preserve"> whose message names the missing library and points at the wizard’s install button — so a missing dependency is a clean, readable failure, never a traceback. </w:t>
      </w:r>
      <w:r>
        <w:rPr>
          <w:rStyle w:val="VerbatimChar"/>
        </w:rPr>
        <w:t>Classify</w:t>
      </w:r>
      <w:r>
        <w:rPr/>
        <w:t xml:space="preserve"> and </w:t>
      </w:r>
      <w:r>
        <w:rPr>
          <w:rStyle w:val="VerbatimChar"/>
        </w:rPr>
        <w:t>Regress</w:t>
      </w:r>
      <w:r>
        <w:rPr/>
        <w:t xml:space="preserve"> first turn labelled point/polygon features into a training matrix via </w:t>
      </w:r>
      <w:r>
        <w:rPr>
          <w:rStyle w:val="VerbatimChar"/>
        </w:rPr>
        <w:t>_features</w:t>
      </w:r>
      <w:r>
        <w:rPr/>
        <w:t xml:space="preserve"> (which samples the embedding at each feature, reusing the </w:t>
      </w:r>
      <w:r>
        <w:rPr>
          <w:rStyle w:val="VerbatimChar"/>
        </w:rPr>
        <w:t>aecore.sampling</w:t>
      </w:r>
      <w:r>
        <w:rPr/>
        <w:t xml:space="preserve"> maths) and </w:t>
      </w:r>
      <w:r>
        <w:rPr>
          <w:rStyle w:val="VerbatimChar"/>
        </w:rPr>
        <w:t>aecore.ml</w:t>
      </w:r>
      <w:r>
        <w:rPr/>
        <w:t xml:space="preserve"> (</w:t>
      </w:r>
      <w:r>
        <w:rPr>
          <w:rStyle w:val="VerbatimChar"/>
        </w:rPr>
        <w:t>cube_to_matrix</w:t>
      </w:r>
      <w:r>
        <w:rPr/>
        <w:t xml:space="preserve">, </w:t>
      </w:r>
      <w:r>
        <w:rPr>
          <w:rStyle w:val="VerbatimChar"/>
        </w:rPr>
        <w:t>flat_valid_mask</w:t>
      </w:r>
      <w:r>
        <w:rPr/>
        <w:t xml:space="preserve">, </w:t>
      </w:r>
      <w:r>
        <w:rPr>
          <w:rStyle w:val="VerbatimChar"/>
        </w:rPr>
        <w:t>encode_labels</w:t>
      </w:r>
      <w:r>
        <w:rPr/>
        <w:t>); they fit an estimator, then predict across every valid pixel in bounded row-chunks (</w:t>
      </w:r>
      <w:r>
        <w:rPr>
          <w:rStyle w:val="VerbatimChar"/>
        </w:rPr>
        <w:t>ml.predict_in_chunks</w:t>
      </w:r>
      <w:r>
        <w:rPr/>
        <w:t>) to keep peak memory flat, and scatter the results back to the grid (</w:t>
      </w:r>
      <w:r>
        <w:rPr>
          <w:rStyle w:val="VerbatimChar"/>
        </w:rPr>
        <w:t>ml.scatter_to_grid</w:t>
      </w:r>
      <w:r>
        <w:rPr/>
        <w:t xml:space="preserve">). </w:t>
      </w:r>
      <w:r>
        <w:rPr>
          <w:rStyle w:val="VerbatimChar"/>
        </w:rPr>
        <w:t>Cluster</w:t>
      </w:r>
      <w:r>
        <w:rPr/>
        <w:t xml:space="preserve"> skips the training features and fits K-means on a subsample. Outputs are auto-styled through </w:t>
      </w:r>
      <w:r>
        <w:rPr>
          <w:rStyle w:val="VerbatimChar"/>
        </w:rPr>
        <w:t>_styling</w:t>
      </w:r>
      <w:r>
        <w:rPr/>
        <w:t xml:space="preserve"> — a paletted renderer for class/cluster rasters, a red→green ramp for the optional confidence raster, and a pseudocolour ramp for regression predictions.</w:t>
      </w:r>
    </w:p>
    <w:p>
      <w:pPr>
        <w:pStyle w:val="BodyText"/>
        <w:rPr/>
      </w:pPr>
      <w:r>
        <w:rPr>
          <w:rStyle w:val="VerbatimChar"/>
        </w:rPr>
        <w:t>Classify</w:t>
      </w:r>
      <w:r>
        <w:rPr/>
        <w:t xml:space="preserve"> and </w:t>
      </w:r>
      <w:r>
        <w:rPr>
          <w:rStyle w:val="VerbatimChar"/>
        </w:rPr>
        <w:t>Regress</w:t>
      </w:r>
      <w:r>
        <w:rPr/>
        <w:t xml:space="preserve"> also gain model persistence and an optional accuracy report, whose shared Processing parameters (</w:t>
      </w:r>
      <w:r>
        <w:rPr>
          <w:rStyle w:val="VerbatimChar"/>
        </w:rPr>
        <w:t>LOAD_MODEL</w:t>
      </w:r>
      <w:r>
        <w:rPr/>
        <w:t xml:space="preserve">, </w:t>
      </w:r>
      <w:r>
        <w:rPr>
          <w:rStyle w:val="VerbatimChar"/>
        </w:rPr>
        <w:t>SAVE_MODEL</w:t>
      </w:r>
      <w:r>
        <w:rPr/>
        <w:t xml:space="preserve">, </w:t>
      </w:r>
      <w:r>
        <w:rPr>
          <w:rStyle w:val="VerbatimChar"/>
        </w:rPr>
        <w:t>ACCURACY_FOLDS</w:t>
      </w:r>
      <w:r>
        <w:rPr/>
        <w:t xml:space="preserve">, </w:t>
      </w:r>
      <w:r>
        <w:rPr>
          <w:rStyle w:val="VerbatimChar"/>
        </w:rPr>
        <w:t>REPORT</w:t>
      </w:r>
      <w:r>
        <w:rPr/>
        <w:t xml:space="preserve">) are declared once in </w:t>
      </w:r>
      <w:r>
        <w:rPr>
          <w:rStyle w:val="VerbatimChar"/>
        </w:rPr>
        <w:t>algorithms/_ml_shared.py</w:t>
      </w:r>
      <w:r>
        <w:rPr/>
        <w:t xml:space="preserve"> so the two algorithms cannot diverge on wording or defaults. When a </w:t>
      </w:r>
      <w:r>
        <w:rPr>
          <w:rStyle w:val="VerbatimChar"/>
        </w:rPr>
        <w:t>SAVE_MODEL</w:t>
      </w:r>
      <w:r>
        <w:rPr/>
        <w:t xml:space="preserve"> path is given, the fitted estimator is written to a </w:t>
      </w:r>
      <w:r>
        <w:rPr>
          <w:rStyle w:val="VerbatimChar"/>
        </w:rPr>
        <w:t>.pkl</w:t>
      </w:r>
      <w:r>
        <w:rPr/>
        <w:t xml:space="preserve"> through the pure </w:t>
      </w:r>
      <w:r>
        <w:rPr>
          <w:rStyle w:val="VerbatimChar"/>
        </w:rPr>
        <w:t>aecore/model_io.py</w:t>
      </w:r>
      <w:r>
        <w:rPr/>
        <w:t xml:space="preserve">, which stamps the file with the installed scikit-learn version and the 64-band embedding count. When a </w:t>
      </w:r>
      <w:r>
        <w:rPr>
          <w:rStyle w:val="VerbatimChar"/>
        </w:rPr>
        <w:t>LOAD_MODEL</w:t>
      </w:r>
      <w:r>
        <w:rPr/>
        <w:t xml:space="preserve"> path is supplied instead, the saved estimator is loaded and applied to the current scene without retraining — so the training layer and label field are not needed — and </w:t>
      </w:r>
      <w:r>
        <w:rPr>
          <w:rStyle w:val="VerbatimChar"/>
        </w:rPr>
        <w:t>model_io</w:t>
      </w:r>
      <w:r>
        <w:rPr/>
        <w:t xml:space="preserve"> fails loudly with a clear message if the stamped band count or scikit-learn version does not match, rather than predicting from a mismatched model. If </w:t>
      </w:r>
      <w:r>
        <w:rPr>
          <w:rStyle w:val="VerbatimChar"/>
        </w:rPr>
        <w:t>ACCURACY_FOLDS</w:t>
      </w:r>
      <w:r>
        <w:rPr/>
        <w:t xml:space="preserve"> and a </w:t>
      </w:r>
      <w:r>
        <w:rPr>
          <w:rStyle w:val="VerbatimChar"/>
        </w:rPr>
        <w:t>REPORT</w:t>
      </w:r>
      <w:r>
        <w:rPr/>
        <w:t xml:space="preserve"> path are set, a stratified k-fold cross-validation is run and written to the report: for </w:t>
      </w:r>
      <w:r>
        <w:rPr>
          <w:i/>
        </w:rPr>
        <w:t>Classify</w:t>
      </w:r>
      <w:r>
        <w:rPr/>
        <w:t xml:space="preserve">, overall accuracy plus per-class precision, recall and F1 and a confusion matrix; for </w:t>
      </w:r>
      <w:r>
        <w:rPr>
          <w:i/>
        </w:rPr>
        <w:t>Regress</w:t>
      </w:r>
      <w:r>
        <w:rPr/>
        <w:t xml:space="preserve">, per-fold and overall R² and RMSE. Both reports include a class-balance summary that warns on a heavily imbalanced training set. All of that cross-validation, confusion-matrix and class-balance arithmetic is pure NumPy in </w:t>
      </w:r>
      <w:r>
        <w:rPr>
          <w:rStyle w:val="VerbatimChar"/>
        </w:rPr>
        <w:t>aecore/ml.py</w:t>
      </w:r>
      <w:r>
        <w:rPr/>
        <w:t xml:space="preserve">, unit-tested with no scikit-learn, QGIS or GDAL; the </w:t>
      </w:r>
      <w:r>
        <w:rPr>
          <w:rStyle w:val="VerbatimChar"/>
        </w:rPr>
        <w:t>.pkl</w:t>
      </w:r>
      <w:r>
        <w:rPr/>
        <w:t xml:space="preserve"> round-trip and its version/band validation live in the equally pure </w:t>
      </w:r>
      <w:r>
        <w:rPr>
          <w:rStyle w:val="VerbatimChar"/>
        </w:rPr>
        <w:t>aecore/model_io.py</w:t>
      </w:r>
      <w:r>
        <w:rPr/>
        <w:t>.</w:t>
      </w:r>
    </w:p>
    <w:p>
      <w:pPr>
        <w:pStyle w:val="BodyText"/>
        <w:rPr/>
      </w:pPr>
      <w:r>
        <w:rPr>
          <w:rStyle w:val="VerbatimChar"/>
        </w:rPr>
        <w:t>Classify</w:t>
      </w:r>
      <w:r>
        <w:rPr/>
        <w:t xml:space="preserve">, </w:t>
      </w:r>
      <w:r>
        <w:rPr>
          <w:rStyle w:val="VerbatimChar"/>
        </w:rPr>
        <w:t>Regress</w:t>
      </w:r>
      <w:r>
        <w:rPr/>
        <w:t xml:space="preserve"> and </w:t>
      </w:r>
      <w:r>
        <w:rPr>
          <w:rStyle w:val="VerbatimChar"/>
        </w:rPr>
        <w:t>ClassifyOverYears</w:t>
      </w:r>
      <w:r>
        <w:rPr/>
        <w:t xml:space="preserve"> also gain </w:t>
      </w:r>
      <w:r>
        <w:rPr>
          <w:b/>
        </w:rPr>
        <w:t>opt-in hyper-parameter tuning</w:t>
      </w:r>
      <w:r>
        <w:rPr/>
        <w:t xml:space="preserve"> and </w:t>
      </w:r>
      <w:r>
        <w:rPr>
          <w:rStyle w:val="VerbatimChar"/>
        </w:rPr>
        <w:t>Cluster</w:t>
      </w:r>
      <w:r>
        <w:rPr/>
        <w:t xml:space="preserve"> an </w:t>
      </w:r>
      <w:r>
        <w:rPr>
          <w:b/>
        </w:rPr>
        <w:t>opt-in automatic k</w:t>
      </w:r>
      <w:r>
        <w:rPr/>
        <w:t>, whose shared parameters (</w:t>
      </w:r>
      <w:r>
        <w:rPr>
          <w:rStyle w:val="VerbatimChar"/>
        </w:rPr>
        <w:t>TUNE</w:t>
      </w:r>
      <w:r>
        <w:rPr/>
        <w:t xml:space="preserve">, </w:t>
      </w:r>
      <w:r>
        <w:rPr>
          <w:rStyle w:val="VerbatimChar"/>
        </w:rPr>
        <w:t>TUNE_ITERS</w:t>
      </w:r>
      <w:r>
        <w:rPr/>
        <w:t xml:space="preserve"> for the search budget; </w:t>
      </w:r>
      <w:r>
        <w:rPr>
          <w:rStyle w:val="VerbatimChar"/>
        </w:rPr>
        <w:t>TUNE_K</w:t>
      </w:r>
      <w:r>
        <w:rPr/>
        <w:t xml:space="preserve">, </w:t>
      </w:r>
      <w:r>
        <w:rPr>
          <w:rStyle w:val="VerbatimChar"/>
        </w:rPr>
        <w:t>TUNE_K_MIN</w:t>
      </w:r>
      <w:r>
        <w:rPr/>
        <w:t xml:space="preserve">, </w:t>
      </w:r>
      <w:r>
        <w:rPr>
          <w:rStyle w:val="VerbatimChar"/>
        </w:rPr>
        <w:t>TUNE_K_MAX</w:t>
      </w:r>
      <w:r>
        <w:rPr/>
        <w:t xml:space="preserve"> for the silhouette k-search) are declared once in </w:t>
      </w:r>
      <w:r>
        <w:rPr>
          <w:rStyle w:val="VerbatimChar"/>
        </w:rPr>
        <w:t>algorithms/_ml_shared.py</w:t>
      </w:r>
      <w:r>
        <w:rPr/>
        <w:t xml:space="preserve"> alongside the model/report parameters. When </w:t>
      </w:r>
      <w:r>
        <w:rPr>
          <w:rStyle w:val="VerbatimChar"/>
        </w:rPr>
        <w:t>TUNE</w:t>
      </w:r>
      <w:r>
        <w:rPr/>
        <w:t xml:space="preserve"> is ticked, the algorithm asks </w:t>
      </w:r>
      <w:r>
        <w:rPr>
          <w:rStyle w:val="VerbatimChar"/>
        </w:rPr>
        <w:t>_ml_shared</w:t>
      </w:r>
      <w:r>
        <w:rPr/>
        <w:t xml:space="preserve"> for the preset search space of the chosen estimator (</w:t>
      </w:r>
      <w:r>
        <w:rPr>
          <w:rStyle w:val="VerbatimChar"/>
        </w:rPr>
        <w:t>tuning_grid("random_forest")</w:t>
      </w:r>
      <w:r>
        <w:rPr/>
        <w:t xml:space="preserve"> / </w:t>
      </w:r>
      <w:r>
        <w:rPr>
          <w:rStyle w:val="VerbatimChar"/>
        </w:rPr>
        <w:t>("gradient_boosting")</w:t>
      </w:r>
      <w:r>
        <w:rPr/>
        <w:t>) and how many folds to score with (</w:t>
      </w:r>
      <w:r>
        <w:rPr>
          <w:rStyle w:val="VerbatimChar"/>
        </w:rPr>
        <w:t>resolve_tune_folds</w:t>
      </w:r>
      <w:r>
        <w:rPr/>
        <w:t xml:space="preserve">, which reuses the accuracy-report fold count, defaults to three, and — critically — returns zero and warns </w:t>
      </w:r>
      <w:r>
        <w:rPr>
          <w:i/>
        </w:rPr>
        <w:t>“tuning skipped”</w:t>
      </w:r>
      <w:r>
        <w:rPr/>
        <w:t xml:space="preserve"> rather than failing when there are fewer samples than folds), then runs a cross-validated randomized search and fits the final estimator with the winning parameters, writing the search summary into the same report text. The search </w:t>
      </w:r>
      <w:r>
        <w:rPr>
          <w:b/>
        </w:rPr>
        <w:t>driver</w:t>
      </w:r>
      <w:r>
        <w:rPr/>
        <w:t xml:space="preserve"> is pure NumPy in </w:t>
      </w:r>
      <w:r>
        <w:rPr>
          <w:rStyle w:val="VerbatimChar"/>
        </w:rPr>
        <w:t>aecore.ml</w:t>
      </w:r>
      <w:r>
        <w:rPr/>
        <w:t xml:space="preserve"> (</w:t>
      </w:r>
      <w:r>
        <w:rPr>
          <w:rStyle w:val="VerbatimChar"/>
        </w:rPr>
        <w:t>randomized_search</w:t>
      </w:r>
      <w:r>
        <w:rPr/>
        <w:t xml:space="preserve">): it samples parameter combinations and picks the best by a caller-supplied </w:t>
      </w:r>
      <w:r>
        <w:rPr>
          <w:rStyle w:val="VerbatimChar"/>
        </w:rPr>
        <w:t>score</w:t>
      </w:r>
      <w:r>
        <w:rPr/>
        <w:t xml:space="preserve"> closure that owns scikit-learn, so the driver itself never imports sklearn and is unit-tested with a plain in-memory scorer; </w:t>
      </w:r>
      <w:r>
        <w:rPr>
          <w:rStyle w:val="VerbatimChar"/>
        </w:rPr>
        <w:t>ml.format_search_report</w:t>
      </w:r>
      <w:r>
        <w:rPr/>
        <w:t xml:space="preserve"> renders the result table shared by both searches. For </w:t>
      </w:r>
      <w:r>
        <w:rPr>
          <w:rStyle w:val="VerbatimChar"/>
        </w:rPr>
        <w:t>Cluster</w:t>
      </w:r>
      <w:r>
        <w:rPr/>
        <w:t xml:space="preserve">, a local </w:t>
      </w:r>
      <w:r>
        <w:rPr>
          <w:rStyle w:val="VerbatimChar"/>
        </w:rPr>
        <w:t>_select_k</w:t>
      </w:r>
      <w:r>
        <w:rPr/>
        <w:t xml:space="preserve"> (in </w:t>
      </w:r>
      <w:r>
        <w:rPr>
          <w:rStyle w:val="VerbatimChar"/>
        </w:rPr>
        <w:t>cluster.py</w:t>
      </w:r>
      <w:r>
        <w:rPr/>
        <w:t xml:space="preserve">) fits K-means for each k in </w:t>
      </w:r>
      <w:r>
        <w:rPr>
          <w:rStyle w:val="VerbatimChar"/>
        </w:rPr>
        <w:t>[TUNE_K_MIN, TUNE_K_MAX]</w:t>
      </w:r>
      <w:r>
        <w:rPr/>
        <w:t xml:space="preserve"> and scores each on a bounded subsample with scikit-learn’s </w:t>
      </w:r>
      <w:r>
        <w:rPr>
          <w:rStyle w:val="VerbatimChar"/>
        </w:rPr>
        <w:t>silhouette_score</w:t>
      </w:r>
      <w:r>
        <w:rPr/>
        <w:t xml:space="preserve"> (the metric is O(n²), so it is capped at a few thousand pixels), picking the k with the best coefficient and formatting its report the same way. Every one of these switches defaults to </w:t>
      </w:r>
      <w:r>
        <w:rPr>
          <w:b/>
        </w:rPr>
        <w:t>off</w:t>
      </w:r>
      <w:r>
        <w:rPr/>
        <w:t xml:space="preserve">, so an existing run is byte-for-byte unchanged unless the user opts in; a QGIS-backed test asserts the default-off contract, and </w:t>
      </w:r>
      <w:r>
        <w:rPr>
          <w:rStyle w:val="VerbatimChar"/>
        </w:rPr>
        <w:t>tests/test_ml_shared.py</w:t>
      </w:r>
      <w:r>
        <w:rPr/>
        <w:t xml:space="preserve"> covers </w:t>
      </w:r>
      <w:r>
        <w:rPr>
          <w:rStyle w:val="VerbatimChar"/>
        </w:rPr>
        <w:t>tuning_grid</w:t>
      </w:r>
      <w:r>
        <w:rPr/>
        <w:t>/</w:t>
      </w:r>
      <w:r>
        <w:rPr>
          <w:rStyle w:val="VerbatimChar"/>
        </w:rPr>
        <w:t>resolve_tune_folds</w:t>
      </w:r>
      <w:r>
        <w:rPr/>
        <w:t xml:space="preserve"> against a fake QGIS.</w:t>
      </w:r>
    </w:p>
    <w:p>
      <w:pPr>
        <w:pStyle w:val="BodyText"/>
        <w:rPr/>
      </w:pPr>
      <w:r>
        <w:rPr>
          <w:rStyle w:val="VerbatimChar"/>
        </w:rPr>
        <w:t>ClassifyOverYearsAlgorithm</w:t>
      </w:r>
      <w:r>
        <w:rPr/>
        <w:t xml:space="preserve"> (</w:t>
      </w:r>
      <w:r>
        <w:rPr>
          <w:rStyle w:val="VerbatimChar"/>
        </w:rPr>
        <w:t>classify_years.py</w:t>
      </w:r>
      <w:r>
        <w:rPr/>
        <w:t xml:space="preserve">, id </w:t>
      </w:r>
      <w:r>
        <w:rPr>
          <w:rStyle w:val="VerbatimChar"/>
        </w:rPr>
        <w:t>alphaearth:classifyyears</w:t>
      </w:r>
      <w:r>
        <w:rPr/>
        <w:t xml:space="preserve">) is the classification analogue of </w:t>
      </w:r>
      <w:r>
        <w:rPr>
          <w:i/>
        </w:rPr>
        <w:t>Change over years</w:t>
      </w:r>
      <w:r>
        <w:rPr/>
        <w:t xml:space="preserve">, and the only scikit-learn algorithm that also fetches. The user ticks two or more years and sets one area of interest, target CRS and resolution; the algorithm sizes the snapped grid once and fetches every ticked year onto that same grid through the shared </w:t>
      </w:r>
      <w:r>
        <w:rPr>
          <w:rStyle w:val="VerbatimChar"/>
        </w:rPr>
        <w:t>_fetch.fetch_year_cube</w:t>
      </w:r>
      <w:r>
        <w:rPr/>
        <w:t xml:space="preserve"> (so the years are inherently pixel-aligned), trains </w:t>
      </w:r>
      <w:r>
        <w:rPr>
          <w:b/>
        </w:rPr>
        <w:t>one</w:t>
      </w:r>
      <w:r>
        <w:rPr/>
        <w:t xml:space="preserve"> classifier on the most recent ticked year — or reuses a saved model — and applies it to every year, so a class code means the same land cover across the whole series. It reuses </w:t>
      </w:r>
      <w:r>
        <w:rPr>
          <w:i/>
        </w:rPr>
        <w:t>Classify</w:t>
      </w:r>
      <w:r>
        <w:rPr/>
        <w:t xml:space="preserve">’s </w:t>
      </w:r>
      <w:r>
        <w:rPr>
          <w:rStyle w:val="VerbatimChar"/>
        </w:rPr>
        <w:t>_build_classifier</w:t>
      </w:r>
      <w:r>
        <w:rPr/>
        <w:t xml:space="preserve">, </w:t>
      </w:r>
      <w:r>
        <w:rPr>
          <w:rStyle w:val="VerbatimChar"/>
        </w:rPr>
        <w:t>_cross_validate</w:t>
      </w:r>
      <w:r>
        <w:rPr/>
        <w:t xml:space="preserve"> and </w:t>
      </w:r>
      <w:r>
        <w:rPr>
          <w:rStyle w:val="VerbatimChar"/>
        </w:rPr>
        <w:t>_tune</w:t>
      </w:r>
      <w:r>
        <w:rPr/>
        <w:t xml:space="preserve"> helpers (one source of truth for the estimator and its tuning) and writes a </w:t>
      </w:r>
      <w:r>
        <w:rPr>
          <w:b/>
        </w:rPr>
        <w:t>folder</w:t>
      </w:r>
      <w:r>
        <w:rPr/>
        <w:t xml:space="preserve"> of per-year </w:t>
      </w:r>
      <w:r>
        <w:rPr>
          <w:rStyle w:val="VerbatimChar"/>
        </w:rPr>
        <w:t>classification_&lt;year&gt;.tif</w:t>
      </w:r>
      <w:r>
        <w:rPr/>
        <w:t xml:space="preserve"> rasters. Two optional extra outputs summarise the series: a first-to-last </w:t>
      </w:r>
      <w:r>
        <w:rPr>
          <w:b/>
        </w:rPr>
        <w:t>transition</w:t>
      </w:r>
      <w:r>
        <w:rPr/>
        <w:t xml:space="preserve"> raster (</w:t>
      </w:r>
      <w:r>
        <w:rPr>
          <w:rStyle w:val="VerbatimChar"/>
        </w:rPr>
        <w:t>ml.transition_codes</w:t>
      </w:r>
      <w:r>
        <w:rPr/>
        <w:t xml:space="preserve"> encodes each </w:t>
      </w:r>
      <w:r>
        <w:rPr>
          <w:rStyle w:val="VerbatimChar"/>
        </w:rPr>
        <w:t>(from, to)</w:t>
      </w:r>
      <w:r>
        <w:rPr/>
        <w:t xml:space="preserve"> class pair as one code, auto-styled from </w:t>
      </w:r>
      <w:r>
        <w:rPr>
          <w:rStyle w:val="VerbatimChar"/>
        </w:rPr>
        <w:t>ml.transition_labels</w:t>
      </w:r>
      <w:r>
        <w:rPr/>
        <w:t xml:space="preserve"> with </w:t>
      </w:r>
      <w:r>
        <w:rPr>
          <w:rStyle w:val="VerbatimChar"/>
        </w:rPr>
        <w:t>"&lt;from&gt; -&gt; &lt;to&gt;"</w:t>
      </w:r>
      <w:r>
        <w:rPr/>
        <w:t xml:space="preserve"> legend entries) and a </w:t>
      </w:r>
      <w:r>
        <w:rPr>
          <w:b/>
        </w:rPr>
        <w:t>changed/unchanged mask</w:t>
      </w:r>
      <w:r>
        <w:rPr/>
        <w:t xml:space="preserve"> (</w:t>
      </w:r>
      <w:r>
        <w:rPr>
          <w:rStyle w:val="VerbatimChar"/>
        </w:rPr>
        <w:t>ml.changed_mask</w:t>
      </w:r>
      <w:r>
        <w:rPr/>
        <w:t xml:space="preserve">); both </w:t>
      </w:r>
      <w:r>
        <w:rPr>
          <w:rStyle w:val="VerbatimChar"/>
        </w:rPr>
        <w:t>int64</w:t>
      </w:r>
      <w:r>
        <w:rPr/>
        <w:t xml:space="preserve"> core arrays are cast to </w:t>
      </w:r>
      <w:r>
        <w:rPr>
          <w:rStyle w:val="VerbatimChar"/>
        </w:rPr>
        <w:t>int32</w:t>
      </w:r>
      <w:r>
        <w:rPr/>
        <w:t xml:space="preserve"> before </w:t>
      </w:r>
      <w:r>
        <w:rPr>
          <w:rStyle w:val="VerbatimChar"/>
        </w:rPr>
        <w:t>write_geotiff</w:t>
      </w:r>
      <w:r>
        <w:rPr/>
        <w:t xml:space="preserve"> for portable GeoTIFF output with </w:t>
      </w:r>
      <w:r>
        <w:rPr>
          <w:rStyle w:val="VerbatimChar"/>
        </w:rPr>
        <w:t>-1</w:t>
      </w:r>
      <w:r>
        <w:rPr/>
        <w:t xml:space="preserve"> no-data. Because it shares the fetch path with the loaders and the classifier plumbing with </w:t>
      </w:r>
      <w:r>
        <w:rPr>
          <w:i/>
        </w:rPr>
        <w:t>Classify</w:t>
      </w:r>
      <w:r>
        <w:rPr/>
        <w:t>, it cannot drift from either.</w:t>
      </w:r>
    </w:p>
    <w:p>
      <w:pPr>
        <w:pStyle w:val="Heading2"/>
        <w:rPr/>
      </w:pPr>
      <w:bookmarkStart w:id="20" w:name="__RefHeading___Toc7807_3476700982"/>
      <w:bookmarkStart w:id="21" w:name="reading-pixels-the-gdal-layer"/>
      <w:bookmarkEnd w:id="20"/>
      <w:r>
        <w:rPr/>
        <w:t>6. Reading pixels: the GDAL layer</w:t>
      </w:r>
      <w:bookmarkEnd w:id="21"/>
    </w:p>
    <w:p>
      <w:pPr>
        <w:pStyle w:val="FirstParagraph"/>
        <w:rPr/>
      </w:pPr>
      <w:r>
        <w:rPr>
          <w:rStyle w:val="VerbatimChar"/>
        </w:rPr>
        <w:t>aecore/_raster.py</w:t>
      </w:r>
      <w:r>
        <w:rPr/>
        <w:t xml:space="preserve"> is the only compute-core module that imports GDAL, and it is imported only at runtime inside </w:t>
      </w:r>
      <w:r>
        <w:rPr>
          <w:rStyle w:val="VerbatimChar"/>
        </w:rPr>
        <w:t>processAlgorithm</w:t>
      </w:r>
      <w:r>
        <w:rPr/>
        <w:t xml:space="preserve">. It offers four operations: </w:t>
      </w:r>
      <w:r>
        <w:rPr>
          <w:rStyle w:val="VerbatimChar"/>
        </w:rPr>
        <w:t>read_cube</w:t>
      </w:r>
      <w:r>
        <w:rPr/>
        <w:t xml:space="preserve"> (read an entire raster as a </w:t>
      </w:r>
      <w:r>
        <w:rPr>
          <w:rStyle w:val="VerbatimChar"/>
        </w:rPr>
        <w:t>(bands, rows, cols)</w:t>
      </w:r>
      <w:r>
        <w:rPr/>
        <w:t xml:space="preserve"> cube plus its geotransform, WKT and no-data), </w:t>
      </w:r>
      <w:r>
        <w:rPr>
          <w:rStyle w:val="VerbatimChar"/>
        </w:rPr>
        <w:t>warp_cube_to_grid</w:t>
      </w:r>
      <w:r>
        <w:rPr/>
        <w:t xml:space="preserve"> (warp a single source onto a target grid, reading only the needed window), </w:t>
      </w:r>
      <w:r>
        <w:rPr>
          <w:rStyle w:val="VerbatimChar"/>
        </w:rPr>
        <w:t>warp_many_to_grid</w:t>
      </w:r>
      <w:r>
        <w:rPr/>
        <w:t xml:space="preserve"> (mosaic </w:t>
      </w:r>
      <w:r>
        <w:rPr>
          <w:i/>
        </w:rPr>
        <w:t>many</w:t>
      </w:r>
      <w:r>
        <w:rPr/>
        <w:t xml:space="preserve"> tiles onto one target grid), and </w:t>
      </w:r>
      <w:r>
        <w:rPr>
          <w:rStyle w:val="VerbatimChar"/>
        </w:rPr>
        <w:t>write_geotiff</w:t>
      </w:r>
      <w:r>
        <w:rPr/>
        <w:t xml:space="preserve"> (write a cube back out, DEFLATE- compressed). Two header-only helpers support tile discovery: </w:t>
      </w:r>
      <w:r>
        <w:rPr>
          <w:rStyle w:val="VerbatimChar"/>
        </w:rPr>
        <w:t>dataset_bounds_in_crs</w:t>
      </w:r>
      <w:r>
        <w:rPr/>
        <w:t xml:space="preserve"> reads only a source’s header and reprojects its four corners into the target CRS to return a footprint — cheap enough to scan many tiles before committing to a full warp — and </w:t>
      </w:r>
      <w:r>
        <w:rPr>
          <w:rStyle w:val="VerbatimChar"/>
        </w:rPr>
        <w:t>dataset_footprint_and_pixels</w:t>
      </w:r>
      <w:r>
        <w:rPr/>
        <w:t xml:space="preserve"> does the same but also returns the source’s pixel dimensions, which the fetch-by-year scene-culling step (see the Methodology) uses to over-estimate a whole scene’s extent from a single anchor tile. Both return </w:t>
      </w:r>
      <w:r>
        <w:rPr>
          <w:rStyle w:val="VerbatimChar"/>
        </w:rPr>
        <w:t>None</w:t>
      </w:r>
      <w:r>
        <w:rPr/>
        <w:t xml:space="preserve"> on </w:t>
      </w:r>
      <w:r>
        <w:rPr>
          <w:i/>
        </w:rPr>
        <w:t>any</w:t>
      </w:r>
      <w:r>
        <w:rPr/>
        <w:t xml:space="preserve"> failure (a transient network fault, an untransformable edge tile, or a GDAL error raised as an exception) rather than propagating: because a year fetch scans many tiles in a zone concurrently, one bad tile must be skipped, never allowed to abort the whole run. This matters under GDAL 3.9+ (shipped in QGIS 4), where the Python bindings raise exceptions by default instead of returning a quiet failure.</w:t>
      </w:r>
    </w:p>
    <w:p>
      <w:pPr>
        <w:pStyle w:val="BodyText"/>
        <w:rPr/>
      </w:pPr>
      <w:r>
        <w:rPr>
          <w:rStyle w:val="VerbatimChar"/>
        </w:rPr>
        <w:t>read_cube</w:t>
      </w:r>
      <w:r>
        <w:rPr/>
        <w:t xml:space="preserve"> returns a </w:t>
      </w:r>
      <w:r>
        <w:rPr>
          <w:b/>
        </w:rPr>
        <w:t>float32</w:t>
      </w:r>
      <w:r>
        <w:rPr/>
        <w:t xml:space="preserve"> cube by default. AlphaEarth pixels are int8 values de-quantised by </w:t>
      </w:r>
      <w:r>
        <w:rPr>
          <w:rStyle w:val="VerbatimChar"/>
        </w:rPr>
        <w:t>÷127.5</w:t>
      </w:r>
      <w:r>
        <w:rPr/>
        <w:t>, and every such value is exactly representable in float32, so float32 is lossless here while halving the resident cube versus float64 (</w:t>
      </w:r>
      <w:r>
        <w:rPr>
          <w:rStyle w:val="VerbatimChar"/>
        </w:rPr>
        <w:t>dtype=np.float64</w:t>
      </w:r>
      <w:r>
        <w:rPr/>
        <w:t xml:space="preserve"> forces double precision and </w:t>
      </w:r>
      <w:r>
        <w:rPr>
          <w:rStyle w:val="VerbatimChar"/>
        </w:rPr>
        <w:t>dtype=None</w:t>
      </w:r>
      <w:r>
        <w:rPr/>
        <w:t xml:space="preserve"> keeps the source’s native dtype). The pure compute cores (</w:t>
      </w:r>
      <w:r>
        <w:rPr>
          <w:rStyle w:val="VerbatimChar"/>
        </w:rPr>
        <w:t>similarity</w:t>
      </w:r>
      <w:r>
        <w:rPr/>
        <w:t xml:space="preserve">, </w:t>
      </w:r>
      <w:r>
        <w:rPr>
          <w:rStyle w:val="VerbatimChar"/>
        </w:rPr>
        <w:t>change</w:t>
      </w:r>
      <w:r>
        <w:rPr/>
        <w:t xml:space="preserve">, </w:t>
      </w:r>
      <w:r>
        <w:rPr>
          <w:rStyle w:val="VerbatimChar"/>
        </w:rPr>
        <w:t>rgb</w:t>
      </w:r>
      <w:r>
        <w:rPr/>
        <w:t xml:space="preserve">, </w:t>
      </w:r>
      <w:r>
        <w:rPr>
          <w:rStyle w:val="VerbatimChar"/>
        </w:rPr>
        <w:t>ml</w:t>
      </w:r>
      <w:r>
        <w:rPr/>
        <w:t xml:space="preserve">, </w:t>
      </w:r>
      <w:r>
        <w:rPr>
          <w:rStyle w:val="VerbatimChar"/>
        </w:rPr>
        <w:t>sampling</w:t>
      </w:r>
      <w:r>
        <w:rPr/>
        <w:t xml:space="preserve">) preserve that floating dtype through their maths via the shared </w:t>
      </w:r>
      <w:r>
        <w:rPr>
          <w:rStyle w:val="VerbatimChar"/>
        </w:rPr>
        <w:t>aecore/_num.as_float</w:t>
      </w:r>
      <w:r>
        <w:rPr/>
        <w:t xml:space="preserve"> helper — a float32 cube stays float32 end-to-end instead of being silently promoted back to float64 — so the memory saving is real and not undone by the first arithmetic op. The warp helpers take an </w:t>
      </w:r>
      <w:r>
        <w:rPr>
          <w:rStyle w:val="VerbatimChar"/>
        </w:rPr>
        <w:t>out_dtype</w:t>
      </w:r>
      <w:r>
        <w:rPr/>
        <w:t xml:space="preserve"> (default float64, </w:t>
      </w:r>
      <w:r>
        <w:rPr>
          <w:rStyle w:val="VerbatimChar"/>
        </w:rPr>
        <w:t>None</w:t>
      </w:r>
      <w:r>
        <w:rPr/>
        <w:t xml:space="preserve"> = native) and an optional </w:t>
      </w:r>
      <w:r>
        <w:rPr>
          <w:rStyle w:val="VerbatimChar"/>
        </w:rPr>
        <w:t>progress</w:t>
      </w:r>
      <w:r>
        <w:rPr/>
        <w:t xml:space="preserve"> sink that reports the warp’s completion fraction and, by returning </w:t>
      </w:r>
      <w:r>
        <w:rPr>
          <w:rStyle w:val="VerbatimChar"/>
        </w:rPr>
        <w:t>False</w:t>
      </w:r>
      <w:r>
        <w:rPr/>
        <w:t xml:space="preserve">, cancels the in-flight </w:t>
      </w:r>
      <w:r>
        <w:rPr>
          <w:rStyle w:val="VerbatimChar"/>
        </w:rPr>
        <w:t>gdal.Warp</w:t>
      </w:r>
      <w:r>
        <w:rPr/>
        <w:t xml:space="preserve"> (raising </w:t>
      </w:r>
      <w:r>
        <w:rPr>
          <w:rStyle w:val="VerbatimChar"/>
        </w:rPr>
        <w:t>WarpCanceledError</w:t>
      </w:r>
      <w:r>
        <w:rPr/>
        <w:t>).</w:t>
      </w:r>
    </w:p>
    <w:p>
      <w:pPr>
        <w:pStyle w:val="BodyText"/>
        <w:rPr/>
      </w:pPr>
      <w:r>
        <w:rPr/>
        <w:t xml:space="preserve">Remote reads are made resilient. </w:t>
      </w:r>
      <w:r>
        <w:rPr>
          <w:rStyle w:val="VerbatimChar"/>
        </w:rPr>
        <w:t>_is_remote_source</w:t>
      </w:r>
      <w:r>
        <w:rPr/>
        <w:t xml:space="preserve"> recognises </w:t>
      </w:r>
      <w:r>
        <w:rPr>
          <w:rStyle w:val="VerbatimChar"/>
        </w:rPr>
        <w:t>http(s)://</w:t>
      </w:r>
      <w:r>
        <w:rPr/>
        <w:t xml:space="preserve"> and the </w:t>
      </w:r>
      <w:r>
        <w:rPr>
          <w:rStyle w:val="VerbatimChar"/>
        </w:rPr>
        <w:t>/vsi*</w:t>
      </w:r>
      <w:r>
        <w:rPr/>
        <w:t xml:space="preserve"> prefixes. For those, a context manager (</w:t>
      </w:r>
      <w:r>
        <w:rPr>
          <w:rStyle w:val="VerbatimChar"/>
        </w:rPr>
        <w:t>_gdal_config</w:t>
      </w:r>
      <w:r>
        <w:rPr/>
        <w:t xml:space="preserve">) temporarily applies a tuned configuration — bounded HTTP retries and timeouts, </w:t>
      </w:r>
      <w:r>
        <w:rPr>
          <w:rStyle w:val="VerbatimChar"/>
        </w:rPr>
        <w:t>GDAL_DISABLE_READDIR_ON_OPEN=EMPTY_DIR</w:t>
      </w:r>
      <w:r>
        <w:rPr/>
        <w:t xml:space="preserve">, a VSI cache, and </w:t>
      </w:r>
      <w:r>
        <w:rPr>
          <w:rStyle w:val="VerbatimChar"/>
        </w:rPr>
        <w:t>GDAL_HTTP_MULTIRANGE</w:t>
      </w:r>
      <w:r>
        <w:rPr/>
        <w:t xml:space="preserve"> + HTTP/2 so a windowed read (or a many-tile mosaic) needs far fewer round-trips — and restores the previous values afterwards, so QGIS’s own GDAL configuration is never permanently changed. On top of GDAL’s HTTP-layer retries, </w:t>
      </w:r>
      <w:r>
        <w:rPr>
          <w:rStyle w:val="VerbatimChar"/>
        </w:rPr>
        <w:t>_warp_with_retry</w:t>
      </w:r>
      <w:r>
        <w:rPr/>
        <w:t xml:space="preserve"> adds a bounded outer loop with linear back-off for errors GDAL surfaces without retrying. Local sources skip all of this and fail fast.</w:t>
      </w:r>
    </w:p>
    <w:p>
      <w:pPr>
        <w:pStyle w:val="BodyText"/>
        <w:rPr/>
      </w:pPr>
      <w:r>
        <w:rPr>
          <w:rStyle w:val="VerbatimChar"/>
        </w:rPr>
        <w:t>warp_many_to_grid</w:t>
      </w:r>
      <w:r>
        <w:rPr/>
        <w:t xml:space="preserve"> is the key to the fetch-by-year workflow: </w:t>
      </w:r>
      <w:r>
        <w:rPr>
          <w:rStyle w:val="VerbatimChar"/>
        </w:rPr>
        <w:t>gdal.Warp</w:t>
      </w:r>
      <w:r>
        <w:rPr/>
        <w:t xml:space="preserve"> accepts a </w:t>
      </w:r>
      <w:r>
        <w:rPr>
          <w:i/>
        </w:rPr>
        <w:t>list</w:t>
      </w:r>
      <w:r>
        <w:rPr/>
        <w:t xml:space="preserve"> of sources and reprojects each independently, so tiles that live in different UTM-zone CRSs (as AlphaEarth’s per-zone COGs do) are stitched straight onto one output grid in the target CRS in a single pass.</w:t>
      </w:r>
    </w:p>
    <w:p>
      <w:pPr>
        <w:pStyle w:val="Heading2"/>
        <w:rPr/>
      </w:pPr>
      <w:bookmarkStart w:id="22" w:name="__RefHeading___Toc7809_3476700982"/>
      <w:bookmarkStart w:id="23" w:name="X505be0a2d2cc91782245c4a5b31dbf9bca36a1e"/>
      <w:bookmarkEnd w:id="22"/>
      <w:r>
        <w:rPr/>
        <w:t>7. Getting a raster layer into the core: source resolution</w:t>
      </w:r>
      <w:bookmarkEnd w:id="23"/>
    </w:p>
    <w:p>
      <w:pPr>
        <w:pStyle w:val="FirstParagraph"/>
        <w:rPr/>
      </w:pPr>
      <w:r>
        <w:rPr/>
        <w:t xml:space="preserve">The compute core opens plain file paths (or GDAL descriptors), but a QGIS raster layer’s “source” is not always a file — it can be a provider descriptor, a subdataset, a </w:t>
      </w:r>
      <w:r>
        <w:rPr>
          <w:rStyle w:val="VerbatimChar"/>
        </w:rPr>
        <w:t>/vsicurl</w:t>
      </w:r>
      <w:r>
        <w:rPr/>
        <w:t xml:space="preserve"> URL or a geodatabase raster. </w:t>
      </w:r>
      <w:r>
        <w:rPr>
          <w:rStyle w:val="VerbatimChar"/>
        </w:rPr>
        <w:t>_qgis_io.raster_source_path</w:t>
      </w:r>
      <w:r>
        <w:rPr/>
        <w:t xml:space="preserve"> turns any such layer into something the core can open, and it delegates the </w:t>
      </w:r>
      <w:r>
        <w:rPr>
          <w:i/>
        </w:rPr>
        <w:t>decision</w:t>
      </w:r>
      <w:r>
        <w:rPr/>
        <w:t xml:space="preserve"> to the dependency-free </w:t>
      </w:r>
      <w:r>
        <w:rPr>
          <w:rStyle w:val="VerbatimChar"/>
        </w:rPr>
        <w:t>_raster_source.resolve_raster_source</w:t>
      </w:r>
      <w:r>
        <w:rPr/>
        <w:t xml:space="preserve"> so the branch logic is unit-testable without QGIS or GDAL.</w:t>
      </w:r>
    </w:p>
    <w:p>
      <w:pPr>
        <w:pStyle w:val="BodyText"/>
        <w:rPr/>
      </w:pPr>
      <w:r>
        <w:rPr/>
        <w:t xml:space="preserve">The policy has three tiers, tried in order. A candidate that is a plain file on disk is used unchanged (zero-copy). Otherwise the first candidate GDAL can open as a </w:t>
      </w:r>
      <w:r>
        <w:rPr>
          <w:i/>
        </w:rPr>
        <w:t>dataset descriptor</w:t>
      </w:r>
      <w:r>
        <w:rPr/>
        <w:t xml:space="preserve"> is wrapped in a tiny VRT — a real file that references the descriptor and reads it lazily, so a large scene is never copied in full; the VRT XML is hand-assembled by </w:t>
      </w:r>
      <w:r>
        <w:rPr>
          <w:rStyle w:val="VerbatimChar"/>
        </w:rPr>
        <w:t>build_vrt_xml</w:t>
      </w:r>
      <w:r>
        <w:rPr/>
        <w:t xml:space="preserve"> (guaranteeing a well-formed document with metadata baked in). If neither works, the layer is materialised to a temporary GeoTIFF via </w:t>
      </w:r>
      <w:r>
        <w:rPr>
          <w:rStyle w:val="VerbatimChar"/>
        </w:rPr>
        <w:t>QgsRasterFileWriter</w:t>
      </w:r>
      <w:r>
        <w:rPr/>
        <w:t xml:space="preserve">. The QGIS/GDAL-specific probes are injected into </w:t>
      </w:r>
      <w:r>
        <w:rPr>
          <w:rStyle w:val="VerbatimChar"/>
        </w:rPr>
        <w:t>resolve_raster_source</w:t>
      </w:r>
      <w:r>
        <w:rPr/>
        <w:t xml:space="preserve"> as callables, so the pure policy module has no geospatial imports at all.</w:t>
      </w:r>
    </w:p>
    <w:p>
      <w:pPr>
        <w:pStyle w:val="Heading2"/>
        <w:rPr/>
      </w:pPr>
      <w:bookmarkStart w:id="24" w:name="__RefHeading___Toc7811_3476700982"/>
      <w:bookmarkStart w:id="25" w:name="progress-messages-and-cancellation"/>
      <w:bookmarkEnd w:id="24"/>
      <w:r>
        <w:rPr/>
        <w:t>8. Progress, messages and cancellation</w:t>
      </w:r>
      <w:bookmarkEnd w:id="25"/>
    </w:p>
    <w:p>
      <w:pPr>
        <w:pStyle w:val="FirstParagraph"/>
        <w:rPr/>
      </w:pPr>
      <w:r>
        <w:rPr>
          <w:rStyle w:val="VerbatimChar"/>
        </w:rPr>
        <w:t>_progress.py</w:t>
      </w:r>
      <w:r>
        <w:rPr/>
        <w:t xml:space="preserve"> bridges QGIS Processing feedback to the compute core through plain callables and performs no </w:t>
      </w:r>
      <w:r>
        <w:rPr>
          <w:rStyle w:val="VerbatimChar"/>
        </w:rPr>
        <w:t>qgis</w:t>
      </w:r>
      <w:r>
        <w:rPr/>
        <w:t xml:space="preserve"> import — it relies only on the duck-typed protocol (</w:t>
      </w:r>
      <w:r>
        <w:rPr>
          <w:rStyle w:val="VerbatimChar"/>
        </w:rPr>
        <w:t>pushInfo</w:t>
      </w:r>
      <w:r>
        <w:rPr/>
        <w:t xml:space="preserve">, </w:t>
      </w:r>
      <w:r>
        <w:rPr>
          <w:rStyle w:val="VerbatimChar"/>
        </w:rPr>
        <w:t>setProgress</w:t>
      </w:r>
      <w:r>
        <w:rPr/>
        <w:t xml:space="preserve">, </w:t>
      </w:r>
      <w:r>
        <w:rPr>
          <w:rStyle w:val="VerbatimChar"/>
        </w:rPr>
        <w:t>setProgressText</w:t>
      </w:r>
      <w:r>
        <w:rPr/>
        <w:t xml:space="preserve">, </w:t>
      </w:r>
      <w:r>
        <w:rPr>
          <w:rStyle w:val="VerbatimChar"/>
        </w:rPr>
        <w:t>isCanceled</w:t>
      </w:r>
      <w:r>
        <w:rPr/>
        <w:t xml:space="preserve">). </w:t>
      </w:r>
      <w:r>
        <w:rPr>
          <w:rStyle w:val="VerbatimChar"/>
        </w:rPr>
        <w:t>make_message</w:t>
      </w:r>
      <w:r>
        <w:rPr/>
        <w:t xml:space="preserve"> returns a </w:t>
      </w:r>
      <w:r>
        <w:rPr>
          <w:rStyle w:val="VerbatimChar"/>
        </w:rPr>
        <w:t>message(text)</w:t>
      </w:r>
      <w:r>
        <w:rPr/>
        <w:t xml:space="preserve"> status callable, </w:t>
      </w:r>
      <w:r>
        <w:rPr>
          <w:rStyle w:val="VerbatimChar"/>
        </w:rPr>
        <w:t>make_scene_progress</w:t>
      </w:r>
      <w:r>
        <w:rPr/>
        <w:t xml:space="preserve"> returns a </w:t>
      </w:r>
      <w:r>
        <w:rPr>
          <w:rStyle w:val="VerbatimChar"/>
        </w:rPr>
        <w:t>(done, total)</w:t>
      </w:r>
      <w:r>
        <w:rPr/>
        <w:t xml:space="preserve"> callback that advances the progress bar linearly between two percentages, and </w:t>
      </w:r>
      <w:r>
        <w:rPr>
          <w:rStyle w:val="VerbatimChar"/>
        </w:rPr>
        <w:t>make_cancel</w:t>
      </w:r>
      <w:r>
        <w:rPr/>
        <w:t xml:space="preserve"> returns an </w:t>
      </w:r>
      <w:r>
        <w:rPr>
          <w:rStyle w:val="VerbatimChar"/>
        </w:rPr>
        <w:t>is_cancelled()</w:t>
      </w:r>
      <w:r>
        <w:rPr/>
        <w:t xml:space="preserve"> predicate. Passing </w:t>
      </w:r>
      <w:r>
        <w:rPr>
          <w:rStyle w:val="VerbatimChar"/>
        </w:rPr>
        <w:t>None</w:t>
      </w:r>
      <w:r>
        <w:rPr/>
        <w:t>, or an object missing some of those methods, is tolerated (the adapters no-op), which keeps the core unit-testable with a trivial fake.</w:t>
      </w:r>
    </w:p>
    <w:p>
      <w:pPr>
        <w:pStyle w:val="BodyText"/>
        <w:rPr/>
      </w:pPr>
      <w:r>
        <w:rPr/>
        <w:t xml:space="preserve">Because a long run executes on a background </w:t>
      </w:r>
      <w:r>
        <w:rPr>
          <w:rStyle w:val="VerbatimChar"/>
        </w:rPr>
        <w:t>QgsProcessingAlgRunnerTask</w:t>
      </w:r>
      <w:r>
        <w:rPr/>
        <w:t xml:space="preserve"> (§9), an unhandled exception inside the algorithm reaches the user only as the runner’s opaque </w:t>
      </w:r>
      <w:r>
        <w:rPr>
          <w:rStyle w:val="VerbatimChar"/>
        </w:rPr>
        <w:t>Task failed: Executing '&lt;algorithm&gt;'</w:t>
      </w:r>
      <w:r>
        <w:rPr/>
        <w:t xml:space="preserve">, with the real cause buried. To keep failures diagnosable, </w:t>
      </w:r>
      <w:r>
        <w:rPr>
          <w:i/>
        </w:rPr>
        <w:t>Load embedding</w:t>
      </w:r>
      <w:r>
        <w:rPr/>
        <w:t xml:space="preserve"> wraps its body in a catch-all: expected, already-explained failures (</w:t>
      </w:r>
      <w:r>
        <w:rPr>
          <w:rStyle w:val="VerbatimChar"/>
        </w:rPr>
        <w:t>QgsProcessingException</w:t>
      </w:r>
      <w:r>
        <w:rPr/>
        <w:t xml:space="preserve"> — empty AOI, no source, no intersecting tiles, user cancel) re-raise unchanged, but any </w:t>
      </w:r>
      <w:r>
        <w:rPr>
          <w:i/>
        </w:rPr>
        <w:t>other</w:t>
      </w:r>
      <w:r>
        <w:rPr/>
        <w:t xml:space="preserve"> exception is first written in full — </w:t>
      </w:r>
      <w:r>
        <w:rPr>
          <w:rStyle w:val="VerbatimChar"/>
        </w:rPr>
        <w:t>traceback.format_exc()</w:t>
      </w:r>
      <w:r>
        <w:rPr/>
        <w:t xml:space="preserve"> — to the Processing log via </w:t>
      </w:r>
      <w:r>
        <w:rPr>
          <w:rStyle w:val="VerbatimChar"/>
        </w:rPr>
        <w:t>feedback.reportError(..., fatalError=True)</w:t>
      </w:r>
      <w:r>
        <w:rPr/>
        <w:t xml:space="preserve"> and then re-raised as a </w:t>
      </w:r>
      <w:r>
        <w:rPr>
          <w:rStyle w:val="VerbatimChar"/>
        </w:rPr>
        <w:t>QgsProcessingException</w:t>
      </w:r>
      <w:r>
        <w:rPr/>
        <w:t xml:space="preserve"> with a concise one-line summary. So the dialog still fails, but the log it points at now shows the underlying error rather than the runner’s generic message.</w:t>
      </w:r>
    </w:p>
    <w:p>
      <w:pPr>
        <w:pStyle w:val="Heading2"/>
        <w:rPr/>
      </w:pPr>
      <w:bookmarkStart w:id="26" w:name="__RefHeading___Toc7813_3476700982"/>
      <w:bookmarkStart w:id="27" w:name="the-gui-the-tabbed-wizard"/>
      <w:bookmarkEnd w:id="26"/>
      <w:r>
        <w:rPr/>
        <w:t>9. The GUI: the tabbed wizard</w:t>
      </w:r>
      <w:bookmarkEnd w:id="27"/>
    </w:p>
    <w:p>
      <w:pPr>
        <w:pStyle w:val="FirstParagraph"/>
        <w:rPr/>
      </w:pPr>
      <w:r>
        <w:rPr>
          <w:rStyle w:val="VerbatimChar"/>
        </w:rPr>
        <w:t>gui/dialog.py</w:t>
      </w:r>
      <w:r>
        <w:rPr/>
        <w:t xml:space="preserve"> is a guided tabbed wizard. </w:t>
      </w:r>
      <w:r>
        <w:rPr>
          <w:rStyle w:val="VerbatimChar"/>
        </w:rPr>
        <w:t>AlphaEarthDialog</w:t>
      </w:r>
      <w:r>
        <w:rPr/>
        <w:t xml:space="preserve"> takes the </w:t>
      </w:r>
      <w:r>
        <w:rPr>
          <w:rStyle w:val="VerbatimChar"/>
        </w:rPr>
        <w:t>iface</w:t>
      </w:r>
      <w:r>
        <w:rPr/>
        <w:t xml:space="preserve"> and builds four tabs — </w:t>
      </w:r>
      <w:r>
        <w:rPr>
          <w:b/>
        </w:rPr>
        <w:t>Load / Visualise</w:t>
      </w:r>
      <w:r>
        <w:rPr/>
        <w:t xml:space="preserve">, </w:t>
      </w:r>
      <w:r>
        <w:rPr>
          <w:b/>
        </w:rPr>
        <w:t>Classify</w:t>
      </w:r>
      <w:r>
        <w:rPr/>
        <w:t xml:space="preserve">, </w:t>
      </w:r>
      <w:r>
        <w:rPr>
          <w:b/>
        </w:rPr>
        <w:t>Similarity</w:t>
      </w:r>
      <w:r>
        <w:rPr/>
        <w:t xml:space="preserve"> and </w:t>
      </w:r>
      <w:r>
        <w:rPr>
          <w:b/>
        </w:rPr>
        <w:t>Change</w:t>
      </w:r>
      <w:r>
        <w:rPr/>
        <w:t xml:space="preserve"> — over the common workflows for non-scripters. Shared widgets come from QGIS’s own GUI toolkit: a </w:t>
      </w:r>
      <w:r>
        <w:rPr>
          <w:rStyle w:val="VerbatimChar"/>
        </w:rPr>
        <w:t>QgsExtentGroupBox</w:t>
      </w:r>
      <w:r>
        <w:rPr/>
        <w:t xml:space="preserve"> bound to the map canvas (with a draw-on-canvas rectangle) for the area of interest, a </w:t>
      </w:r>
      <w:r>
        <w:rPr>
          <w:rStyle w:val="VerbatimChar"/>
        </w:rPr>
        <w:t>QgsProjectionSelectionWidget</w:t>
      </w:r>
      <w:r>
        <w:rPr/>
        <w:t xml:space="preserve"> for the target CRS (kept in sync with the extent’s output CRS), </w:t>
      </w:r>
      <w:r>
        <w:rPr>
          <w:rStyle w:val="VerbatimChar"/>
        </w:rPr>
        <w:t>QgsMapLayerComboBox</w:t>
      </w:r>
      <w:r>
        <w:rPr/>
        <w:t xml:space="preserve"> raster/vector pickers, a </w:t>
      </w:r>
      <w:r>
        <w:rPr>
          <w:rStyle w:val="VerbatimChar"/>
        </w:rPr>
        <w:t>QgsFieldComboBox</w:t>
      </w:r>
      <w:r>
        <w:rPr/>
        <w:t xml:space="preserve"> that follows its layer, and a year </w:t>
      </w:r>
      <w:r>
        <w:rPr>
          <w:rStyle w:val="VerbatimChar"/>
        </w:rPr>
        <w:t>QComboBox</w:t>
      </w:r>
      <w:r>
        <w:rPr/>
        <w:t xml:space="preserve"> populated from </w:t>
      </w:r>
      <w:r>
        <w:rPr>
          <w:rStyle w:val="VerbatimChar"/>
        </w:rPr>
        <w:t>intake.AVAILABLE_YEARS</w:t>
      </w:r>
      <w:r>
        <w:rPr/>
        <w:t>. Because QGIS 3.34 (Qt5) and QGIS 4 (Qt6) moved several enums, version-robust helpers resolve the raster/vector filter flags across both.</w:t>
      </w:r>
    </w:p>
    <w:p>
      <w:pPr>
        <w:pStyle w:val="BodyText"/>
        <w:rPr/>
      </w:pPr>
      <w:r>
        <w:rPr/>
        <w:t xml:space="preserve">Several tabs also surface the preset library from </w:t>
      </w:r>
      <w:r>
        <w:rPr>
          <w:rStyle w:val="VerbatimChar"/>
        </w:rPr>
        <w:t>aecore/presets.py</w:t>
      </w:r>
      <w:r>
        <w:rPr/>
        <w:t xml:space="preserve"> as a drop-down of named starting points — for RGB, similarity, clustering and change — whose entries store </w:t>
      </w:r>
      <w:r>
        <w:rPr>
          <w:i/>
        </w:rPr>
        <w:t>semantic</w:t>
      </w:r>
      <w:r>
        <w:rPr/>
        <w:t xml:space="preserve"> values (</w:t>
      </w:r>
      <w:r>
        <w:rPr>
          <w:rStyle w:val="VerbatimChar"/>
        </w:rPr>
        <w:t>method="pca"</w:t>
      </w:r>
      <w:r>
        <w:rPr/>
        <w:t xml:space="preserve">, </w:t>
      </w:r>
      <w:r>
        <w:rPr>
          <w:rStyle w:val="VerbatimChar"/>
        </w:rPr>
        <w:t>metric="cosine"</w:t>
      </w:r>
      <w:r>
        <w:rPr/>
        <w:t xml:space="preserve">) rather than dropdown indices, so a preset means the same thing regardless of widget order. The </w:t>
      </w:r>
      <w:r>
        <w:rPr>
          <w:i/>
        </w:rPr>
        <w:t>Change</w:t>
      </w:r>
      <w:r>
        <w:rPr/>
        <w:t xml:space="preserve"> tab additionally offers the one-step </w:t>
      </w:r>
      <w:r>
        <w:rPr>
          <w:i/>
        </w:rPr>
        <w:t>Change over years</w:t>
      </w:r>
      <w:r>
        <w:rPr/>
        <w:t xml:space="preserve"> flow: tick the years, set one AOI/CRS/resolution and a change mode, and it runs </w:t>
      </w:r>
      <w:r>
        <w:rPr>
          <w:rStyle w:val="VerbatimChar"/>
        </w:rPr>
        <w:t>alphaearth:changeyears</w:t>
      </w:r>
      <w:r>
        <w:rPr/>
        <w:t xml:space="preserve"> to fetch and compare in a single pass. The </w:t>
      </w:r>
      <w:r>
        <w:rPr>
          <w:i/>
        </w:rPr>
        <w:t>Classify</w:t>
      </w:r>
      <w:r>
        <w:rPr/>
        <w:t xml:space="preserve"> tab exposes the model save/reuse and accuracy-report fields backed by </w:t>
      </w:r>
      <w:r>
        <w:rPr>
          <w:rStyle w:val="VerbatimChar"/>
        </w:rPr>
        <w:t>algorithms/_ml_shared.py</w:t>
      </w:r>
      <w:r>
        <w:rPr/>
        <w:t xml:space="preserve">, an opt-in </w:t>
      </w:r>
      <w:r>
        <w:rPr>
          <w:i/>
        </w:rPr>
        <w:t>Tune hyper-parameters</w:t>
      </w:r>
      <w:r>
        <w:rPr/>
        <w:t xml:space="preserve"> switch with an iterations spin-box (which simply sets the </w:t>
      </w:r>
      <w:r>
        <w:rPr>
          <w:rStyle w:val="VerbatimChar"/>
        </w:rPr>
        <w:t>TUNE</w:t>
      </w:r>
      <w:r>
        <w:rPr/>
        <w:t>/</w:t>
      </w:r>
      <w:r>
        <w:rPr>
          <w:rStyle w:val="VerbatimChar"/>
        </w:rPr>
        <w:t>TUNE_ITERS</w:t>
      </w:r>
      <w:r>
        <w:rPr/>
        <w:t xml:space="preserve"> parameters on whichever classify run the tab launches, so both the single-year classify and the fetch-years flow can tune), and — mirroring the </w:t>
      </w:r>
      <w:r>
        <w:rPr>
          <w:i/>
        </w:rPr>
        <w:t>Change</w:t>
      </w:r>
      <w:r>
        <w:rPr/>
        <w:t xml:space="preserve"> tab — a one-step </w:t>
      </w:r>
      <w:r>
        <w:rPr>
          <w:i/>
        </w:rPr>
        <w:t>Classify over years</w:t>
      </w:r>
      <w:r>
        <w:rPr/>
        <w:t xml:space="preserve"> flow: tick the years on the Load tab, set the training layer and field once, and a </w:t>
      </w:r>
      <w:r>
        <w:rPr>
          <w:b/>
        </w:rPr>
        <w:t>Fetch ticked years and classify</w:t>
      </w:r>
      <w:r>
        <w:rPr/>
        <w:t xml:space="preserve"> button runs </w:t>
      </w:r>
      <w:r>
        <w:rPr>
          <w:rStyle w:val="VerbatimChar"/>
        </w:rPr>
        <w:t>alphaearth:classifyyears</w:t>
      </w:r>
      <w:r>
        <w:rPr/>
        <w:t xml:space="preserve">, with two extra tick-boxes to also request the first-to-last transition raster and the changed/unchanged mask. The wizard adds no new compute — each control just marshals parameters for an existing Processing algorithm, run off-thread through </w:t>
      </w:r>
      <w:r>
        <w:rPr>
          <w:rStyle w:val="VerbatimChar"/>
        </w:rPr>
        <w:t>_execute</w:t>
      </w:r>
      <w:r>
        <w:rPr/>
        <w:t xml:space="preserve"> — so the automatic-k option for </w:t>
      </w:r>
      <w:r>
        <w:rPr>
          <w:i/>
        </w:rPr>
        <w:t>Cluster</w:t>
      </w:r>
      <w:r>
        <w:rPr/>
        <w:t xml:space="preserve"> remains the one tuning-style control surfaced only on the Processing algorithm rather than in the wizard. Finally, an opt-in advanced tick-box, </w:t>
      </w:r>
      <w:r>
        <w:rPr>
          <w:i/>
        </w:rPr>
        <w:t>Remember the tile index across sessions</w:t>
      </w:r>
      <w:r>
        <w:rPr/>
        <w:t>, switches the per-</w:t>
      </w:r>
      <w:r>
        <w:rPr>
          <w:rStyle w:val="VerbatimChar"/>
        </w:rPr>
        <w:t>(year, zone)</w:t>
      </w:r>
      <w:r>
        <w:rPr/>
        <w:t xml:space="preserve"> listing/anchor/footprint cache from the volatile OS temp directory to a durable location under the QGIS profile directory; the profile-path resolution is the only QGIS-dependent piece, while the directory logic (</w:t>
      </w:r>
      <w:r>
        <w:rPr>
          <w:rStyle w:val="VerbatimChar"/>
        </w:rPr>
        <w:t>intake.persistent_cache_dir</w:t>
      </w:r>
      <w:r>
        <w:rPr/>
        <w:t>) is pure and unit-tested, and the temp-dir cache remains the default.</w:t>
      </w:r>
    </w:p>
    <w:p>
      <w:pPr>
        <w:pStyle w:val="BodyText"/>
        <w:rPr/>
      </w:pPr>
      <w:r>
        <w:rPr/>
        <w:t xml:space="preserve">Crucially, every run executes </w:t>
      </w:r>
      <w:r>
        <w:rPr>
          <w:b/>
        </w:rPr>
        <w:t>off the GUI thread</w:t>
      </w:r>
      <w:r>
        <w:rPr/>
        <w:t xml:space="preserve">. </w:t>
      </w:r>
      <w:r>
        <w:rPr>
          <w:rStyle w:val="VerbatimChar"/>
        </w:rPr>
        <w:t>_execute</w:t>
      </w:r>
      <w:r>
        <w:rPr/>
        <w:t xml:space="preserve"> builds a </w:t>
      </w:r>
      <w:r>
        <w:rPr>
          <w:rStyle w:val="VerbatimChar"/>
        </w:rPr>
        <w:t>QgsProcessingContext</w:t>
      </w:r>
      <w:r>
        <w:rPr/>
        <w:t xml:space="preserve"> and </w:t>
      </w:r>
      <w:r>
        <w:rPr>
          <w:rStyle w:val="VerbatimChar"/>
        </w:rPr>
        <w:t>QgsProcessingFeedback</w:t>
      </w:r>
      <w:r>
        <w:rPr/>
        <w:t xml:space="preserve">, wraps the chosen algorithm in a </w:t>
      </w:r>
      <w:r>
        <w:rPr>
          <w:rStyle w:val="VerbatimChar"/>
        </w:rPr>
        <w:t>QgsProcessingAlgRunnerTask</w:t>
      </w:r>
      <w:r>
        <w:rPr/>
        <w:t xml:space="preserve">, connects its </w:t>
      </w:r>
      <w:r>
        <w:rPr>
          <w:rStyle w:val="VerbatimChar"/>
        </w:rPr>
        <w:t>progressChanged</w:t>
      </w:r>
      <w:r>
        <w:rPr/>
        <w:t xml:space="preserve"> and </w:t>
      </w:r>
      <w:r>
        <w:rPr>
          <w:rStyle w:val="VerbatimChar"/>
        </w:rPr>
        <w:t>executed</w:t>
      </w:r>
      <w:r>
        <w:rPr/>
        <w:t xml:space="preserve"> signals to update a progress bar and load results, and hands it to the task manager — so a long cloud fetch or a model fit never freezes the interface, and a </w:t>
      </w:r>
      <w:r>
        <w:rPr>
          <w:b/>
        </w:rPr>
        <w:t>Cancel</w:t>
      </w:r>
      <w:r>
        <w:rPr/>
        <w:t xml:space="preserve"> button cancels both the feedback and the task. Successful file outputs are added to the project as raster/vector layers when the task finishes. (If the runner task is unavailable, it falls back to </w:t>
      </w:r>
      <w:r>
        <w:rPr>
          <w:rStyle w:val="VerbatimChar"/>
        </w:rPr>
        <w:t>processing.execAlgorithmDialog</w:t>
      </w:r>
      <w:r>
        <w:rPr/>
        <w:t>.)</w:t>
      </w:r>
    </w:p>
    <w:p>
      <w:pPr>
        <w:pStyle w:val="BodyText"/>
        <w:rPr/>
      </w:pPr>
      <w:r>
        <w:rPr/>
        <w:t xml:space="preserve">The Classify tab also hosts the scikit-learn </w:t>
      </w:r>
      <w:r>
        <w:rPr>
          <w:b/>
        </w:rPr>
        <w:t>detect-and-install</w:t>
      </w:r>
      <w:r>
        <w:rPr/>
        <w:t xml:space="preserve"> UX. On open it calls </w:t>
      </w:r>
      <w:r>
        <w:rPr>
          <w:rStyle w:val="VerbatimChar"/>
        </w:rPr>
        <w:t>_sklearn.sklearn_status</w:t>
      </w:r>
      <w:r>
        <w:rPr/>
        <w:t xml:space="preserve"> and shows whether the library is available; the </w:t>
      </w:r>
      <w:r>
        <w:rPr>
          <w:b/>
        </w:rPr>
        <w:t>Install scikit-learn</w:t>
      </w:r>
      <w:r>
        <w:rPr/>
        <w:t xml:space="preserve"> button runs </w:t>
      </w:r>
      <w:r>
        <w:rPr>
          <w:rStyle w:val="VerbatimChar"/>
        </w:rPr>
        <w:t>python -m pip install "scikit-learn&gt;=1.0"</w:t>
      </w:r>
      <w:r>
        <w:rPr/>
        <w:t xml:space="preserve"> against the running interpreter on a background </w:t>
      </w:r>
      <w:r>
        <w:rPr>
          <w:rStyle w:val="VerbatimChar"/>
        </w:rPr>
        <w:t>QgsTask</w:t>
      </w:r>
      <w:r>
        <w:rPr/>
        <w:t xml:space="preserve"> (so the UI stays live), then re-checks status when it finishes. The install plumbing lives in the pure </w:t>
      </w:r>
      <w:r>
        <w:rPr>
          <w:rStyle w:val="VerbatimChar"/>
        </w:rPr>
        <w:t>algorithms/_sklearn.py</w:t>
      </w:r>
      <w:r>
        <w:rPr/>
        <w:t xml:space="preserve"> (a stdlib-only </w:t>
      </w:r>
      <w:r>
        <w:rPr>
          <w:rStyle w:val="VerbatimChar"/>
        </w:rPr>
        <w:t>find_spec</w:t>
      </w:r>
      <w:r>
        <w:rPr/>
        <w:t xml:space="preserve"> probe plus a </w:t>
      </w:r>
      <w:r>
        <w:rPr>
          <w:rStyle w:val="VerbatimChar"/>
        </w:rPr>
        <w:t>subprocess</w:t>
      </w:r>
      <w:r>
        <w:rPr/>
        <w:t xml:space="preserve"> runner injected as a callable, so it is unit-tested without actually installing anything), and the algorithms call the same module’s </w:t>
      </w:r>
      <w:r>
        <w:rPr>
          <w:rStyle w:val="VerbatimChar"/>
        </w:rPr>
        <w:t>ensure_sklearn</w:t>
      </w:r>
      <w:r>
        <w:rPr/>
        <w:t xml:space="preserve"> guard — one source of truth for “is scikit-learn here?” shared by the GUI and the headless algorithms.</w:t>
      </w:r>
    </w:p>
    <w:p>
      <w:pPr>
        <w:pStyle w:val="Heading2"/>
        <w:rPr/>
      </w:pPr>
      <w:bookmarkStart w:id="28" w:name="__RefHeading___Toc7815_3476700982"/>
      <w:bookmarkStart w:id="29" w:name="testing-and-ci"/>
      <w:bookmarkEnd w:id="28"/>
      <w:r>
        <w:rPr/>
        <w:t>10. Testing and CI</w:t>
      </w:r>
      <w:bookmarkEnd w:id="29"/>
    </w:p>
    <w:p>
      <w:pPr>
        <w:pStyle w:val="FirstParagraph"/>
        <w:rPr/>
      </w:pPr>
      <w:r>
        <w:rPr/>
        <w:t xml:space="preserve">Tests live under </w:t>
      </w:r>
      <w:r>
        <w:rPr>
          <w:rStyle w:val="VerbatimChar"/>
        </w:rPr>
        <w:t>tests/</w:t>
      </w:r>
      <w:r>
        <w:rPr/>
        <w:t xml:space="preserve"> and cover the pure tiers with no network access — the </w:t>
      </w:r>
      <w:r>
        <w:rPr>
          <w:rStyle w:val="VerbatimChar"/>
        </w:rPr>
        <w:t>intake</w:t>
      </w:r>
      <w:r>
        <w:rPr/>
        <w:t xml:space="preserve"> tile-discovery helpers are exercised with an </w:t>
      </w:r>
      <w:r>
        <w:rPr>
          <w:i/>
        </w:rPr>
        <w:t>injected</w:t>
      </w:r>
      <w:r>
        <w:rPr/>
        <w:t xml:space="preserve"> </w:t>
      </w:r>
      <w:r>
        <w:rPr>
          <w:rStyle w:val="VerbatimChar"/>
        </w:rPr>
        <w:t>fetch_json</w:t>
      </w:r>
      <w:r>
        <w:rPr/>
        <w:t xml:space="preserve"> so the GCS listing logic is verified deterministically offline (including scene grouping, the conservative scene-extent over-estimate — asserted to contain every tile of a synthetic scene under </w:t>
      </w:r>
      <w:r>
        <w:rPr>
          <w:i/>
        </w:rPr>
        <w:t>either</w:t>
      </w:r>
      <w:r>
        <w:rPr/>
        <w:t xml:space="preserve"> pixel-axis orientation — and the footprint and listing/anchor caches, plus the multi-year helpers — </w:t>
      </w:r>
      <w:r>
        <w:rPr>
          <w:rStyle w:val="VerbatimChar"/>
        </w:rPr>
        <w:t>years_from_indices</w:t>
      </w:r>
      <w:r>
        <w:rPr/>
        <w:t xml:space="preserve"> index→year mapping with sort/dedup and out-of-range rejection, and </w:t>
      </w:r>
      <w:r>
        <w:rPr>
          <w:rStyle w:val="VerbatimChar"/>
        </w:rPr>
        <w:t>year_raster_name</w:t>
      </w:r>
      <w:r>
        <w:rPr/>
        <w:t xml:space="preserve">), and the NumPy similarity, change, sampling, RGB and ML cores (including the cross-validation, confusion-matrix and class-balance maths), the pure </w:t>
      </w:r>
      <w:r>
        <w:rPr>
          <w:rStyle w:val="VerbatimChar"/>
        </w:rPr>
        <w:t>aecore.model_io</w:t>
      </w:r>
      <w:r>
        <w:rPr/>
        <w:t xml:space="preserve"> </w:t>
      </w:r>
      <w:r>
        <w:rPr>
          <w:rStyle w:val="VerbatimChar"/>
        </w:rPr>
        <w:t>.pkl</w:t>
      </w:r>
      <w:r>
        <w:rPr/>
        <w:t xml:space="preserve"> round-trip and its version/band-count validation, the </w:t>
      </w:r>
      <w:r>
        <w:rPr>
          <w:rStyle w:val="VerbatimChar"/>
        </w:rPr>
        <w:t>aecore.presets</w:t>
      </w:r>
      <w:r>
        <w:rPr/>
        <w:t xml:space="preserve"> registries, the pure </w:t>
      </w:r>
      <w:r>
        <w:rPr>
          <w:rStyle w:val="VerbatimChar"/>
        </w:rPr>
        <w:t>intake.persistent_cache_dir</w:t>
      </w:r>
      <w:r>
        <w:rPr/>
        <w:t xml:space="preserve"> directory logic, the scikit-learn detection plumbing (with an injected subprocess runner), and the pure source-resolution policy are tested directly. The change-report core is tested the same way — </w:t>
      </w:r>
      <w:r>
        <w:rPr>
          <w:rStyle w:val="VerbatimChar"/>
        </w:rPr>
        <w:t>tests/test_report.py</w:t>
      </w:r>
      <w:r>
        <w:rPr/>
        <w:t xml:space="preserve"> exercises the summary statistics, histogram, monotone area-fractions and hectares, over-time series, scatter sub-sampling, the </w:t>
      </w:r>
      <w:r>
        <w:rPr>
          <w:rStyle w:val="VerbatimChar"/>
        </w:rPr>
        <w:t>ReportModel</w:t>
      </w:r>
      <w:r>
        <w:rPr/>
        <w:t xml:space="preserve"> builder and the standalone HTML/CSV rendering with no QGIS, GDAL or matplotlib present (the PNG/PDF test </w:t>
      </w:r>
      <w:r>
        <w:rPr>
          <w:rStyle w:val="VerbatimChar"/>
        </w:rPr>
        <w:t>importorskip</w:t>
      </w:r>
      <w:r>
        <w:rPr/>
        <w:t xml:space="preserve">s matplotlib) — and </w:t>
      </w:r>
      <w:r>
        <w:rPr>
          <w:rStyle w:val="VerbatimChar"/>
        </w:rPr>
        <w:t>tests/test_change_years.py</w:t>
      </w:r>
      <w:r>
        <w:rPr/>
        <w:t xml:space="preserve"> reaches the qgis-facing dispatcher through a fake </w:t>
      </w:r>
      <w:r>
        <w:rPr>
          <w:rStyle w:val="VerbatimChar"/>
        </w:rPr>
        <w:t>qgis.core</w:t>
      </w:r>
      <w:r>
        <w:rPr/>
        <w:t xml:space="preserve"> that now also stands in for the </w:t>
      </w:r>
      <w:r>
        <w:rPr>
          <w:rStyle w:val="VerbatimChar"/>
        </w:rPr>
        <w:t>_report</w:t>
      </w:r>
      <w:r>
        <w:rPr/>
        <w:t>/</w:t>
      </w:r>
      <w:r>
        <w:rPr>
          <w:rStyle w:val="VerbatimChar"/>
        </w:rPr>
        <w:t>_ml_shared</w:t>
      </w:r>
      <w:r>
        <w:rPr/>
        <w:t xml:space="preserve"> imports </w:t>
      </w:r>
      <w:r>
        <w:rPr>
          <w:rStyle w:val="VerbatimChar"/>
        </w:rPr>
        <w:t>change_detection</w:t>
      </w:r>
      <w:r>
        <w:rPr/>
        <w:t xml:space="preserve"> pulls in. The v0.9.0 tuning maths — </w:t>
      </w:r>
      <w:r>
        <w:rPr>
          <w:rStyle w:val="VerbatimChar"/>
        </w:rPr>
        <w:t>ml.randomized_search</w:t>
      </w:r>
      <w:r>
        <w:rPr/>
        <w:t xml:space="preserve"> (with an in-memory scorer, so no scikit-learn is needed), its </w:t>
      </w:r>
      <w:r>
        <w:rPr>
          <w:rStyle w:val="VerbatimChar"/>
        </w:rPr>
        <w:t>ml.sample_parameter_grid</w:t>
      </w:r>
      <w:r>
        <w:rPr/>
        <w:t xml:space="preserve">, </w:t>
      </w:r>
      <w:r>
        <w:rPr>
          <w:rStyle w:val="VerbatimChar"/>
        </w:rPr>
        <w:t>ml.select_best_params</w:t>
      </w:r>
      <w:r>
        <w:rPr/>
        <w:t xml:space="preserve"> and </w:t>
      </w:r>
      <w:r>
        <w:rPr>
          <w:rStyle w:val="VerbatimChar"/>
        </w:rPr>
        <w:t>ml.format_search_report</w:t>
      </w:r>
      <w:r>
        <w:rPr/>
        <w:t xml:space="preserve"> primitives, and the transition/changed-mask/transition-label helpers — are unit-tested directly, and </w:t>
      </w:r>
      <w:r>
        <w:rPr>
          <w:rStyle w:val="VerbatimChar"/>
        </w:rPr>
        <w:t>tests/test_ml_shared.py</w:t>
      </w:r>
      <w:r>
        <w:rPr/>
        <w:t xml:space="preserve"> exercises </w:t>
      </w:r>
      <w:r>
        <w:rPr>
          <w:rStyle w:val="VerbatimChar"/>
        </w:rPr>
        <w:t>tuning_grid</w:t>
      </w:r>
      <w:r>
        <w:rPr/>
        <w:t xml:space="preserve"> and </w:t>
      </w:r>
      <w:r>
        <w:rPr>
          <w:rStyle w:val="VerbatimChar"/>
        </w:rPr>
        <w:t>resolve_tune_folds</w:t>
      </w:r>
      <w:r>
        <w:rPr/>
        <w:t xml:space="preserve"> through the same fake-</w:t>
      </w:r>
      <w:r>
        <w:rPr>
          <w:rStyle w:val="VerbatimChar"/>
        </w:rPr>
        <w:t>qgis.core</w:t>
      </w:r>
      <w:r>
        <w:rPr/>
        <w:t xml:space="preserve"> shim. (The cluster automatic-k helper </w:t>
      </w:r>
      <w:r>
        <w:rPr>
          <w:rStyle w:val="VerbatimChar"/>
        </w:rPr>
        <w:t>_select_k</w:t>
      </w:r>
      <w:r>
        <w:rPr/>
        <w:t xml:space="preserve"> builds on </w:t>
      </w:r>
      <w:r>
        <w:rPr>
          <w:rStyle w:val="VerbatimChar"/>
        </w:rPr>
        <w:t>silhouette_score</w:t>
      </w:r>
      <w:r>
        <w:rPr/>
        <w:t xml:space="preserve"> from scikit-learn, so it is covered by the smoke test rather than the pure suite, but it reuses the same unit-tested </w:t>
      </w:r>
      <w:r>
        <w:rPr>
          <w:rStyle w:val="VerbatimChar"/>
        </w:rPr>
        <w:t>select_best_params</w:t>
      </w:r>
      <w:r>
        <w:rPr/>
        <w:t xml:space="preserve"> and </w:t>
      </w:r>
      <w:r>
        <w:rPr>
          <w:rStyle w:val="VerbatimChar"/>
        </w:rPr>
        <w:t>format_search_report</w:t>
      </w:r>
      <w:r>
        <w:rPr/>
        <w:t xml:space="preserve">.) As of v0.9.0 the pure suite is 266 passing tests. </w:t>
      </w:r>
      <w:r>
        <w:rPr>
          <w:rStyle w:val="VerbatimChar"/>
        </w:rPr>
        <w:t>tests/test_raster_gdal.py</w:t>
      </w:r>
      <w:r>
        <w:rPr/>
        <w:t xml:space="preserve"> adds GDAL round-trip and rasterio-parity tests for </w:t>
      </w:r>
      <w:r>
        <w:rPr>
          <w:rStyle w:val="VerbatimChar"/>
        </w:rPr>
        <w:t>aecore._raster</w:t>
      </w:r>
      <w:r>
        <w:rPr/>
        <w:t xml:space="preserve">; they </w:t>
      </w:r>
      <w:r>
        <w:rPr>
          <w:rStyle w:val="VerbatimChar"/>
        </w:rPr>
        <w:t>pytest.importorskip</w:t>
      </w:r>
      <w:r>
        <w:rPr/>
        <w:t xml:space="preserve"> GDAL (and rasterio) so they simply skip in the pure environment and run only where the geo stack is present. </w:t>
      </w:r>
      <w:r>
        <w:rPr>
          <w:rStyle w:val="VerbatimChar"/>
        </w:rPr>
        <w:t>tests/test_algorithms_qgis.py</w:t>
      </w:r>
      <w:r>
        <w:rPr/>
        <w:t xml:space="preserve"> goes one step further: it registers the provider in a headless QGIS and runs each offline algorithm (RGB, similarity, change, extract, and classify when scikit-learn is present) end-to-end through </w:t>
      </w:r>
      <w:r>
        <w:rPr>
          <w:rStyle w:val="VerbatimChar"/>
        </w:rPr>
        <w:t>processing.run</w:t>
      </w:r>
      <w:r>
        <w:rPr/>
        <w:t xml:space="preserve"> on synthetic 64-band inputs, asserts the provider exposes all twelve algorithm ids, and checks that every optional tuning switch defaults to off. It skips automatically wherever </w:t>
      </w:r>
      <w:r>
        <w:rPr>
          <w:rStyle w:val="VerbatimChar"/>
        </w:rPr>
        <w:t>qgis.core</w:t>
      </w:r>
      <w:r>
        <w:rPr/>
        <w:t xml:space="preserve"> is absent, so it is a no-op in the pure “checks” job and the sandbox and runs for real in the QGIS/GDAL container and in live QGIS.</w:t>
      </w:r>
    </w:p>
    <w:p>
      <w:pPr>
        <w:pStyle w:val="BodyText"/>
        <w:rPr/>
      </w:pPr>
      <w:r>
        <w:rPr>
          <w:rStyle w:val="VerbatimChar"/>
        </w:rPr>
        <w:t>.github/workflows/ci.yml</w:t>
      </w:r>
      <w:r>
        <w:rPr/>
        <w:t xml:space="preserve"> runs two jobs. The </w:t>
      </w:r>
      <w:r>
        <w:rPr>
          <w:rStyle w:val="VerbatimChar"/>
        </w:rPr>
        <w:t>checks</w:t>
      </w:r>
      <w:r>
        <w:rPr/>
        <w:t xml:space="preserve"> job runs on a plain Ubuntu Python (matrix 3.10 and 3.12) and executes the four gates: </w:t>
      </w:r>
      <w:r>
        <w:rPr>
          <w:rStyle w:val="VerbatimChar"/>
        </w:rPr>
        <w:t>ruff check</w:t>
      </w:r>
      <w:r>
        <w:rPr/>
        <w:t xml:space="preserve">, </w:t>
      </w:r>
      <w:r>
        <w:rPr>
          <w:rStyle w:val="VerbatimChar"/>
        </w:rPr>
        <w:t>ruff format --check</w:t>
      </w:r>
      <w:r>
        <w:rPr/>
        <w:t xml:space="preserve">, </w:t>
      </w:r>
      <w:r>
        <w:rPr>
          <w:rStyle w:val="VerbatimChar"/>
        </w:rPr>
        <w:t>mypy</w:t>
      </w:r>
      <w:r>
        <w:rPr/>
        <w:t xml:space="preserve"> (strict) and </w:t>
      </w:r>
      <w:r>
        <w:rPr>
          <w:rStyle w:val="VerbatimChar"/>
        </w:rPr>
        <w:t>pytest</w:t>
      </w:r>
      <w:r>
        <w:rPr/>
        <w:t xml:space="preserve">. Because that runner has no GDAL, only the pure modules are importable there — which is exactly why the import-light boundary matters. A second </w:t>
      </w:r>
      <w:r>
        <w:rPr>
          <w:rStyle w:val="VerbatimChar"/>
        </w:rPr>
        <w:t>qgis</w:t>
      </w:r>
      <w:r>
        <w:rPr/>
        <w:t xml:space="preserve"> job runs inside a QGIS container under </w:t>
      </w:r>
      <w:r>
        <w:rPr>
          <w:rStyle w:val="VerbatimChar"/>
        </w:rPr>
        <w:t>xvfb</w:t>
      </w:r>
      <w:r>
        <w:rPr/>
        <w:t xml:space="preserve"> over a matrix of two images: </w:t>
      </w:r>
      <w:r>
        <w:rPr>
          <w:rStyle w:val="VerbatimChar"/>
        </w:rPr>
        <w:t>release-3_34</w:t>
      </w:r>
      <w:r>
        <w:rPr/>
        <w:t xml:space="preserve"> (gating) and the moving </w:t>
      </w:r>
      <w:r>
        <w:rPr>
          <w:rStyle w:val="VerbatimChar"/>
        </w:rPr>
        <w:t>latest</w:t>
      </w:r>
      <w:r>
        <w:rPr/>
        <w:t xml:space="preserve"> tag (Qt6/QGIS 4, </w:t>
      </w:r>
      <w:r>
        <w:rPr>
          <w:rStyle w:val="VerbatimChar"/>
        </w:rPr>
        <w:t>continue-on-error</w:t>
      </w:r>
      <w:r>
        <w:rPr/>
        <w:t xml:space="preserve"> so it is informational), where the GDAL-backed parity tests and the QGIS-backed algorithm regression tests (</w:t>
      </w:r>
      <w:r>
        <w:rPr>
          <w:rStyle w:val="VerbatimChar"/>
        </w:rPr>
        <w:t>tests/test_algorithms_qgis.py</w:t>
      </w:r>
      <w:r>
        <w:rPr/>
        <w:t>) actually execute.</w:t>
      </w:r>
    </w:p>
    <w:p>
      <w:pPr>
        <w:pStyle w:val="BodyText"/>
        <w:rPr/>
      </w:pPr>
      <w:r>
        <w:rPr>
          <w:rStyle w:val="VerbatimChar"/>
        </w:rPr>
        <w:t>pyproject.toml</w:t>
      </w:r>
      <w:r>
        <w:rPr/>
        <w:t xml:space="preserve"> pins the toolchain: ruff selects </w:t>
      </w:r>
      <w:r>
        <w:rPr>
          <w:rStyle w:val="VerbatimChar"/>
        </w:rPr>
        <w:t>E,F,I,N,UP,B,C4,SIM,RUF</w:t>
      </w:r>
      <w:r>
        <w:rPr/>
        <w:t xml:space="preserve"> at a 100-character line length, mypy is </w:t>
      </w:r>
      <w:r>
        <w:rPr>
          <w:rStyle w:val="VerbatimChar"/>
        </w:rPr>
        <w:t>strict</w:t>
      </w:r>
      <w:r>
        <w:rPr/>
        <w:t xml:space="preserve"> with the QGIS/GDAL-facing glue modules relaxed (they subclass QGIS’s untyped base classes) and third-party geo modules marked as missing stubs, and mypy is pinned to </w:t>
      </w:r>
      <w:r>
        <w:rPr>
          <w:rStyle w:val="VerbatimChar"/>
        </w:rPr>
        <w:t>1.11.2</w:t>
      </w:r>
      <w:r>
        <w:rPr/>
        <w:t>.</w:t>
      </w:r>
    </w:p>
    <w:p>
      <w:pPr>
        <w:pStyle w:val="Heading2"/>
        <w:rPr/>
      </w:pPr>
      <w:bookmarkStart w:id="30" w:name="__RefHeading___Toc7817_3476700982"/>
      <w:bookmarkStart w:id="31" w:name="packaging"/>
      <w:bookmarkEnd w:id="30"/>
      <w:r>
        <w:rPr/>
        <w:t>11. Packaging</w:t>
      </w:r>
      <w:bookmarkEnd w:id="31"/>
    </w:p>
    <w:p>
      <w:pPr>
        <w:pStyle w:val="FirstParagraph"/>
        <w:rPr/>
      </w:pPr>
      <w:r>
        <w:rPr>
          <w:rStyle w:val="VerbatimChar"/>
        </w:rPr>
        <w:t>scripts/build_plugin_zip.py</w:t>
      </w:r>
      <w:r>
        <w:rPr/>
        <w:t xml:space="preserve"> packages exactly the </w:t>
      </w:r>
      <w:r>
        <w:rPr>
          <w:rStyle w:val="VerbatimChar"/>
        </w:rPr>
        <w:t>alphaearth_toolbox/</w:t>
      </w:r>
      <w:r>
        <w:rPr/>
        <w:t xml:space="preserve"> folder — skipping byte-code caches — into </w:t>
      </w:r>
      <w:r>
        <w:rPr>
          <w:rStyle w:val="VerbatimChar"/>
        </w:rPr>
        <w:t>alphaearth_toolbox.zip</w:t>
      </w:r>
      <w:r>
        <w:rPr/>
        <w:t xml:space="preserve"> with fixed entry timestamps, so repeated builds of an unchanged tree are byte-identical. It builds into a temporary file and then copies the bytes over the destination, because on a cloud-synced folder (OneDrive) unlinking or replacing a file can be blocked while truncate-and-write in place (what </w:t>
      </w:r>
      <w:r>
        <w:rPr>
          <w:rStyle w:val="VerbatimChar"/>
        </w:rPr>
        <w:t>copyfile</w:t>
      </w:r>
      <w:r>
        <w:rPr/>
        <w:t xml:space="preserve"> does) is allowed — a lesson carried over from the sibling plugins. The resulting ZIP installs through QGIS’s </w:t>
      </w:r>
      <w:r>
        <w:rPr>
          <w:i/>
        </w:rPr>
        <w:t>Install from ZIP</w:t>
      </w:r>
      <w:r>
        <w:rPr/>
        <w:t>.</w:t>
      </w:r>
    </w:p>
    <w:p>
      <w:pPr>
        <w:pStyle w:val="Heading2"/>
        <w:rPr/>
      </w:pPr>
      <w:bookmarkStart w:id="32" w:name="__RefHeading___Toc7819_3476700982"/>
      <w:bookmarkStart w:id="33" w:name="extending-the-toolbox"/>
      <w:bookmarkEnd w:id="32"/>
      <w:r>
        <w:rPr/>
        <w:t>12. Extending the toolbox</w:t>
      </w:r>
      <w:bookmarkEnd w:id="33"/>
    </w:p>
    <w:p>
      <w:pPr>
        <w:pStyle w:val="FirstParagraph"/>
        <w:rPr/>
      </w:pPr>
      <w:r>
        <w:rPr/>
        <w:t xml:space="preserve">Adding an algorithm follows a fixed recipe. Put the reusable maths in </w:t>
      </w:r>
      <w:r>
        <w:rPr>
          <w:rStyle w:val="VerbatimChar"/>
        </w:rPr>
        <w:t>aecore/</w:t>
      </w:r>
      <w:r>
        <w:rPr/>
        <w:t xml:space="preserve"> as a pure module (NumPy or standard library only) with its own unit tests; write a </w:t>
      </w:r>
      <w:r>
        <w:rPr>
          <w:rStyle w:val="VerbatimChar"/>
        </w:rPr>
        <w:t>QgsProcessingAlgorithm</w:t>
      </w:r>
      <w:r>
        <w:rPr/>
        <w:t xml:space="preserve"> subclass under </w:t>
      </w:r>
      <w:r>
        <w:rPr>
          <w:rStyle w:val="VerbatimChar"/>
        </w:rPr>
        <w:t>algorithms/</w:t>
      </w:r>
      <w:r>
        <w:rPr/>
        <w:t xml:space="preserve"> that reads parameters, converts layers with the </w:t>
      </w:r>
      <w:r>
        <w:rPr>
          <w:rStyle w:val="VerbatimChar"/>
        </w:rPr>
        <w:t>_qgis_io</w:t>
      </w:r>
      <w:r>
        <w:rPr/>
        <w:t xml:space="preserve"> bridge, calls the pure core, reports progress through </w:t>
      </w:r>
      <w:r>
        <w:rPr>
          <w:rStyle w:val="VerbatimChar"/>
        </w:rPr>
        <w:t>_progress</w:t>
      </w:r>
      <w:r>
        <w:rPr/>
        <w:t xml:space="preserve">, and writes outputs via </w:t>
      </w:r>
      <w:r>
        <w:rPr>
          <w:rStyle w:val="VerbatimChar"/>
        </w:rPr>
        <w:t>export_raster</w:t>
      </w:r>
      <w:r>
        <w:rPr/>
        <w:t xml:space="preserve"> (styling through </w:t>
      </w:r>
      <w:r>
        <w:rPr>
          <w:rStyle w:val="VerbatimChar"/>
        </w:rPr>
        <w:t>_styling</w:t>
      </w:r>
      <w:r>
        <w:rPr/>
        <w:t xml:space="preserve"> if wanted); register it by adding one lazy import and one list entry in </w:t>
      </w:r>
      <w:r>
        <w:rPr>
          <w:rStyle w:val="VerbatimChar"/>
        </w:rPr>
        <w:t>algorithms/__init__._algorithms()</w:t>
      </w:r>
      <w:r>
        <w:rPr/>
        <w:t xml:space="preserve"> (and, if you want it exposed as a class attribute, in </w:t>
      </w:r>
      <w:r>
        <w:rPr>
          <w:rStyle w:val="VerbatimChar"/>
        </w:rPr>
        <w:t>__getattr__</w:t>
      </w:r>
      <w:r>
        <w:rPr/>
        <w:t xml:space="preserve"> and </w:t>
      </w:r>
      <w:r>
        <w:rPr>
          <w:rStyle w:val="VerbatimChar"/>
        </w:rPr>
        <w:t>__all__</w:t>
      </w:r>
      <w:r>
        <w:rPr/>
        <w:t xml:space="preserve">). Keep every new import of </w:t>
      </w:r>
      <w:r>
        <w:rPr>
          <w:rStyle w:val="VerbatimChar"/>
        </w:rPr>
        <w:t>qgis</w:t>
      </w:r>
      <w:r>
        <w:rPr/>
        <w:t>/</w:t>
      </w:r>
      <w:r>
        <w:rPr>
          <w:rStyle w:val="VerbatimChar"/>
        </w:rPr>
        <w:t>osgeo</w:t>
      </w:r>
      <w:r>
        <w:rPr/>
        <w:t>/</w:t>
      </w:r>
      <w:r>
        <w:rPr>
          <w:rStyle w:val="VerbatimChar"/>
        </w:rPr>
        <w:t>sklearn</w:t>
      </w:r>
      <w:r>
        <w:rPr/>
        <w:t xml:space="preserve"> inside a function so the import-light boundary — and the CI “checks” job — stays intact. If the algorithm needs scikit-learn, call </w:t>
      </w:r>
      <w:r>
        <w:rPr>
          <w:rStyle w:val="VerbatimChar"/>
        </w:rPr>
        <w:t>_sklearn.ensure_sklearn</w:t>
      </w:r>
      <w:r>
        <w:rPr/>
        <w:t xml:space="preserve"> at the top of </w:t>
      </w:r>
      <w:r>
        <w:rPr>
          <w:rStyle w:val="VerbatimChar"/>
        </w:rPr>
        <w:t>processAlgorithm</w:t>
      </w:r>
      <w:r>
        <w:rPr/>
        <w:t xml:space="preserve"> so a missing library is a clean </w:t>
      </w:r>
      <w:r>
        <w:rPr>
          <w:rStyle w:val="VerbatimChar"/>
        </w:rPr>
        <w:t>QgsProcessingException</w:t>
      </w:r>
      <w:r>
        <w:rPr/>
        <w:t xml:space="preserve"> with a guided-install message, and never a hard dependency — the pattern </w:t>
      </w:r>
      <w:r>
        <w:rPr>
          <w:rStyle w:val="VerbatimChar"/>
        </w:rPr>
        <w:t>classify</w:t>
      </w:r>
      <w:r>
        <w:rPr/>
        <w:t xml:space="preserve">, </w:t>
      </w:r>
      <w:r>
        <w:rPr>
          <w:rStyle w:val="VerbatimChar"/>
        </w:rPr>
        <w:t>cluster</w:t>
      </w:r>
      <w:r>
        <w:rPr/>
        <w:t xml:space="preserve"> and </w:t>
      </w:r>
      <w:r>
        <w:rPr>
          <w:rStyle w:val="VerbatimChar"/>
        </w:rPr>
        <w:t>regress</w:t>
      </w:r>
      <w:r>
        <w:rPr/>
        <w:t xml:space="preserve"> already follow. The wizard picks up new work through its tabs rather than a fixed algorithm list.</w:t>
      </w:r>
    </w:p>
    <w:p>
      <w:pPr>
        <w:pStyle w:val="Normal"/>
        <w:rPr/>
      </w:pPr>
      <w:r>
        <w:rPr/>
      </w:r>
      <w:r>
        <w:br w:type="page"/>
      </w:r>
    </w:p>
    <w:p>
      <w:pPr>
        <w:pStyle w:val="Heading1"/>
        <w:spacing w:before="0" w:after="0"/>
        <w:rPr/>
      </w:pPr>
      <w:bookmarkStart w:id="34" w:name="__RefHeading___Toc7821_3476700982"/>
      <w:bookmarkStart w:id="35" w:name="methodology"/>
      <w:bookmarkEnd w:id="34"/>
      <w:r>
        <w:rPr/>
        <w:t>Methodology</w:t>
      </w:r>
      <w:bookmarkEnd w:id="35"/>
    </w:p>
    <w:p>
      <w:pPr>
        <w:pStyle w:val="FirstParagraph"/>
        <w:rPr/>
      </w:pPr>
      <w:r>
        <w:rPr>
          <w:i/>
        </w:rPr>
        <w:t>AlphaEarth Toolbox for QGIS — v0.10.0</w:t>
      </w:r>
    </w:p>
    <w:p>
      <w:pPr>
        <w:pStyle w:val="BodyText"/>
        <w:rPr/>
      </w:pPr>
      <w:r>
        <w:rPr/>
        <w:t xml:space="preserve">This document explains the data the toolbox consumes and the maths it performs: what an AlphaEarth embedding is, why its unit-vector format makes similarity an exact dot product and multi-year change a direct distance, exactly how a year of data is discovered and mosaicked from the public cloud bucket, how the output grid is sized, why nearest-neighbour resampling is the right choice, and how the RGB reduction, similarity, change (both the raster-based </w:t>
      </w:r>
      <w:r>
        <w:rPr>
          <w:i/>
        </w:rPr>
        <w:t>Change / trajectory</w:t>
      </w:r>
      <w:r>
        <w:rPr/>
        <w:t xml:space="preserve"> and the one-step </w:t>
      </w:r>
      <w:r>
        <w:rPr>
          <w:i/>
        </w:rPr>
        <w:t>Change over years</w:t>
      </w:r>
      <w:r>
        <w:rPr/>
        <w:t>), the change report / charts, sample-extraction and scikit-learn (classify, classify over years, cluster, regress) algorithms work, including the optional cross-validation accuracy metrics and hyper-parameter tuning. It is aimed at technical users and reviewers who need to trust — and reproduce — what the algorithms compute.</w:t>
      </w:r>
    </w:p>
    <w:p>
      <w:pPr>
        <w:pStyle w:val="Heading2"/>
        <w:rPr/>
      </w:pPr>
      <w:bookmarkStart w:id="36" w:name="__RefHeading___Toc7823_3476700982"/>
      <w:bookmarkStart w:id="37" w:name="Xafb3256fc0f90133891ab24fb8c084599897af6"/>
      <w:bookmarkEnd w:id="36"/>
      <w:r>
        <w:rPr/>
        <w:t>1. The dataset: AlphaEarth Satellite Embedding V1</w:t>
      </w:r>
      <w:bookmarkEnd w:id="37"/>
    </w:p>
    <w:p>
      <w:pPr>
        <w:pStyle w:val="FirstParagraph"/>
        <w:rPr/>
      </w:pPr>
      <w:r>
        <w:rPr/>
        <w:t xml:space="preserve">AlphaEarth Satellite Embedding V1, from Google DeepMind, is a global, annual (2017–2025), 10-metre, 64-band learned embedding of the Earth’s land surface. It is not imagery: each pixel is a 64-dimensional feature vector that summarises a year of multi-sensor observations at that location. The dataset is licensed </w:t>
      </w:r>
      <w:r>
        <w:rPr>
          <w:b/>
        </w:rPr>
        <w:t>CC BY 4.0</w:t>
      </w:r>
      <w:r>
        <w:rPr/>
        <w:t xml:space="preserve"> and published as Cloud-Optimised GeoTIFFs (COGs) in the public Google Cloud Storage bucket </w:t>
      </w:r>
      <w:r>
        <w:rPr>
          <w:rStyle w:val="VerbatimChar"/>
        </w:rPr>
        <w:t>gs://alphaearth_foundations</w:t>
      </w:r>
      <w:r>
        <w:rPr/>
        <w:t>, readable anonymously.</w:t>
      </w:r>
    </w:p>
    <w:p>
      <w:pPr>
        <w:pStyle w:val="BodyText"/>
        <w:rPr/>
      </w:pPr>
      <w:r>
        <w:rPr/>
        <w:t xml:space="preserve">Two properties of the format matter for everything that follows. First, each pixel vector is (very close to) </w:t>
      </w:r>
      <w:r>
        <w:rPr>
          <w:b/>
        </w:rPr>
        <w:t>unit length</w:t>
      </w:r>
      <w:r>
        <w:rPr/>
        <w:t xml:space="preserve"> in 64-D — it lies on the unit hypersphere. Second, the published tiles are quantised to </w:t>
      </w:r>
      <w:r>
        <w:rPr>
          <w:b/>
        </w:rPr>
        <w:t>int8</w:t>
      </w:r>
      <w:r>
        <w:rPr/>
        <w:t xml:space="preserve"> to save space: the stored integers are the unit-length float components multiplied by a scale of 127.5, and a sentinel of </w:t>
      </w:r>
      <w:r>
        <w:rPr>
          <w:b/>
        </w:rPr>
        <w:t>−128</w:t>
      </w:r>
      <w:r>
        <w:rPr/>
        <w:t xml:space="preserve"> marks fill/no-data (ocean, scene edges, gaps). The toolbox constants that encode this live in </w:t>
      </w:r>
      <w:r>
        <w:rPr>
          <w:rStyle w:val="VerbatimChar"/>
        </w:rPr>
        <w:t>aecore/intake.py</w:t>
      </w:r>
      <w:r>
        <w:rPr/>
        <w:t xml:space="preserve">: </w:t>
      </w:r>
      <w:r>
        <w:rPr>
          <w:rStyle w:val="VerbatimChar"/>
        </w:rPr>
        <w:t>EMBEDDING_BANDS = 64</w:t>
      </w:r>
      <w:r>
        <w:rPr/>
        <w:t xml:space="preserve">, </w:t>
      </w:r>
      <w:r>
        <w:rPr>
          <w:rStyle w:val="VerbatimChar"/>
        </w:rPr>
        <w:t>AVAILABLE_YEARS = 2017…2025</w:t>
      </w:r>
      <w:r>
        <w:rPr/>
        <w:t xml:space="preserve">, </w:t>
      </w:r>
      <w:r>
        <w:rPr>
          <w:rStyle w:val="VerbatimChar"/>
        </w:rPr>
        <w:t>NATIVE_RESOLUTION_M = 10.0</w:t>
      </w:r>
      <w:r>
        <w:rPr/>
        <w:t xml:space="preserve">, </w:t>
      </w:r>
      <w:r>
        <w:rPr>
          <w:rStyle w:val="VerbatimChar"/>
        </w:rPr>
        <w:t>QUANT_SCALE = 127.5</w:t>
      </w:r>
      <w:r>
        <w:rPr/>
        <w:t xml:space="preserve"> and </w:t>
      </w:r>
      <w:r>
        <w:rPr>
          <w:rStyle w:val="VerbatimChar"/>
        </w:rPr>
        <w:t>FILL_VALUE = -128</w:t>
      </w:r>
      <w:r>
        <w:rPr/>
        <w:t>.</w:t>
      </w:r>
    </w:p>
    <w:p>
      <w:pPr>
        <w:pStyle w:val="BodyText"/>
        <w:rPr/>
      </w:pPr>
      <w:r>
        <w:rPr/>
        <w:t xml:space="preserve">The consequence of the unit-length property is the toolbox’s headline capability. For two unit vectors </w:t>
      </w:r>
      <w:r>
        <w:rPr>
          <w:b/>
        </w:rPr>
        <w:t>a</w:t>
      </w:r>
      <w:r>
        <w:rPr/>
        <w:t xml:space="preserve"> and </w:t>
      </w:r>
      <w:r>
        <w:rPr>
          <w:b/>
        </w:rPr>
        <w:t>b</w:t>
      </w:r>
      <w:r>
        <w:rPr/>
        <w:t xml:space="preserve">, cosine similarity is </w:t>
      </w:r>
      <w:r>
        <w:rPr>
          <w:rStyle w:val="VerbatimChar"/>
        </w:rPr>
        <w:t>cos θ = (a · b) / (‖a‖‖b‖)</w:t>
      </w:r>
      <w:r>
        <w:rPr/>
        <w:t xml:space="preserve">, and because </w:t>
      </w:r>
      <w:r>
        <w:rPr>
          <w:rStyle w:val="VerbatimChar"/>
        </w:rPr>
        <w:t>‖a‖ = ‖b‖ = 1</w:t>
      </w:r>
      <w:r>
        <w:rPr/>
        <w:t xml:space="preserve"> this collapses to the plain dot product </w:t>
      </w:r>
      <w:r>
        <w:rPr>
          <w:rStyle w:val="VerbatimChar"/>
        </w:rPr>
        <w:t>a · b</w:t>
      </w:r>
      <w:r>
        <w:rPr/>
        <w:t xml:space="preserve">. So “how similar are these two pixels” is answered by a single multiply-and-add per band — no scikit-learn, no distance library, no training. The same property makes </w:t>
      </w:r>
      <w:r>
        <w:rPr>
          <w:i/>
        </w:rPr>
        <w:t>change</w:t>
      </w:r>
      <w:r>
        <w:rPr/>
        <w:t xml:space="preserve"> between two years a direct distance: cosine distance </w:t>
      </w:r>
      <w:r>
        <w:rPr>
          <w:rStyle w:val="VerbatimChar"/>
        </w:rPr>
        <w:t>1 − a · b</w:t>
      </w:r>
      <w:r>
        <w:rPr/>
        <w:t xml:space="preserve">, or Euclidean distance </w:t>
      </w:r>
      <w:r>
        <w:rPr>
          <w:rStyle w:val="VerbatimChar"/>
        </w:rPr>
        <w:t>‖a − b‖</w:t>
      </w:r>
      <w:r>
        <w:rPr/>
        <w:t xml:space="preserve">, and for unit vectors the two are tied by </w:t>
      </w:r>
      <w:r>
        <w:rPr>
          <w:rStyle w:val="VerbatimChar"/>
        </w:rPr>
        <w:t>‖a − b‖ = √(2·(1 − a · b))</w:t>
      </w:r>
      <w:r>
        <w:rPr/>
        <w:t>. That is why both the Similarity and Change algorithms sit in the no-dependency tier.</w:t>
      </w:r>
    </w:p>
    <w:p>
      <w:pPr>
        <w:pStyle w:val="Heading2"/>
        <w:rPr/>
      </w:pPr>
      <w:bookmarkStart w:id="38" w:name="__RefHeading___Toc7825_3476700982"/>
      <w:bookmarkStart w:id="39" w:name="the-storage-layout"/>
      <w:bookmarkEnd w:id="38"/>
      <w:r>
        <w:rPr/>
        <w:t>2. The storage layout</w:t>
      </w:r>
      <w:bookmarkEnd w:id="39"/>
    </w:p>
    <w:p>
      <w:pPr>
        <w:pStyle w:val="FirstParagraph"/>
        <w:rPr/>
      </w:pPr>
      <w:r>
        <w:rPr/>
        <w:t>Objects in the bucket are named:</w:t>
      </w:r>
    </w:p>
    <w:p>
      <w:pPr>
        <w:pStyle w:val="SourceCode"/>
        <w:rPr/>
      </w:pPr>
      <w:r>
        <w:rPr>
          <w:rStyle w:val="VerbatimChar"/>
        </w:rPr>
        <w:t>satellite_embedding/v1/annual/{YEAR}/{UTM_ZONE}/{hash}-{row}-{col}.tiff</w:t>
      </w:r>
    </w:p>
    <w:p>
      <w:pPr>
        <w:pStyle w:val="FirstParagraph"/>
        <w:rPr/>
      </w:pPr>
      <w:r>
        <w:rPr>
          <w:rStyle w:val="VerbatimChar"/>
        </w:rPr>
        <w:t>{YEAR}</w:t>
      </w:r>
      <w:r>
        <w:rPr/>
        <w:t xml:space="preserve"> is 2017–2025. </w:t>
      </w:r>
      <w:r>
        <w:rPr>
          <w:rStyle w:val="VerbatimChar"/>
        </w:rPr>
        <w:t>{UTM_ZONE}</w:t>
      </w:r>
      <w:r>
        <w:rPr/>
        <w:t xml:space="preserve"> is a UTM zone number (1–60) with a hemisphere suffix </w:t>
      </w:r>
      <w:r>
        <w:rPr>
          <w:rStyle w:val="VerbatimChar"/>
        </w:rPr>
        <w:t>N</w:t>
      </w:r>
      <w:r>
        <w:rPr/>
        <w:t xml:space="preserve"> or </w:t>
      </w:r>
      <w:r>
        <w:rPr>
          <w:rStyle w:val="VerbatimChar"/>
        </w:rPr>
        <w:t>S</w:t>
      </w:r>
      <w:r>
        <w:rPr/>
        <w:t xml:space="preserve"> — for example </w:t>
      </w:r>
      <w:r>
        <w:rPr>
          <w:rStyle w:val="VerbatimChar"/>
        </w:rPr>
        <w:t>56S</w:t>
      </w:r>
      <w:r>
        <w:rPr/>
        <w:t xml:space="preserve"> for Sydney. Every tile in a zone folder is a 64-band int8 COG at 10 m in that zone’s own UTM CRS. This per-zone-CRS layout is important: an area of interest that straddles two UTM zones will draw tiles that live in </w:t>
      </w:r>
      <w:r>
        <w:rPr>
          <w:i/>
        </w:rPr>
        <w:t>different</w:t>
      </w:r>
      <w:r>
        <w:rPr/>
        <w:t xml:space="preserve"> projected coordinate systems, and the mosaic step has to reconcile them (§4).</w:t>
      </w:r>
    </w:p>
    <w:p>
      <w:pPr>
        <w:pStyle w:val="BodyText"/>
        <w:rPr/>
      </w:pPr>
      <w:r>
        <w:rPr/>
        <w:t xml:space="preserve">The endpoint is not guessed. The bucket name, prefix, host and quantisation constants are grounded in the proven intake code of the sibling </w:t>
      </w:r>
      <w:r>
        <w:rPr>
          <w:rStyle w:val="VerbatimChar"/>
        </w:rPr>
        <w:t>alphaearth-bushfire</w:t>
      </w:r>
      <w:r>
        <w:rPr/>
        <w:t xml:space="preserve"> package, and are recorded as named constants in </w:t>
      </w:r>
      <w:r>
        <w:rPr>
          <w:rStyle w:val="VerbatimChar"/>
        </w:rPr>
        <w:t>intake.py</w:t>
      </w:r>
      <w:r>
        <w:rPr/>
        <w:t xml:space="preserve"> (</w:t>
      </w:r>
      <w:r>
        <w:rPr>
          <w:rStyle w:val="VerbatimChar"/>
        </w:rPr>
        <w:t>GCS_BUCKET</w:t>
      </w:r>
      <w:r>
        <w:rPr/>
        <w:t xml:space="preserve">, </w:t>
      </w:r>
      <w:r>
        <w:rPr>
          <w:rStyle w:val="VerbatimChar"/>
        </w:rPr>
        <w:t>GCS_PREFIX</w:t>
      </w:r>
      <w:r>
        <w:rPr/>
        <w:t xml:space="preserve">, </w:t>
      </w:r>
      <w:r>
        <w:rPr>
          <w:rStyle w:val="VerbatimChar"/>
        </w:rPr>
        <w:t>GCS_HOST</w:t>
      </w:r>
      <w:r>
        <w:rPr/>
        <w:t xml:space="preserve">, </w:t>
      </w:r>
      <w:r>
        <w:rPr>
          <w:rStyle w:val="VerbatimChar"/>
        </w:rPr>
        <w:t>GCS_LIST_URL</w:t>
      </w:r>
      <w:r>
        <w:rPr/>
        <w:t>) so there is a single source of truth.</w:t>
      </w:r>
    </w:p>
    <w:p>
      <w:pPr>
        <w:pStyle w:val="Heading2"/>
        <w:rPr/>
      </w:pPr>
      <w:bookmarkStart w:id="40" w:name="__RefHeading___Toc7827_3476700982"/>
      <w:bookmarkStart w:id="41" w:name="X323c3e7c2f43a1440ee1be948b9347263bb03e9"/>
      <w:bookmarkEnd w:id="40"/>
      <w:r>
        <w:rPr/>
        <w:t>3. Discovering the tiles for an area of interest</w:t>
      </w:r>
      <w:bookmarkEnd w:id="41"/>
    </w:p>
    <w:p>
      <w:pPr>
        <w:pStyle w:val="FirstParagraph"/>
        <w:rPr/>
      </w:pPr>
      <w:r>
        <w:rPr/>
        <w:t xml:space="preserve">When the </w:t>
      </w:r>
      <w:r>
        <w:rPr>
          <w:i/>
        </w:rPr>
        <w:t>Load embedding</w:t>
      </w:r>
      <w:r>
        <w:rPr/>
        <w:t xml:space="preserve"> algorithm is given a year (rather than an explicit layer or URL), it discovers the covering tiles in five steps, all of which are honoured against the user’s Cancel button.</w:t>
      </w:r>
    </w:p>
    <w:p>
      <w:pPr>
        <w:pStyle w:val="BodyText"/>
        <w:rPr/>
      </w:pPr>
      <w:r>
        <w:rPr/>
        <w:t xml:space="preserve">The area of interest arrives in the user’s chosen target CRS (default EPSG:3577). Its bounds are first snapped to a whole number of output pixels (§5), then reprojected to WGS84 with a </w:t>
      </w:r>
      <w:r>
        <w:rPr>
          <w:rStyle w:val="VerbatimChar"/>
        </w:rPr>
        <w:t>QgsCoordinateTransform</w:t>
      </w:r>
      <w:r>
        <w:rPr/>
        <w:t xml:space="preserve"> so the toolbox can decide which UTM-zone folders the area touches. </w:t>
      </w:r>
      <w:r>
        <w:rPr>
          <w:rStyle w:val="VerbatimChar"/>
        </w:rPr>
        <w:t>intake.utm_zones_for_bbox</w:t>
      </w:r>
      <w:r>
        <w:rPr/>
        <w:t xml:space="preserve"> does this by </w:t>
      </w:r>
      <w:r>
        <w:rPr>
          <w:i/>
        </w:rPr>
        <w:t>interval overlap</w:t>
      </w:r>
      <w:r>
        <w:rPr/>
        <w:t xml:space="preserve">: each zone </w:t>
      </w:r>
      <w:r>
        <w:rPr>
          <w:rStyle w:val="VerbatimChar"/>
        </w:rPr>
        <w:t>z</w:t>
      </w:r>
      <w:r>
        <w:rPr/>
        <w:t xml:space="preserve"> owns the longitude window </w:t>
      </w:r>
      <w:r>
        <w:rPr>
          <w:rStyle w:val="VerbatimChar"/>
        </w:rPr>
        <w:t>[6z − 186, 6z − 180)</w:t>
      </w:r>
      <w:r>
        <w:rPr/>
        <w:t xml:space="preserve"> degrees, and a zone is included only if that window genuinely overlaps the area’s longitude span. This deliberately avoids a subtle bug — an eastern edge that lands exactly on a zone boundary must not pull in the next, empty zone — and the hemisphere suffix follows the latitude sign, emitting both </w:t>
      </w:r>
      <w:r>
        <w:rPr>
          <w:rStyle w:val="VerbatimChar"/>
        </w:rPr>
        <w:t>N</w:t>
      </w:r>
      <w:r>
        <w:rPr/>
        <w:t xml:space="preserve"> and </w:t>
      </w:r>
      <w:r>
        <w:rPr>
          <w:rStyle w:val="VerbatimChar"/>
        </w:rPr>
        <w:t>S</w:t>
      </w:r>
      <w:r>
        <w:rPr/>
        <w:t xml:space="preserve"> when the area straddles the equator.</w:t>
      </w:r>
    </w:p>
    <w:p>
      <w:pPr>
        <w:pStyle w:val="BodyText"/>
        <w:rPr/>
      </w:pPr>
      <w:r>
        <w:rPr/>
        <w:t xml:space="preserve">For each touched zone, </w:t>
      </w:r>
      <w:r>
        <w:rPr>
          <w:rStyle w:val="VerbatimChar"/>
        </w:rPr>
        <w:t>intake.list_zone_tiles</w:t>
      </w:r>
      <w:r>
        <w:rPr/>
        <w:t xml:space="preserve"> enumerates the objects under that </w:t>
      </w:r>
      <w:r>
        <w:rPr>
          <w:rStyle w:val="VerbatimChar"/>
        </w:rPr>
        <w:t>year/zone/</w:t>
      </w:r>
      <w:r>
        <w:rPr/>
        <w:t xml:space="preserve"> folder using the public GCS JSON list API, following </w:t>
      </w:r>
      <w:r>
        <w:rPr>
          <w:rStyle w:val="VerbatimChar"/>
        </w:rPr>
        <w:t>nextPageToken</w:t>
      </w:r>
      <w:r>
        <w:rPr/>
        <w:t xml:space="preserve"> pagination in pages of 1000 and keeping only </w:t>
      </w:r>
      <w:r>
        <w:rPr>
          <w:rStyle w:val="VerbatimChar"/>
        </w:rPr>
        <w:t>.tif</w:t>
      </w:r>
      <w:r>
        <w:rPr/>
        <w:t>/</w:t>
      </w:r>
      <w:r>
        <w:rPr>
          <w:rStyle w:val="VerbatimChar"/>
        </w:rPr>
        <w:t>.tiff</w:t>
      </w:r>
      <w:r>
        <w:rPr/>
        <w:t xml:space="preserve"> objects (the bucket’s folder-placeholder objects are skipped). The network call is a small injectable </w:t>
      </w:r>
      <w:r>
        <w:rPr>
          <w:rStyle w:val="VerbatimChar"/>
        </w:rPr>
        <w:t>fetch_json</w:t>
      </w:r>
      <w:r>
        <w:rPr/>
        <w:t xml:space="preserve"> helper, which is what allows the whole discovery path to be unit- tested offline. The listing itself, together with the per-scene anchors described below, is persisted per </w:t>
      </w:r>
      <w:r>
        <w:rPr>
          <w:rStyle w:val="VerbatimChar"/>
        </w:rPr>
        <w:t>(year, zone)</w:t>
      </w:r>
      <w:r>
        <w:rPr/>
        <w:t xml:space="preserve"> via </w:t>
      </w:r>
      <w:r>
        <w:rPr>
          <w:rStyle w:val="VerbatimChar"/>
        </w:rPr>
        <w:t>intake.save_zone_index</w:t>
      </w:r>
      <w:r>
        <w:rPr/>
        <w:t xml:space="preserve"> / </w:t>
      </w:r>
      <w:r>
        <w:rPr>
          <w:rStyle w:val="VerbatimChar"/>
        </w:rPr>
        <w:t>load_zone_index</w:t>
      </w:r>
      <w:r>
        <w:rPr/>
        <w:t xml:space="preserve">, so a later run over a </w:t>
      </w:r>
      <w:r>
        <w:rPr>
          <w:i/>
        </w:rPr>
        <w:t>different</w:t>
      </w:r>
      <w:r>
        <w:rPr/>
        <w:t xml:space="preserve"> area of interest in a zone already visited skips the list API entirely and reuses the cached index.</w:t>
      </w:r>
    </w:p>
    <w:p>
      <w:pPr>
        <w:pStyle w:val="BodyText"/>
        <w:rPr/>
      </w:pPr>
      <w:r>
        <w:rPr/>
        <w:t xml:space="preserve">Before any tile is opened, each zone’s cached footprints are loaded with </w:t>
      </w:r>
      <w:r>
        <w:rPr>
          <w:rStyle w:val="VerbatimChar"/>
        </w:rPr>
        <w:t>intake.load_footprint_cache</w:t>
      </w:r>
      <w:r>
        <w:rPr/>
        <w:t xml:space="preserve">. AlphaEarth’s annual embeddings are immutable, so a tile’s footprint never changes; the toolbox therefore persists the footprints it scans to a small JSON file per </w:t>
      </w:r>
      <w:r>
        <w:rPr>
          <w:rStyle w:val="VerbatimChar"/>
        </w:rPr>
        <w:t>(year, zone)</w:t>
      </w:r>
      <w:r>
        <w:rPr/>
        <w:t xml:space="preserve"> (under the system temp directory, keyed by a schema version plus the bucket/prefix so a stale or foreign cache is ignored). Footprints are stored in </w:t>
      </w:r>
      <w:r>
        <w:rPr>
          <w:b/>
        </w:rPr>
        <w:t>WGS84</w:t>
      </w:r>
      <w:r>
        <w:rPr/>
        <w:t xml:space="preserve">, not the run’s target CRS, so the cache is reused whatever CRS a later run requests. </w:t>
      </w:r>
      <w:r>
        <w:rPr>
          <w:rStyle w:val="VerbatimChar"/>
        </w:rPr>
        <w:t>intake.partition_by_cache</w:t>
      </w:r>
      <w:r>
        <w:rPr/>
        <w:t xml:space="preserve"> then splits the zone’s tiles into those already known and those still to scan.</w:t>
      </w:r>
    </w:p>
    <w:p>
      <w:pPr>
        <w:pStyle w:val="BodyText"/>
        <w:rPr/>
      </w:pPr>
      <w:r>
        <w:rPr/>
        <w:t xml:space="preserve">The uncached tiles are not all scanned blindly. An AlphaEarth object name ends </w:t>
      </w:r>
      <w:r>
        <w:rPr>
          <w:rStyle w:val="VerbatimChar"/>
        </w:rPr>
        <w:t>{hash}-{offset_a}-{offset_b}.tiff</w:t>
      </w:r>
      <w:r>
        <w:rPr/>
        <w:t xml:space="preserve">, where the two integers are that scene’s per-tile </w:t>
      </w:r>
      <w:r>
        <w:rPr>
          <w:i/>
        </w:rPr>
        <w:t>pixel</w:t>
      </w:r>
      <w:r>
        <w:rPr/>
        <w:t xml:space="preserve"> offsets — each </w:t>
      </w:r>
      <w:r>
        <w:rPr>
          <w:rStyle w:val="VerbatimChar"/>
        </w:rPr>
        <w:t>{hash}</w:t>
      </w:r>
      <w:r>
        <w:rPr/>
        <w:t xml:space="preserve"> is an independent export with its own local origin, so the numbers are not positions on a global grid and a tile’s location cannot be read from its name alone. But tiles </w:t>
      </w:r>
      <w:r>
        <w:rPr>
          <w:i/>
        </w:rPr>
        <w:t>can</w:t>
      </w:r>
      <w:r>
        <w:rPr/>
        <w:t xml:space="preserve"> be grouped by their scene hash (</w:t>
      </w:r>
      <w:r>
        <w:rPr>
          <w:rStyle w:val="VerbatimChar"/>
        </w:rPr>
        <w:t>intake.group_by_scene</w:t>
      </w:r>
      <w:r>
        <w:rPr/>
        <w:t xml:space="preserve">, keyed by </w:t>
      </w:r>
      <w:r>
        <w:rPr>
          <w:rStyle w:val="VerbatimChar"/>
        </w:rPr>
        <w:t>intake.scene_key</w:t>
      </w:r>
      <w:r>
        <w:rPr/>
        <w:t xml:space="preserve">; an unparseable name becomes its own singleton scene and is therefore always scanned, never culled). For each scene with uncached tiles, one </w:t>
      </w:r>
      <w:r>
        <w:rPr>
          <w:b/>
        </w:rPr>
        <w:t>anchor</w:t>
      </w:r>
      <w:r>
        <w:rPr/>
        <w:t xml:space="preserve"> tile is opened with the new </w:t>
      </w:r>
      <w:r>
        <w:rPr>
          <w:rStyle w:val="VerbatimChar"/>
        </w:rPr>
        <w:t>_raster.dataset_footprint_and_pixels</w:t>
      </w:r>
      <w:r>
        <w:rPr/>
        <w:t xml:space="preserve"> helper — a header-only read returning the anchor’s WGS84 footprint </w:t>
      </w:r>
      <w:r>
        <w:rPr>
          <w:i/>
        </w:rPr>
        <w:t>and</w:t>
      </w:r>
      <w:r>
        <w:rPr/>
        <w:t xml:space="preserve"> its pixel dimensions. From that footprint, the anchor’s pixel size and the (known) pixel offsets of the scene’s other tiles, </w:t>
      </w:r>
      <w:r>
        <w:rPr>
          <w:rStyle w:val="VerbatimChar"/>
        </w:rPr>
        <w:t>intake.conservative_scene_bounds</w:t>
      </w:r>
      <w:r>
        <w:rPr/>
        <w:t xml:space="preserve"> computes a deliberately generous over-estimate of the whole scene’s extent: it takes the larger per-pixel degree step of the two axes, multiplies by the maximum pixel reach across the scene plus one tile, inflates by a 50 % margin, and pads the anchor box symmetrically on all four sides. Because the estimate can only ever </w:t>
      </w:r>
      <w:r>
        <w:rPr>
          <w:i/>
        </w:rPr>
        <w:t>over</w:t>
      </w:r>
      <w:r>
        <w:rPr/>
        <w:t xml:space="preserve">-include (it is proven by unit test to contain every tile’s true footprint under </w:t>
      </w:r>
      <w:r>
        <w:rPr>
          <w:i/>
        </w:rPr>
        <w:t>either</w:t>
      </w:r>
      <w:r>
        <w:rPr/>
        <w:t xml:space="preserve"> pixel-axis→lon/lat orientation), a scene whose over-estimate does not intersect the area of interest can be dropped without reading any of its tiles, and no true intersection is ever lost.</w:t>
      </w:r>
    </w:p>
    <w:p>
      <w:pPr>
        <w:pStyle w:val="BodyText"/>
        <w:rPr/>
      </w:pPr>
      <w:r>
        <w:rPr/>
        <w:t xml:space="preserve">Only the tiles of scenes that survive that cull are then header-scanned concurrently. A </w:t>
      </w:r>
      <w:r>
        <w:rPr>
          <w:rStyle w:val="VerbatimChar"/>
        </w:rPr>
        <w:t>ThreadPoolExecutor</w:t>
      </w:r>
      <w:r>
        <w:rPr/>
        <w:t xml:space="preserve"> with 16 workers calls </w:t>
      </w:r>
      <w:r>
        <w:rPr>
          <w:rStyle w:val="VerbatimChar"/>
        </w:rPr>
        <w:t>_raster.dataset_bounds_in_crs</w:t>
      </w:r>
      <w:r>
        <w:rPr/>
        <w:t xml:space="preserve"> on each — a </w:t>
      </w:r>
      <w:r>
        <w:rPr>
          <w:i/>
        </w:rPr>
        <w:t>header-only</w:t>
      </w:r>
      <w:r>
        <w:rPr/>
        <w:t xml:space="preserve"> open that reads the tile’s geotransform and size, computes its four corner coordinates, and reprojects them into WGS84 to produce a footprint. Both the anchor reads and this second scan share that bounded worker pool, so a fetch never opens an unbounded number of remote connections at once. The freshly scanned footprints (and the scene anchors) are written back to the caches, so a repeat area of interest over the same zones does no network I/O in this phase at all, and turning a first fetch from roughly one read per tile into roughly one read per </w:t>
      </w:r>
      <w:r>
        <w:rPr>
          <w:i/>
        </w:rPr>
        <w:t>scene</w:t>
      </w:r>
      <w:r>
        <w:rPr/>
        <w:t xml:space="preserve"> — commonly several-fold fewer reads — without changing which tiles are ultimately selected: the exact intersection test below always uses real scanned footprints, never the over-estimate. A tile (or anchor) that cannot be opened or transformed — a transient </w:t>
      </w:r>
      <w:r>
        <w:rPr>
          <w:rStyle w:val="VerbatimChar"/>
        </w:rPr>
        <w:t>/vsicurl</w:t>
      </w:r>
      <w:r>
        <w:rPr/>
        <w:t xml:space="preserve"> fault, or an odd edge tile — returns </w:t>
      </w:r>
      <w:r>
        <w:rPr>
          <w:rStyle w:val="VerbatimChar"/>
        </w:rPr>
        <w:t>None</w:t>
      </w:r>
      <w:r>
        <w:rPr/>
        <w:t xml:space="preserve"> and is simply skipped rather than aborting the run (a failed </w:t>
      </w:r>
      <w:r>
        <w:rPr>
          <w:i/>
        </w:rPr>
        <w:t>anchor</w:t>
      </w:r>
      <w:r>
        <w:rPr/>
        <w:t xml:space="preserve"> just means its scene cannot be culled, so all its tiles are scanned as a safe fallback). </w:t>
      </w:r>
      <w:r>
        <w:rPr>
          <w:rStyle w:val="VerbatimChar"/>
        </w:rPr>
        <w:t>dataset_bounds_in_crs</w:t>
      </w:r>
      <w:r>
        <w:rPr/>
        <w:t xml:space="preserve"> deliberately catches </w:t>
      </w:r>
      <w:r>
        <w:rPr>
          <w:i/>
        </w:rPr>
        <w:t>any</w:t>
      </w:r>
      <w:r>
        <w:rPr/>
        <w:t xml:space="preserve"> error to enforce this, which matters under GDAL 3.9+ (shipped in QGIS 4), where the Python bindings raise exceptions by default instead of returning a quiet failure: without the broad guard, a single bad tile among the thousands scanned concurrently would propagate out of the worker pool and collapse the whole run into an opaque background-task failure. The number of tiles skipped this way is counted and surfaced to the user as a single warning (“the mosaic may have small gaps there”) rather than passing silently. This whole discovery phase is the 0–90 % span of the progress bar (and completes instantly on a full cache hit).</w:t>
      </w:r>
    </w:p>
    <w:p>
      <w:pPr>
        <w:pStyle w:val="BodyText"/>
        <w:rPr/>
      </w:pPr>
      <w:r>
        <w:rPr/>
        <w:t xml:space="preserve">Only tiles whose (WGS84) footprint actually intersects the area of interest — itself reprojected to WGS84 — are kept, tested with </w:t>
      </w:r>
      <w:r>
        <w:rPr>
          <w:rStyle w:val="VerbatimChar"/>
        </w:rPr>
        <w:t>intake.tiles_intersecting</w:t>
      </w:r>
      <w:r>
        <w:rPr/>
        <w:t xml:space="preserve"> over </w:t>
      </w:r>
      <w:r>
        <w:rPr>
          <w:rStyle w:val="VerbatimChar"/>
        </w:rPr>
        <w:t>intake.bboxes_intersect</w:t>
      </w:r>
      <w:r>
        <w:rPr/>
        <w:t xml:space="preserve"> (touching edges do not count).</w:t>
      </w:r>
    </w:p>
    <w:p>
      <w:pPr>
        <w:pStyle w:val="BodyText"/>
        <w:rPr/>
      </w:pPr>
      <w:r>
        <w:rPr/>
        <w:t xml:space="preserve">Finally the surviving tiles — possibly spanning several UTM-zone CRSs — are handed to </w:t>
      </w:r>
      <w:r>
        <w:rPr>
          <w:rStyle w:val="VerbatimChar"/>
        </w:rPr>
        <w:t>_raster.warp_many_to_grid</w:t>
      </w:r>
      <w:r>
        <w:rPr/>
        <w:t xml:space="preserve"> and mosaicked in one pass (§4). If no tiles were published for the year/zones, or none intersect the area, the algorithm raises a clear, specific error rather than emitting an empty raster.</w:t>
      </w:r>
    </w:p>
    <w:p>
      <w:pPr>
        <w:pStyle w:val="Heading2"/>
        <w:rPr/>
      </w:pPr>
      <w:bookmarkStart w:id="42" w:name="__RefHeading___Toc7829_3476700982"/>
      <w:bookmarkStart w:id="43" w:name="mosaicking-across-utm-zones"/>
      <w:bookmarkEnd w:id="42"/>
      <w:r>
        <w:rPr/>
        <w:t>4. Mosaicking across UTM zones</w:t>
      </w:r>
      <w:bookmarkEnd w:id="43"/>
    </w:p>
    <w:p>
      <w:pPr>
        <w:pStyle w:val="FirstParagraph"/>
        <w:rPr/>
      </w:pPr>
      <w:r>
        <w:rPr>
          <w:rStyle w:val="VerbatimChar"/>
        </w:rPr>
        <w:t>gdal.Warp</w:t>
      </w:r>
      <w:r>
        <w:rPr/>
        <w:t xml:space="preserve"> accepts a list of source datasets and reprojects each one independently onto the requested output grid. The toolbox exploits this in </w:t>
      </w:r>
      <w:r>
        <w:rPr>
          <w:rStyle w:val="VerbatimChar"/>
        </w:rPr>
        <w:t>warp_many_to_grid</w:t>
      </w:r>
      <w:r>
        <w:rPr/>
        <w:t xml:space="preserve">: it passes the full list of intersecting </w:t>
      </w:r>
      <w:r>
        <w:rPr>
          <w:rStyle w:val="VerbatimChar"/>
        </w:rPr>
        <w:t>/vsicurl</w:t>
      </w:r>
      <w:r>
        <w:rPr/>
        <w:t xml:space="preserve"> tiles with a single set of output options — target width and height in pixels, output bounds, target CRS as WKT, and the resampling algorithm — and lets GDAL stitch tiles from different UTM zones straight onto one grid in the target CRS. Source and destination no-data are both set to the int8 fill value (−128) so genuinely empty pixels stay empty through the warp. The whole set is treated as a remote read and retried as a unit with the tuned HTTP/2 + multi-range configuration described in the Architecture document.</w:t>
      </w:r>
    </w:p>
    <w:p>
      <w:pPr>
        <w:pStyle w:val="Heading2"/>
        <w:rPr/>
      </w:pPr>
      <w:bookmarkStart w:id="44" w:name="__RefHeading___Toc7831_3476700982"/>
      <w:bookmarkStart w:id="45" w:name="sizing-the-output-grid"/>
      <w:bookmarkEnd w:id="44"/>
      <w:r>
        <w:rPr/>
        <w:t>5. Sizing the output grid</w:t>
      </w:r>
      <w:bookmarkEnd w:id="45"/>
    </w:p>
    <w:p>
      <w:pPr>
        <w:pStyle w:val="FirstParagraph"/>
        <w:rPr/>
      </w:pPr>
      <w:r>
        <w:rPr>
          <w:rStyle w:val="VerbatimChar"/>
        </w:rPr>
        <w:t>intake.grid_dimensions</w:t>
      </w:r>
      <w:r>
        <w:rPr/>
        <w:t xml:space="preserve"> turns an extent and a resolution into an integer pixel grid. Width and height are computed by rounding the extent </w:t>
      </w:r>
      <w:r>
        <w:rPr>
          <w:i/>
        </w:rPr>
        <w:t>out</w:t>
      </w:r>
      <w:r>
        <w:rPr/>
        <w:t xml:space="preserve"> (ceiling) to a whole number of pixels — never shrinking it — so the requested area is always fully covered, with a floor of at least one pixel in each direction. The returned “snapped” bounds are the extent re-expanded to that whole-pixel grid, anchored at the top-left corner (the maximum-Y edge is held fixed and the grid grows downward). Using these snapped bounds for both tile selection and the warp guarantees the footprint test and the mosaic agree on exactly the same grid. The function guards against a non-positive resolution and an empty extent with explicit errors.</w:t>
      </w:r>
    </w:p>
    <w:p>
      <w:pPr>
        <w:pStyle w:val="BodyText"/>
        <w:rPr/>
      </w:pPr>
      <w:r>
        <w:rPr/>
        <w:t xml:space="preserve">Once the grid is sized, the algorithm estimates the output’s memory footprint (width × height × 64 bands × 4 bytes for the float32 cube) and, above roughly 2 GiB, emits an up-front warning that the read may be slow or exhaust memory and that a smaller extent or coarser resolution would help. It is only a warning — a deliberate large export still proceeds. When the chosen output is itself a </w:t>
      </w:r>
      <w:r>
        <w:rPr>
          <w:rStyle w:val="VerbatimChar"/>
        </w:rPr>
        <w:t>.tif</w:t>
      </w:r>
      <w:r>
        <w:rPr/>
        <w:t>/</w:t>
      </w:r>
      <w:r>
        <w:rPr>
          <w:rStyle w:val="VerbatimChar"/>
        </w:rPr>
        <w:t>.tiff</w:t>
      </w:r>
      <w:r>
        <w:rPr/>
        <w:t xml:space="preserve"> file, the de-quantised cube is written straight to that destination in a single pass; other formats are written to a scratch GeoTIFF and translated, so the common case avoids an extra full-size copy on disk.</w:t>
      </w:r>
    </w:p>
    <w:p>
      <w:pPr>
        <w:pStyle w:val="BodyText"/>
        <w:rPr/>
      </w:pPr>
      <w:r>
        <w:rPr/>
        <w:t>At the default EPSG:3577 (Australian Albers) the units are metres, so the native 10 m resolution maps directly to a 10-unit pixel. EPSG:3577 is chosen as the default because it is equal-area, which keeps any downstream area statistics honest; the CRS is a per-run parameter, so the toolbox is equally usable outside Australia.</w:t>
      </w:r>
    </w:p>
    <w:p>
      <w:pPr>
        <w:pStyle w:val="BodyText"/>
        <w:rPr/>
      </w:pPr>
      <w:r>
        <w:rPr/>
        <w:t>This snapped grid is also what makes the multi-year loader (</w:t>
      </w:r>
      <w:r>
        <w:rPr>
          <w:i/>
        </w:rPr>
        <w:t>Load embeddings (multiple years)</w:t>
      </w:r>
      <w:r>
        <w:rPr/>
        <w:t xml:space="preserve">, </w:t>
      </w:r>
      <w:r>
        <w:rPr>
          <w:rStyle w:val="VerbatimChar"/>
        </w:rPr>
        <w:t>alphaearth:loadyears</w:t>
      </w:r>
      <w:r>
        <w:rPr/>
        <w:t xml:space="preserve">) produce analysis-ready output. It sizes the grid </w:t>
      </w:r>
      <w:r>
        <w:rPr>
          <w:b/>
        </w:rPr>
        <w:t>once</w:t>
      </w:r>
      <w:r>
        <w:rPr/>
        <w:t xml:space="preserve"> from the shared area of interest, resolution and CRS, then fetches each ticked year (2017–2025) through the identical fetch-and-mosaic path onto that same grid — so the per-year rasters it writes (</w:t>
      </w:r>
      <w:r>
        <w:rPr>
          <w:rStyle w:val="VerbatimChar"/>
        </w:rPr>
        <w:t>alphaearth_&lt;year&gt;.tif</w:t>
      </w:r>
      <w:r>
        <w:rPr/>
        <w:t xml:space="preserve">) are exactly pixel-aligned. Because </w:t>
      </w:r>
      <w:r>
        <w:rPr>
          <w:i/>
        </w:rPr>
        <w:t>Change / trajectory</w:t>
      </w:r>
      <w:r>
        <w:rPr/>
        <w:t xml:space="preserve"> (§10) requires its inputs to share one </w:t>
      </w:r>
      <w:r>
        <w:rPr>
          <w:rStyle w:val="VerbatimChar"/>
        </w:rPr>
        <w:t>(bands, rows, cols)</w:t>
      </w:r>
      <w:r>
        <w:rPr/>
        <w:t xml:space="preserve"> grid, and </w:t>
      </w:r>
      <w:r>
        <w:rPr>
          <w:i/>
        </w:rPr>
        <w:t>Similarity</w:t>
      </w:r>
      <w:r>
        <w:rPr/>
        <w:t xml:space="preserve"> compares pixel-for-pixel, this alignment is precisely what lets the multi-year outputs feed those algorithms with no intermediate re-projection or resampling — which is the point of fetching the years together rather than one at a time. The maths of each year’s fetch is unchanged from the single-year loader (§3–§6); only the orchestration differs (the grid and large-area check are computed once, and each year takes an equal share of the progress bar).</w:t>
      </w:r>
    </w:p>
    <w:p>
      <w:pPr>
        <w:pStyle w:val="Heading2"/>
        <w:rPr/>
      </w:pPr>
      <w:bookmarkStart w:id="46" w:name="__RefHeading___Toc7833_3476700982"/>
      <w:bookmarkStart w:id="47" w:name="dequantising-to-unit-vectors"/>
      <w:bookmarkEnd w:id="46"/>
      <w:r>
        <w:rPr/>
        <w:t>6. Dequantising to unit vectors</w:t>
      </w:r>
      <w:bookmarkEnd w:id="47"/>
    </w:p>
    <w:p>
      <w:pPr>
        <w:pStyle w:val="FirstParagraph"/>
        <w:rPr/>
      </w:pPr>
      <w:r>
        <w:rPr/>
        <w:t xml:space="preserve">After the mosaic, the int8 cube is converted back to float embedding vectors. The fill pixels (equal to −128) are recorded, every value is divided by </w:t>
      </w:r>
      <w:r>
        <w:rPr>
          <w:rStyle w:val="VerbatimChar"/>
        </w:rPr>
        <w:t>QUANT_SCALE = 127.5</w:t>
      </w:r>
      <w:r>
        <w:rPr/>
        <w:t xml:space="preserve"> and cast to float32, and the fill pixels are then written as the float no-data sentinel </w:t>
      </w:r>
      <w:r>
        <w:rPr>
          <w:rStyle w:val="VerbatimChar"/>
        </w:rPr>
        <w:t>-9999.0</w:t>
      </w:r>
      <w:r>
        <w:rPr/>
        <w:t xml:space="preserve">. That sentinel is chosen to sit far outside the legitimate unit-vector range of roughly [−1, 1], so downstream algorithms can mask no-data without ever colliding with a real embedding value. The output GeoTIFF records </w:t>
      </w:r>
      <w:r>
        <w:rPr>
          <w:rStyle w:val="VerbatimChar"/>
        </w:rPr>
        <w:t>-9999.0</w:t>
      </w:r>
      <w:r>
        <w:rPr/>
        <w:t xml:space="preserve"> as its no-data value. When </w:t>
      </w:r>
      <w:r>
        <w:rPr>
          <w:i/>
        </w:rPr>
        <w:t>Load embedding</w:t>
      </w:r>
      <w:r>
        <w:rPr/>
        <w:t xml:space="preserve"> is instead given an explicit layer or URL, the source is warped verbatim with no dequantisation (it is assumed already to be in whatever units the user supplied).</w:t>
      </w:r>
    </w:p>
    <w:p>
      <w:pPr>
        <w:pStyle w:val="Heading2"/>
        <w:rPr/>
      </w:pPr>
      <w:bookmarkStart w:id="48" w:name="__RefHeading___Toc7835_3476700982"/>
      <w:bookmarkStart w:id="49" w:name="why-nearest-neighbour-resampling"/>
      <w:bookmarkEnd w:id="48"/>
      <w:r>
        <w:rPr/>
        <w:t>7. Why nearest-neighbour resampling</w:t>
      </w:r>
      <w:bookmarkEnd w:id="49"/>
    </w:p>
    <w:p>
      <w:pPr>
        <w:pStyle w:val="FirstParagraph"/>
        <w:rPr/>
      </w:pPr>
      <w:r>
        <w:rPr/>
        <w:t xml:space="preserve">Both the fetch-by-year mosaic and the single-source warp resample with nearest-neighbour. This is a considered choice, not a default. The embedding vectors are </w:t>
      </w:r>
      <w:r>
        <w:rPr>
          <w:i/>
        </w:rPr>
        <w:t>learned</w:t>
      </w:r>
      <w:r>
        <w:rPr/>
        <w:t xml:space="preserve"> features whose meaning depends on the exact 64 components staying together; averaging neighbouring pixels (bilinear/cubic) would produce a blended vector that is no longer a genuine embedding and, critically, would break the near-unit-length property the similarity maths relies on. Nearest-neighbour carries each source pixel’s vector through unchanged, preserving both its meaning and its magnitude.</w:t>
      </w:r>
    </w:p>
    <w:p>
      <w:pPr>
        <w:pStyle w:val="Heading2"/>
        <w:rPr/>
      </w:pPr>
      <w:bookmarkStart w:id="50" w:name="__RefHeading___Toc7837_3476700982"/>
      <w:bookmarkStart w:id="51" w:name="embedding-rgb-the-maths"/>
      <w:bookmarkEnd w:id="50"/>
      <w:r>
        <w:rPr/>
        <w:t>8. Embedding → RGB: the maths</w:t>
      </w:r>
      <w:bookmarkEnd w:id="51"/>
    </w:p>
    <w:p>
      <w:pPr>
        <w:pStyle w:val="FirstParagraph"/>
        <w:rPr/>
      </w:pPr>
      <w:r>
        <w:rPr/>
        <w:t xml:space="preserve">The RGB algorithm reduces the 64-band embedding to a three-band image so it can be seen at a glance, and is implemented in the pure-NumPy </w:t>
      </w:r>
      <w:r>
        <w:rPr>
          <w:rStyle w:val="VerbatimChar"/>
        </w:rPr>
        <w:t>aecore/rgb.py</w:t>
      </w:r>
      <w:r>
        <w:rPr/>
        <w:t>. It offers two methods, both ending in the same percentile contrast stretch.</w:t>
      </w:r>
    </w:p>
    <w:p>
      <w:pPr>
        <w:pStyle w:val="BodyText"/>
        <w:rPr/>
      </w:pPr>
      <w:r>
        <w:rPr/>
        <w:t xml:space="preserve">The default is </w:t>
      </w:r>
      <w:r>
        <w:rPr>
          <w:b/>
        </w:rPr>
        <w:t>PCA-to-3</w:t>
      </w:r>
      <w:r>
        <w:rPr/>
        <w:t xml:space="preserve">. The valid pixels (finite across all bands, and not equal to the no-data value where one is set) are collected into an </w:t>
      </w:r>
      <w:r>
        <w:rPr>
          <w:rStyle w:val="VerbatimChar"/>
        </w:rPr>
        <w:t>(n, 64)</w:t>
      </w:r>
      <w:r>
        <w:rPr/>
        <w:t xml:space="preserve"> matrix; if there are more than a cap, a deterministic random subsample is drawn so the fit is fast on large scenes. The subsample is mean-centred and decomposed with a singular value decomposition; the top three right-singular vectors are the principal axes, and every valid pixel is projected onto them to give three components. PCA is used because it packs the most variance into the fewest bands, so the three channels carry as much of the embedding’s structure as three numbers can — but note the axes are data-dependent, so PCA-RGB colours are not comparable between two separate runs. The alternative method, </w:t>
      </w:r>
      <w:r>
        <w:rPr>
          <w:b/>
        </w:rPr>
        <w:t>band triplet</w:t>
      </w:r>
      <w:r>
        <w:rPr/>
        <w:t>, simply takes three user-chosen bands (e.g. </w:t>
      </w:r>
      <w:r>
        <w:rPr>
          <w:rStyle w:val="VerbatimChar"/>
        </w:rPr>
        <w:t>10,20,30</w:t>
      </w:r>
      <w:r>
        <w:rPr/>
        <w:t xml:space="preserve">) as R, G and B, which </w:t>
      </w:r>
      <w:r>
        <w:rPr>
          <w:i/>
        </w:rPr>
        <w:t>is</w:t>
      </w:r>
      <w:r>
        <w:rPr/>
        <w:t xml:space="preserve"> stable across scenes at the cost of showing only three of the 64 dimensions.</w:t>
      </w:r>
    </w:p>
    <w:p>
      <w:pPr>
        <w:pStyle w:val="BodyText"/>
        <w:rPr/>
      </w:pPr>
      <w:r>
        <w:rPr/>
        <w:t xml:space="preserve">Either way the three channels are then contrast-stretched independently: each is clipped to its 2nd–98th percentile (over valid pixels) and linearly rescaled to 0–255 </w:t>
      </w:r>
      <w:r>
        <w:rPr>
          <w:rStyle w:val="VerbatimChar"/>
        </w:rPr>
        <w:t>uint8</w:t>
      </w:r>
      <w:r>
        <w:rPr/>
        <w:t>, which spreads the visible range without letting a few outliers flatten the image. No-data pixels are written as the fill colour (0,0,0). The result is a standard 3-band RGB raster; it is a visualisation aid only and must not be fed back into the analytical algorithms, which expect the 64-band embedding.</w:t>
      </w:r>
    </w:p>
    <w:p>
      <w:pPr>
        <w:pStyle w:val="Heading2"/>
        <w:rPr/>
      </w:pPr>
      <w:bookmarkStart w:id="52" w:name="__RefHeading___Toc7839_3476700982"/>
      <w:bookmarkStart w:id="53" w:name="similarity-search-the-maths"/>
      <w:bookmarkEnd w:id="52"/>
      <w:r>
        <w:rPr/>
        <w:t>9. Similarity search: the maths</w:t>
      </w:r>
      <w:bookmarkEnd w:id="53"/>
    </w:p>
    <w:p>
      <w:pPr>
        <w:pStyle w:val="FirstParagraph"/>
        <w:rPr/>
      </w:pPr>
      <w:r>
        <w:rPr/>
        <w:t xml:space="preserve">The Similarity algorithm answers “find more like this” and is implemented in the pure-NumPy </w:t>
      </w:r>
      <w:r>
        <w:rPr>
          <w:rStyle w:val="VerbatimChar"/>
        </w:rPr>
        <w:t>aecore/similarity.py</w:t>
      </w:r>
      <w:r>
        <w:rPr/>
        <w:t>. It proceeds in four stages.</w:t>
      </w:r>
    </w:p>
    <w:p>
      <w:pPr>
        <w:pStyle w:val="BodyText"/>
        <w:rPr/>
      </w:pPr>
      <w:r>
        <w:rPr/>
        <w:t xml:space="preserve">First, </w:t>
      </w:r>
      <w:r>
        <w:rPr>
          <w:b/>
        </w:rPr>
        <w:t>seed extraction</w:t>
      </w:r>
      <w:r>
        <w:rPr/>
        <w:t xml:space="preserve">. The user’s seed points or polygons are rasterised onto the embedding grid (points mark the pixel they fall in; polygons mark every pixel whose centre they contain, with a centroid fallback for features smaller than a pixel), reprojecting the seed geometries into the embedding’s CRS first. </w:t>
      </w:r>
      <w:r>
        <w:rPr>
          <w:rStyle w:val="VerbatimChar"/>
        </w:rPr>
        <w:t>extract_vectors</w:t>
      </w:r>
      <w:r>
        <w:rPr/>
        <w:t xml:space="preserve"> then pulls the </w:t>
      </w:r>
      <w:r>
        <w:rPr>
          <w:rStyle w:val="VerbatimChar"/>
        </w:rPr>
        <w:t>(n, bands)</w:t>
      </w:r>
      <w:r>
        <w:rPr/>
        <w:t xml:space="preserve"> matrix of embedding vectors at those seed pixels.</w:t>
      </w:r>
    </w:p>
    <w:p>
      <w:pPr>
        <w:pStyle w:val="BodyText"/>
        <w:rPr/>
      </w:pPr>
      <w:r>
        <w:rPr/>
        <w:t xml:space="preserve">Second, </w:t>
      </w:r>
      <w:r>
        <w:rPr>
          <w:b/>
        </w:rPr>
        <w:t>seed aggregation</w:t>
      </w:r>
      <w:r>
        <w:rPr/>
        <w:t xml:space="preserve"> (</w:t>
      </w:r>
      <w:r>
        <w:rPr>
          <w:rStyle w:val="VerbatimChar"/>
        </w:rPr>
        <w:t>aggregate_seeds</w:t>
      </w:r>
      <w:r>
        <w:rPr/>
        <w:t xml:space="preserve">) reduces those </w:t>
      </w:r>
      <w:r>
        <w:rPr>
          <w:rStyle w:val="VerbatimChar"/>
        </w:rPr>
        <w:t>n</w:t>
      </w:r>
      <w:r>
        <w:rPr/>
        <w:t xml:space="preserve"> vectors to a single reference vector, either as their mean (then re-normalised to unit length) or as their </w:t>
      </w:r>
      <w:r>
        <w:rPr>
          <w:i/>
        </w:rPr>
        <w:t>medoid</w:t>
      </w:r>
      <w:r>
        <w:rPr/>
        <w:t xml:space="preserve"> — the seed most similar on average to the others, found from the pairwise cosine-similarity matrix. Both paths return a unit-length reference.</w:t>
      </w:r>
    </w:p>
    <w:p>
      <w:pPr>
        <w:pStyle w:val="BodyText"/>
        <w:rPr/>
      </w:pPr>
      <w:r>
        <w:rPr/>
        <w:t xml:space="preserve">Third, the </w:t>
      </w:r>
      <w:r>
        <w:rPr>
          <w:b/>
        </w:rPr>
        <w:t>similarity map</w:t>
      </w:r>
      <w:r>
        <w:rPr/>
        <w:t xml:space="preserve"> (</w:t>
      </w:r>
      <w:r>
        <w:rPr>
          <w:rStyle w:val="VerbatimChar"/>
        </w:rPr>
        <w:t>similarity_map</w:t>
      </w:r>
      <w:r>
        <w:rPr/>
        <w:t xml:space="preserve">). The embedding cube and the reference are each L2-normalised, then the reference is dotted against every pixel: mechanically, a </w:t>
      </w:r>
      <w:r>
        <w:rPr>
          <w:rStyle w:val="VerbatimChar"/>
        </w:rPr>
        <w:t>(k, bands)</w:t>
      </w:r>
      <w:r>
        <w:rPr/>
        <w:t xml:space="preserve"> reference matrix is multiplied by the </w:t>
      </w:r>
      <w:r>
        <w:rPr>
          <w:rStyle w:val="VerbatimChar"/>
        </w:rPr>
        <w:t>(bands, rows·cols)</w:t>
      </w:r>
      <w:r>
        <w:rPr/>
        <w:t xml:space="preserve"> reshaped cube to give </w:t>
      </w:r>
      <w:r>
        <w:rPr>
          <w:rStyle w:val="VerbatimChar"/>
        </w:rPr>
        <w:t>(k, rows·cols)</w:t>
      </w:r>
      <w:r>
        <w:rPr/>
        <w:t xml:space="preserve"> scores, and each pixel takes its best (maximum) score over the </w:t>
      </w:r>
      <w:r>
        <w:rPr>
          <w:rStyle w:val="VerbatimChar"/>
        </w:rPr>
        <w:t>k</w:t>
      </w:r>
      <w:r>
        <w:rPr/>
        <w:t xml:space="preserve"> seeds. Explicit normalisation makes the result exact even if the input vectors are only approximately unit length (as int8 dequantisation leaves them). By default the cosine result is rescaled from </w:t>
      </w:r>
      <w:r>
        <w:rPr>
          <w:rStyle w:val="VerbatimChar"/>
        </w:rPr>
        <w:t>[−1, 1]</w:t>
      </w:r>
      <w:r>
        <w:rPr/>
        <w:t xml:space="preserve"> to </w:t>
      </w:r>
      <w:r>
        <w:rPr>
          <w:rStyle w:val="VerbatimChar"/>
        </w:rPr>
        <w:t>[0, 1]</w:t>
      </w:r>
      <w:r>
        <w:rPr/>
        <w:t xml:space="preserve"> via </w:t>
      </w:r>
      <w:r>
        <w:rPr>
          <w:rStyle w:val="VerbatimChar"/>
        </w:rPr>
        <w:t>(x + 1) / 2</w:t>
      </w:r>
      <w:r>
        <w:rPr/>
        <w:t xml:space="preserve"> for convenient styling; raw cosine can be requested instead. No-data pixels — identified as any pixel that is not finite across all bands, or (where a no-data value is set) equal to it in every band — are written as </w:t>
      </w:r>
      <w:r>
        <w:rPr>
          <w:rStyle w:val="VerbatimChar"/>
        </w:rPr>
        <w:t>NaN</w:t>
      </w:r>
      <w:r>
        <w:rPr/>
        <w:t xml:space="preserve"> so they are never scored as a spurious match.</w:t>
      </w:r>
    </w:p>
    <w:p>
      <w:pPr>
        <w:pStyle w:val="BodyText"/>
        <w:rPr/>
      </w:pPr>
      <w:r>
        <w:rPr/>
        <w:t xml:space="preserve">Fourth, an optional </w:t>
      </w:r>
      <w:r>
        <w:rPr>
          <w:b/>
        </w:rPr>
        <w:t>threshold mask</w:t>
      </w:r>
      <w:r>
        <w:rPr/>
        <w:t xml:space="preserve"> (</w:t>
      </w:r>
      <w:r>
        <w:rPr>
          <w:rStyle w:val="VerbatimChar"/>
        </w:rPr>
        <w:t>threshold_mask</w:t>
      </w:r>
      <w:r>
        <w:rPr/>
        <w:t xml:space="preserve">) produces a </w:t>
      </w:r>
      <w:r>
        <w:rPr>
          <w:rStyle w:val="VerbatimChar"/>
        </w:rPr>
        <w:t>uint8</w:t>
      </w:r>
      <w:r>
        <w:rPr/>
        <w:t xml:space="preserve"> “more like this” layer that is 1 where similarity ≥ the threshold. </w:t>
      </w:r>
      <w:r>
        <w:rPr>
          <w:rStyle w:val="VerbatimChar"/>
        </w:rPr>
        <w:t>NaN</w:t>
      </w:r>
      <w:r>
        <w:rPr/>
        <w:t xml:space="preserve"> (no-data) pixels are treated as below any threshold, so they are never included. The similarity raster is written with a </w:t>
      </w:r>
      <w:r>
        <w:rPr>
          <w:rStyle w:val="VerbatimChar"/>
        </w:rPr>
        <w:t>-9999.0</w:t>
      </w:r>
      <w:r>
        <w:rPr/>
        <w:t xml:space="preserve"> no-data sentinel and given a best-effort blue-to-red pseudocolour style once loaded.</w:t>
      </w:r>
    </w:p>
    <w:p>
      <w:pPr>
        <w:pStyle w:val="Heading2"/>
        <w:rPr/>
      </w:pPr>
      <w:bookmarkStart w:id="54" w:name="__RefHeading___Toc7841_3476700982"/>
      <w:bookmarkStart w:id="55" w:name="change-trajectory-the-maths"/>
      <w:bookmarkEnd w:id="54"/>
      <w:r>
        <w:rPr/>
        <w:t>10. Change / trajectory: the maths</w:t>
      </w:r>
      <w:bookmarkEnd w:id="55"/>
    </w:p>
    <w:p>
      <w:pPr>
        <w:pStyle w:val="FirstParagraph"/>
        <w:rPr/>
      </w:pPr>
      <w:r>
        <w:rPr/>
        <w:t xml:space="preserve">The Change algorithm answers “how much did each pixel change between years?” and is implemented in the pure-NumPy </w:t>
      </w:r>
      <w:r>
        <w:rPr>
          <w:rStyle w:val="VerbatimChar"/>
        </w:rPr>
        <w:t>aecore/change.py</w:t>
      </w:r>
      <w:r>
        <w:rPr/>
        <w:t xml:space="preserve">. It takes two or more embedding cubes — one per year, on a shared </w:t>
      </w:r>
      <w:r>
        <w:rPr>
          <w:rStyle w:val="VerbatimChar"/>
        </w:rPr>
        <w:t>(bands, rows, cols)</w:t>
      </w:r>
      <w:r>
        <w:rPr/>
        <w:t xml:space="preserve"> grid — in temporal order, and reduces them to a single-band per-pixel change raster under one of three modes.</w:t>
      </w:r>
    </w:p>
    <w:p>
      <w:pPr>
        <w:pStyle w:val="BodyText"/>
        <w:rPr/>
      </w:pPr>
      <w:r>
        <w:rPr/>
        <w:t xml:space="preserve">The per-pixel distance between two cubes is the primitive everything builds on. For </w:t>
      </w:r>
      <w:r>
        <w:rPr>
          <w:b/>
        </w:rPr>
        <w:t>cosine</w:t>
      </w:r>
      <w:r>
        <w:rPr/>
        <w:t xml:space="preserve"> distance the two cubes are L2-normalised along the band axis and dotted band-wise, giving </w:t>
      </w:r>
      <w:r>
        <w:rPr>
          <w:rStyle w:val="VerbatimChar"/>
        </w:rPr>
        <w:t>1 − Σ(â·b̂)</w:t>
      </w:r>
      <w:r>
        <w:rPr/>
        <w:t xml:space="preserve"> per pixel, bounded in </w:t>
      </w:r>
      <w:r>
        <w:rPr>
          <w:rStyle w:val="VerbatimChar"/>
        </w:rPr>
        <w:t>[0, 2]</w:t>
      </w:r>
      <w:r>
        <w:rPr/>
        <w:t xml:space="preserve"> (0 = no change, 1 = orthogonal, 2 = opposite). For </w:t>
      </w:r>
      <w:r>
        <w:rPr>
          <w:b/>
        </w:rPr>
        <w:t>Euclidean</w:t>
      </w:r>
      <w:r>
        <w:rPr/>
        <w:t xml:space="preserve"> distance it is </w:t>
      </w:r>
      <w:r>
        <w:rPr>
          <w:rStyle w:val="VerbatimChar"/>
        </w:rPr>
        <w:t>√(Σ(a − b)²)</w:t>
      </w:r>
      <w:r>
        <w:rPr/>
        <w:t>. Explicit normalisation for the cosine path makes the result exact even though int8 dequantisation leaves the vectors only approximately unit length.</w:t>
      </w:r>
    </w:p>
    <w:p>
      <w:pPr>
        <w:pStyle w:val="BodyText"/>
        <w:rPr/>
      </w:pPr>
      <w:r>
        <w:rPr>
          <w:i/>
        </w:rPr>
        <w:t>Pairwise</w:t>
      </w:r>
      <w:r>
        <w:rPr/>
        <w:t xml:space="preserve"> mode is simply this distance between the first and last supplied year — the classic bi-temporal change map, and the case EMBED-CD covers. </w:t>
      </w:r>
      <w:r>
        <w:rPr>
          <w:i/>
        </w:rPr>
        <w:t>Trajectory magnitude</w:t>
      </w:r>
      <w:r>
        <w:rPr/>
        <w:t xml:space="preserve"> sums the distance across every consecutive pair of years (</w:t>
      </w:r>
      <w:r>
        <w:rPr>
          <w:rStyle w:val="VerbatimChar"/>
        </w:rPr>
        <w:t>itertools. pairwise</w:t>
      </w:r>
      <w:r>
        <w:rPr/>
        <w:t xml:space="preserve"> over the ordered sequence), so a pixel that changes and then reverts scores its full round-trip travel rather than the ~zero a first-vs-last comparison would show; it needs three or more years to differ from pairwise. </w:t>
      </w:r>
      <w:r>
        <w:rPr>
          <w:i/>
        </w:rPr>
        <w:t>Anomaly vs baseline</w:t>
      </w:r>
      <w:r>
        <w:rPr/>
        <w:t xml:space="preserve"> forms the element-wise mean (“baseline”) cube across all supplied years and returns the distance of the most recent year from that baseline — flagging where the latest year departs from the multi-year norm. A pixel is valid only where every input year is valid; the per-year no-data masks are combined with logical AND and invalid pixels are written as </w:t>
      </w:r>
      <w:r>
        <w:rPr>
          <w:rStyle w:val="VerbatimChar"/>
        </w:rPr>
        <w:t>NaN</w:t>
      </w:r>
      <w:r>
        <w:rPr/>
        <w:t xml:space="preserve">, then the float sentinel </w:t>
      </w:r>
      <w:r>
        <w:rPr>
          <w:rStyle w:val="VerbatimChar"/>
        </w:rPr>
        <w:t>-9999.0</w:t>
      </w:r>
      <w:r>
        <w:rPr/>
        <w:t xml:space="preserve"> on output. The result is auto-styled blue (little change) to red (most change).</w:t>
      </w:r>
    </w:p>
    <w:p>
      <w:pPr>
        <w:pStyle w:val="BodyText"/>
        <w:rPr/>
      </w:pPr>
      <w:r>
        <w:rPr>
          <w:i/>
        </w:rPr>
        <w:t>Change over years</w:t>
      </w:r>
      <w:r>
        <w:rPr/>
        <w:t xml:space="preserve"> (</w:t>
      </w:r>
      <w:r>
        <w:rPr>
          <w:rStyle w:val="VerbatimChar"/>
        </w:rPr>
        <w:t>alphaearth:changeyears</w:t>
      </w:r>
      <w:r>
        <w:rPr/>
        <w:t xml:space="preserve">) computes exactly this same change surface but removes the manual step of loading each year onto a matching grid. The user ticks two or more years and gives one area of interest, target CRS and resolution; the algorithm sizes the snapped output grid once (§5) and then fetches each ticked year through the identical fetch-and-mosaic-and-dequantise path used by </w:t>
      </w:r>
      <w:r>
        <w:rPr>
          <w:i/>
        </w:rPr>
        <w:t>Load embedding</w:t>
      </w:r>
      <w:r>
        <w:rPr/>
        <w:t xml:space="preserve"> and </w:t>
      </w:r>
      <w:r>
        <w:rPr>
          <w:i/>
        </w:rPr>
        <w:t>Load embeddings (multiple years)</w:t>
      </w:r>
      <w:r>
        <w:rPr/>
        <w:t xml:space="preserve"> (§3–§6, via the shared </w:t>
      </w:r>
      <w:r>
        <w:rPr>
          <w:rStyle w:val="VerbatimChar"/>
        </w:rPr>
        <w:t>_fetch.fetch_year_cube</w:t>
      </w:r>
      <w:r>
        <w:rPr/>
        <w:t xml:space="preserve">) directly onto that one grid. Because every year is warped onto the same </w:t>
      </w:r>
      <w:r>
        <w:rPr>
          <w:rStyle w:val="VerbatimChar"/>
        </w:rPr>
        <w:t>(bands, rows, cols)</w:t>
      </w:r>
      <w:r>
        <w:rPr/>
        <w:t xml:space="preserve"> grid in a single pass, the per-year cubes are pixel-aligned by construction — there is no separate alignment test to satisfy, unlike the raster-based </w:t>
      </w:r>
      <w:r>
        <w:rPr>
          <w:i/>
        </w:rPr>
        <w:t>Change / trajectory</w:t>
      </w:r>
      <w:r>
        <w:rPr/>
        <w:t xml:space="preserve">, which must verify its inputs share a grid. The stacked cubes, in temporal order, are then handed to the very same </w:t>
      </w:r>
      <w:r>
        <w:rPr>
          <w:rStyle w:val="VerbatimChar"/>
        </w:rPr>
        <w:t>aecore.change</w:t>
      </w:r>
      <w:r>
        <w:rPr/>
        <w:t xml:space="preserve"> </w:t>
      </w:r>
      <w:r>
        <w:rPr>
          <w:rStyle w:val="VerbatimChar"/>
        </w:rPr>
        <w:t>compute_change</w:t>
      </w:r>
      <w:r>
        <w:rPr/>
        <w:t xml:space="preserve"> dispatch, so the choice of mode (pairwise, trajectory magnitude, anomaly vs baseline) and metric (cosine or Euclidean) and the resulting distance maths are identical to those above; only the provenance of the inputs differs. The fetched per-year cubes may optionally also be written to a folder as </w:t>
      </w:r>
      <w:r>
        <w:rPr>
          <w:rStyle w:val="VerbatimChar"/>
        </w:rPr>
        <w:t>alphaearth_&lt;year&gt;.tif</w:t>
      </w:r>
      <w:r>
        <w:rPr/>
        <w:t xml:space="preserve">. Sharing both </w:t>
      </w:r>
      <w:r>
        <w:rPr>
          <w:rStyle w:val="VerbatimChar"/>
        </w:rPr>
        <w:t>fetch_year_cube</w:t>
      </w:r>
      <w:r>
        <w:rPr/>
        <w:t xml:space="preserve"> and </w:t>
      </w:r>
      <w:r>
        <w:rPr>
          <w:rStyle w:val="VerbatimChar"/>
        </w:rPr>
        <w:t>compute_change</w:t>
      </w:r>
      <w:r>
        <w:rPr/>
        <w:t xml:space="preserve"> with the loaders and with </w:t>
      </w:r>
      <w:r>
        <w:rPr>
          <w:i/>
        </w:rPr>
        <w:t>Change / trajectory</w:t>
      </w:r>
      <w:r>
        <w:rPr/>
        <w:t xml:space="preserve"> guarantees the one-step flow cannot drift from the multi-step one.</w:t>
      </w:r>
    </w:p>
    <w:p>
      <w:pPr>
        <w:pStyle w:val="Heading2"/>
        <w:rPr/>
      </w:pPr>
      <w:bookmarkStart w:id="56" w:name="__RefHeading___Toc7843_3476700982"/>
      <w:bookmarkStart w:id="57" w:name="change-report-the-maths"/>
      <w:bookmarkEnd w:id="56"/>
      <w:r>
        <w:rPr/>
        <w:t>11. Change report: the maths</w:t>
      </w:r>
      <w:bookmarkEnd w:id="57"/>
    </w:p>
    <w:p>
      <w:pPr>
        <w:pStyle w:val="FirstParagraph"/>
        <w:rPr/>
      </w:pPr>
      <w:r>
        <w:rPr/>
        <w:t xml:space="preserve">The Change report turns a change raster into a small, readable summary and is implemented in the pure-NumPy/stdlib </w:t>
      </w:r>
      <w:r>
        <w:rPr>
          <w:rStyle w:val="VerbatimChar"/>
        </w:rPr>
        <w:t>aecore/report.py</w:t>
      </w:r>
      <w:r>
        <w:rPr/>
        <w:t xml:space="preserve">. It reads one band of a single-band magnitude raster (no-data mapped to </w:t>
      </w:r>
      <w:r>
        <w:rPr>
          <w:rStyle w:val="VerbatimChar"/>
        </w:rPr>
        <w:t>NaN</w:t>
      </w:r>
      <w:r>
        <w:rPr/>
        <w:t xml:space="preserve">), and every statistic is computed over the </w:t>
      </w:r>
      <w:r>
        <w:rPr>
          <w:b/>
        </w:rPr>
        <w:t>finite</w:t>
      </w:r>
      <w:r>
        <w:rPr/>
        <w:t xml:space="preserve"> values only (</w:t>
      </w:r>
      <w:r>
        <w:rPr>
          <w:rStyle w:val="VerbatimChar"/>
        </w:rPr>
        <w:t>finite_values</w:t>
      </w:r>
      <w:r>
        <w:rPr/>
        <w:t xml:space="preserve"> drops the </w:t>
      </w:r>
      <w:r>
        <w:rPr>
          <w:rStyle w:val="VerbatimChar"/>
        </w:rPr>
        <w:t>NaN</w:t>
      </w:r>
      <w:r>
        <w:rPr/>
        <w:t>s), so ocean and missing tiles never distort the numbers. Four content types are computed independently and any combination can be requested.</w:t>
      </w:r>
    </w:p>
    <w:p>
      <w:pPr>
        <w:pStyle w:val="BodyText"/>
        <w:rPr/>
      </w:pPr>
      <w:r>
        <w:rPr/>
        <w:t xml:space="preserve">The </w:t>
      </w:r>
      <w:r>
        <w:rPr>
          <w:b/>
        </w:rPr>
        <w:t>change-magnitude distribution</w:t>
      </w:r>
      <w:r>
        <w:rPr/>
        <w:t xml:space="preserve"> is a </w:t>
      </w:r>
      <w:r>
        <w:rPr>
          <w:rStyle w:val="VerbatimChar"/>
        </w:rPr>
        <w:t>Stats</w:t>
      </w:r>
      <w:r>
        <w:rPr/>
        <w:t xml:space="preserve"> summary plus a histogram. </w:t>
      </w:r>
      <w:r>
        <w:rPr>
          <w:rStyle w:val="VerbatimChar"/>
        </w:rPr>
        <w:t>summarise</w:t>
      </w:r>
      <w:r>
        <w:rPr/>
        <w:t xml:space="preserve"> returns the count of valid pixels, the minimum and maximum, the mean, the median and the standard deviation, together with a fixed set of percentiles (the 5th, 25th, 50th, 75th and 95th) computed with </w:t>
      </w:r>
      <w:r>
        <w:rPr>
          <w:rStyle w:val="VerbatimChar"/>
        </w:rPr>
        <w:t>numpy.percentile</w:t>
      </w:r>
      <w:r>
        <w:rPr/>
        <w:t xml:space="preserve">; it raises rather than inventing a number when there are no finite values. </w:t>
      </w:r>
      <w:r>
        <w:rPr>
          <w:rStyle w:val="VerbatimChar"/>
        </w:rPr>
        <w:t>histogram</w:t>
      </w:r>
      <w:r>
        <w:rPr/>
        <w:t xml:space="preserve"> bins the finite values into a chosen number of equal-width bins between the observed minimum and maximum, returning the bin edges and counts (which sum to the valid-pixel count) for the bar chart.</w:t>
      </w:r>
    </w:p>
    <w:p>
      <w:pPr>
        <w:pStyle w:val="BodyText"/>
        <w:rPr/>
      </w:pPr>
      <w:r>
        <w:rPr/>
        <w:t xml:space="preserve">The </w:t>
      </w:r>
      <w:r>
        <w:rPr>
          <w:b/>
        </w:rPr>
        <w:t>percentage of area changed</w:t>
      </w:r>
      <w:r>
        <w:rPr/>
        <w:t xml:space="preserve"> answers “how much of the scene changed by at least </w:t>
      </w:r>
      <w:r>
        <w:rPr>
          <w:i/>
        </w:rPr>
        <w:t>t</w:t>
      </w:r>
      <w:r>
        <w:rPr/>
        <w:t xml:space="preserve">?” for each of several thresholds. </w:t>
      </w:r>
      <w:r>
        <w:rPr>
          <w:rStyle w:val="VerbatimChar"/>
        </w:rPr>
        <w:t>area_fractions</w:t>
      </w:r>
      <w:r>
        <w:rPr/>
        <w:t xml:space="preserve"> counts the finite pixels at or above each threshold and divides by the valid-pixel count, so the fractions are monotone non-increasing in the threshold and the fraction at the lowest threshold that every pixel clears is 1.0. When a per-pixel ground area is known — that is, when the raster’s CRS is projected, so a pixel covers a constant number of square metres — each row also carries the corresponding </w:t>
      </w:r>
      <w:r>
        <w:rPr>
          <w:b/>
        </w:rPr>
        <w:t>hectares</w:t>
      </w:r>
      <w:r>
        <w:rPr/>
        <w:t xml:space="preserve"> (pixels × pixel-area-m² ÷ 10 000); over a geographic (degrees) CRS, where a pixel has no constant ground area, the hectares are omitted and only the fraction is given. The pixel area is derived from the raster’s geotransform by </w:t>
      </w:r>
      <w:r>
        <w:rPr>
          <w:rStyle w:val="VerbatimChar"/>
        </w:rPr>
        <w:t>_report.pixel_area_m2</w:t>
      </w:r>
      <w:r>
        <w:rPr/>
        <w:t xml:space="preserve">, which returns </w:t>
      </w:r>
      <w:r>
        <w:rPr>
          <w:rStyle w:val="VerbatimChar"/>
        </w:rPr>
        <w:t>None</w:t>
      </w:r>
      <w:r>
        <w:rPr/>
        <w:t xml:space="preserve"> for a geographic CRS.</w:t>
      </w:r>
    </w:p>
    <w:p>
      <w:pPr>
        <w:pStyle w:val="BodyText"/>
        <w:rPr/>
      </w:pPr>
      <w:r>
        <w:rPr/>
        <w:t xml:space="preserve">The </w:t>
      </w:r>
      <w:r>
        <w:rPr>
          <w:b/>
        </w:rPr>
        <w:t>change-over-time series</w:t>
      </w:r>
      <w:r>
        <w:rPr/>
        <w:t xml:space="preserve"> is built only when several change rasters are supplied in order (the optional </w:t>
      </w:r>
      <w:r>
        <w:rPr>
          <w:i/>
        </w:rPr>
        <w:t>Change rasters over time</w:t>
      </w:r>
      <w:r>
        <w:rPr/>
        <w:t xml:space="preserve"> input, or, when the report is run from a change algorithm, the consecutive-year pairs). </w:t>
      </w:r>
      <w:r>
        <w:rPr>
          <w:rStyle w:val="VerbatimChar"/>
        </w:rPr>
        <w:t>series_points</w:t>
      </w:r>
      <w:r>
        <w:rPr/>
        <w:t xml:space="preserve"> reduces each period’s raster to one point — its label (the layer name), its mean and median change and its valid-pixel count — and silently skips a period with no finite pixels, giving a line/point series of how the typical change magnitude moves from period to period.</w:t>
      </w:r>
    </w:p>
    <w:p>
      <w:pPr>
        <w:pStyle w:val="BodyText"/>
        <w:rPr/>
      </w:pPr>
      <w:r>
        <w:rPr/>
        <w:t xml:space="preserve">The </w:t>
      </w:r>
      <w:r>
        <w:rPr>
          <w:b/>
        </w:rPr>
        <w:t>scatter</w:t>
      </w:r>
      <w:r>
        <w:rPr/>
        <w:t xml:space="preserve"> relates change to one embedding band. </w:t>
      </w:r>
      <w:r>
        <w:rPr>
          <w:rStyle w:val="VerbatimChar"/>
        </w:rPr>
        <w:t>scatter_sample</w:t>
      </w:r>
      <w:r>
        <w:rPr/>
        <w:t xml:space="preserve"> pairs the per-pixel change value with the chosen band’s value at the same pixel, keeps only the pairs finite in </w:t>
      </w:r>
      <w:r>
        <w:rPr>
          <w:i/>
        </w:rPr>
        <w:t>both</w:t>
      </w:r>
      <w:r>
        <w:rPr/>
        <w:t xml:space="preserve">, and — because a full 10 m scene is far too many points to plot — draws a deterministic random subsample (a fixed seed, so the same inputs give the same picture) capped at a maximum number of points. It requires the two arrays to be the same size and raises otherwise; </w:t>
      </w:r>
      <w:r>
        <w:rPr>
          <w:rStyle w:val="VerbatimChar"/>
        </w:rPr>
        <w:t>_report.scatter_from_band</w:t>
      </w:r>
      <w:r>
        <w:rPr/>
        <w:t xml:space="preserve"> returns </w:t>
      </w:r>
      <w:r>
        <w:rPr>
          <w:rStyle w:val="VerbatimChar"/>
        </w:rPr>
        <w:t>None</w:t>
      </w:r>
      <w:r>
        <w:rPr/>
        <w:t xml:space="preserve"> (and the algorithm warns) when the embedding raster’s band or grid does not match the change raster, so a mismatched scatter is omitted rather than misleading.</w:t>
      </w:r>
    </w:p>
    <w:p>
      <w:pPr>
        <w:pStyle w:val="BodyText"/>
        <w:rPr/>
      </w:pPr>
      <w:r>
        <w:rPr>
          <w:rStyle w:val="VerbatimChar"/>
        </w:rPr>
        <w:t>build_model</w:t>
      </w:r>
      <w:r>
        <w:rPr/>
        <w:t xml:space="preserve"> assembles just the requested contents into a </w:t>
      </w:r>
      <w:r>
        <w:rPr>
          <w:rStyle w:val="VerbatimChar"/>
        </w:rPr>
        <w:t>ReportModel</w:t>
      </w:r>
      <w:r>
        <w:rPr/>
        <w:t xml:space="preserve">, recording a note for any content that was asked for but could not be produced (no series rasters, or a mismatched scatter). Rendering is then format-specific but reads only that model. </w:t>
      </w:r>
      <w:r>
        <w:rPr>
          <w:rStyle w:val="VerbatimChar"/>
        </w:rPr>
        <w:t>render_html</w:t>
      </w:r>
      <w:r>
        <w:rPr/>
        <w:t xml:space="preserve"> emits a </w:t>
      </w:r>
      <w:r>
        <w:rPr>
          <w:b/>
        </w:rPr>
        <w:t>standalone</w:t>
      </w:r>
      <w:r>
        <w:rPr/>
        <w:t xml:space="preserve"> HTML page — every chart is inline SVG and every label is HTML-escaped, with no external asset or fetch — and </w:t>
      </w:r>
      <w:r>
        <w:rPr>
          <w:rStyle w:val="VerbatimChar"/>
        </w:rPr>
        <w:t>render_csv</w:t>
      </w:r>
      <w:r>
        <w:rPr/>
        <w:t xml:space="preserve"> writes the same numbers as CSV sections (summary, histogram, area-by-threshold, over-time, scatter), quoting any field that contains a comma. </w:t>
      </w:r>
      <w:r>
        <w:rPr>
          <w:rStyle w:val="VerbatimChar"/>
        </w:rPr>
        <w:t>render_png</w:t>
      </w:r>
      <w:r>
        <w:rPr/>
        <w:t xml:space="preserve"> and </w:t>
      </w:r>
      <w:r>
        <w:rPr>
          <w:rStyle w:val="VerbatimChar"/>
        </w:rPr>
        <w:t>render_pdf</w:t>
      </w:r>
      <w:r>
        <w:rPr/>
        <w:t xml:space="preserve"> draw the same charts with matplotlib, but only when </w:t>
      </w:r>
      <w:r>
        <w:rPr>
          <w:rStyle w:val="VerbatimChar"/>
        </w:rPr>
        <w:t>matplotlib_available()</w:t>
      </w:r>
      <w:r>
        <w:rPr/>
        <w:t xml:space="preserve"> reports it importable; when it is not, those two formats are skipped with a message rather than failing the run — the same optional-dependency discipline the scikit-learn tier uses. HTML and CSV therefore always work with nothing beyond NumPy and the standard library.</w:t>
      </w:r>
    </w:p>
    <w:p>
      <w:pPr>
        <w:pStyle w:val="Heading2"/>
        <w:rPr/>
      </w:pPr>
      <w:bookmarkStart w:id="58" w:name="__RefHeading___Toc7845_3476700982"/>
      <w:bookmarkStart w:id="59" w:name="extract-training-samples-the-maths"/>
      <w:bookmarkEnd w:id="58"/>
      <w:r>
        <w:rPr/>
        <w:t>12. Extract training samples: the maths</w:t>
      </w:r>
      <w:bookmarkEnd w:id="59"/>
    </w:p>
    <w:p>
      <w:pPr>
        <w:pStyle w:val="FirstParagraph"/>
        <w:rPr/>
      </w:pPr>
      <w:r>
        <w:rPr/>
        <w:t xml:space="preserve">The Extract algorithm turns marked features into a table of embedding vectors, for external ML or QA, and is implemented with the pure helpers in </w:t>
      </w:r>
      <w:r>
        <w:rPr>
          <w:rStyle w:val="VerbatimChar"/>
        </w:rPr>
        <w:t>aecore/sampling.py</w:t>
      </w:r>
      <w:r>
        <w:rPr/>
        <w:t xml:space="preserve">. It samples </w:t>
      </w:r>
      <w:r>
        <w:rPr>
          <w:b/>
        </w:rPr>
        <w:t>one row per covered pixel</w:t>
      </w:r>
      <w:r>
        <w:rPr/>
        <w:t>: a point samples the pixel its coordinate falls in (</w:t>
      </w:r>
      <w:r>
        <w:rPr>
          <w:rStyle w:val="VerbatimChar"/>
        </w:rPr>
        <w:t>rowcol_for_xy</w:t>
      </w:r>
      <w:r>
        <w:rPr/>
        <w:t xml:space="preserve"> maps a map coordinate to a </w:t>
      </w:r>
      <w:r>
        <w:rPr>
          <w:rStyle w:val="VerbatimChar"/>
        </w:rPr>
        <w:t>(row, col)</w:t>
      </w:r>
      <w:r>
        <w:rPr/>
        <w:t xml:space="preserve"> via the inverse geotransform), while a polygon samples every pixel whose centre lies inside it (a bounding-box scan testing </w:t>
      </w:r>
      <w:r>
        <w:rPr>
          <w:rStyle w:val="VerbatimChar"/>
        </w:rPr>
        <w:t>geom.contains</w:t>
      </w:r>
      <w:r>
        <w:rPr/>
        <w:t xml:space="preserve"> at each </w:t>
      </w:r>
      <w:r>
        <w:rPr>
          <w:rStyle w:val="VerbatimChar"/>
        </w:rPr>
        <w:t>pixel_centre_xy</w:t>
      </w:r>
      <w:r>
        <w:rPr/>
        <w:t>, with a centroid fallback for sub-pixel features and a safety cap on the pixels one feature may cover). Seed geometries are reprojected into the embedding’s CRS first.</w:t>
      </w:r>
    </w:p>
    <w:p>
      <w:pPr>
        <w:pStyle w:val="BodyText"/>
        <w:rPr/>
      </w:pPr>
      <w:r>
        <w:rPr/>
        <w:t xml:space="preserve">For each feature the covered pixel indices are gathered in order and </w:t>
      </w:r>
      <w:r>
        <w:rPr>
          <w:rStyle w:val="VerbatimChar"/>
        </w:rPr>
        <w:t>gather_vectors</w:t>
      </w:r>
      <w:r>
        <w:rPr/>
        <w:t xml:space="preserve"> reads the </w:t>
      </w:r>
      <w:r>
        <w:rPr>
          <w:rStyle w:val="VerbatimChar"/>
        </w:rPr>
        <w:t>(n, bands)</w:t>
      </w:r>
      <w:r>
        <w:rPr/>
        <w:t xml:space="preserve"> matrix of embedding vectors at exactly those pixels — order-preserving, so each output row lines up with its source feature. When </w:t>
      </w:r>
      <w:r>
        <w:rPr>
          <w:i/>
        </w:rPr>
        <w:t>Skip no-data pixels</w:t>
      </w:r>
      <w:r>
        <w:rPr/>
        <w:t xml:space="preserve"> is on, </w:t>
      </w:r>
      <w:r>
        <w:rPr>
          <w:rStyle w:val="VerbatimChar"/>
        </w:rPr>
        <w:t>valid_rows</w:t>
      </w:r>
      <w:r>
        <w:rPr/>
        <w:t xml:space="preserve"> drops any sampled row that is not finite across all bands, or (where a no-data value is set) equals it in every band. Every surviving pixel becomes an output point at the pixel centre, in the embedding’s CRS, carrying the source feature’s full attribute record (so class labels and ids follow the data) plus four pixel-metadata columns and the band values </w:t>
      </w:r>
      <w:r>
        <w:rPr>
          <w:rStyle w:val="VerbatimChar"/>
        </w:rPr>
        <w:t>A00 … A{n−1}</w:t>
      </w:r>
      <w:r>
        <w:rPr/>
        <w:t xml:space="preserve"> — the AlphaEarth band naming. The result is a standard vector layer, so exporting to CSV for scikit-learn, R or a notebook is a right-click away.</w:t>
      </w:r>
    </w:p>
    <w:p>
      <w:pPr>
        <w:pStyle w:val="Heading2"/>
        <w:rPr/>
      </w:pPr>
      <w:bookmarkStart w:id="60" w:name="__RefHeading___Toc7847_3476700982"/>
      <w:bookmarkStart w:id="61" w:name="X716574015359655f43d2dc59162ce4484256979"/>
      <w:bookmarkEnd w:id="60"/>
      <w:r>
        <w:rPr/>
        <w:t>13. The scikit-learn tier: classify, classify over years, cluster, regress</w:t>
      </w:r>
      <w:bookmarkEnd w:id="61"/>
    </w:p>
    <w:p>
      <w:pPr>
        <w:pStyle w:val="FirstParagraph"/>
        <w:rPr/>
      </w:pPr>
      <w:r>
        <w:rPr/>
        <w:t>Four algorithms add supervised and unsupervised learning over the embedding. They need scikit-learn, which QGIS does not bundle, so each first calls a runtime guard (</w:t>
      </w:r>
      <w:r>
        <w:rPr>
          <w:rStyle w:val="VerbatimChar"/>
        </w:rPr>
        <w:t>_sklearn.ensure_sklearn</w:t>
      </w:r>
      <w:r>
        <w:rPr/>
        <w:t xml:space="preserve">) and stops with a clear, actionable error when the library is absent — the analytics never become a silent hard dependency. The per-pixel plumbing they share lives in the pure-NumPy </w:t>
      </w:r>
      <w:r>
        <w:rPr>
          <w:rStyle w:val="VerbatimChar"/>
        </w:rPr>
        <w:t>aecore/ml.py</w:t>
      </w:r>
      <w:r>
        <w:rPr/>
        <w:t xml:space="preserve">, which is unit tested with an injected </w:t>
      </w:r>
      <w:r>
        <w:rPr>
          <w:rStyle w:val="VerbatimChar"/>
        </w:rPr>
        <w:t>predict</w:t>
      </w:r>
      <w:r>
        <w:rPr/>
        <w:t xml:space="preserve"> function so the flow is verifiable without scikit-learn installed.</w:t>
      </w:r>
    </w:p>
    <w:p>
      <w:pPr>
        <w:pStyle w:val="BodyText"/>
        <w:rPr/>
      </w:pPr>
      <w:r>
        <w:rPr/>
        <w:t xml:space="preserve">The common shape is: turn the embedding cube into a design matrix, fit an estimator, predict across every valid pixel, and scatter the predictions back onto the grid. </w:t>
      </w:r>
      <w:r>
        <w:rPr>
          <w:rStyle w:val="VerbatimChar"/>
        </w:rPr>
        <w:t>cube_to_matrix</w:t>
      </w:r>
      <w:r>
        <w:rPr/>
        <w:t xml:space="preserve"> reshapes the </w:t>
      </w:r>
      <w:r>
        <w:rPr>
          <w:rStyle w:val="VerbatimChar"/>
        </w:rPr>
        <w:t>(64, rows, cols)</w:t>
      </w:r>
      <w:r>
        <w:rPr/>
        <w:t xml:space="preserve"> cube to an </w:t>
      </w:r>
      <w:r>
        <w:rPr>
          <w:rStyle w:val="VerbatimChar"/>
        </w:rPr>
        <w:t>(rows·cols, 64)</w:t>
      </w:r>
      <w:r>
        <w:rPr/>
        <w:t xml:space="preserve"> matrix in row-major order, and </w:t>
      </w:r>
      <w:r>
        <w:rPr>
          <w:rStyle w:val="VerbatimChar"/>
        </w:rPr>
        <w:t>flat_valid_mask</w:t>
      </w:r>
      <w:r>
        <w:rPr/>
        <w:t xml:space="preserve"> marks which of those rows are worth predicting on (finite across all bands, and — where a no-data value is set — not equal to it in every band). Prediction runs through </w:t>
      </w:r>
      <w:r>
        <w:rPr>
          <w:rStyle w:val="VerbatimChar"/>
        </w:rPr>
        <w:t>predict_in_chunks</w:t>
      </w:r>
      <w:r>
        <w:rPr/>
        <w:t xml:space="preserve">, which splits the design matrix into row-blocks and applies the estimator block by block, so peak memory stays bounded on large scenes while the estimator still sees ordinary 2-D arrays. </w:t>
      </w:r>
      <w:r>
        <w:rPr>
          <w:rStyle w:val="VerbatimChar"/>
        </w:rPr>
        <w:t>scatter_to_grid</w:t>
      </w:r>
      <w:r>
        <w:rPr/>
        <w:t xml:space="preserve"> then writes each prediction back to its pixel and fills the masked-out cells, returning a </w:t>
      </w:r>
      <w:r>
        <w:rPr>
          <w:rStyle w:val="VerbatimChar"/>
        </w:rPr>
        <w:t>(rows, cols)</w:t>
      </w:r>
      <w:r>
        <w:rPr/>
        <w:t xml:space="preserve"> raster of the requested dtype (an integer type for class/cluster codes, float for regression).</w:t>
      </w:r>
    </w:p>
    <w:p>
      <w:pPr>
        <w:pStyle w:val="BodyText"/>
        <w:rPr/>
      </w:pPr>
      <w:r>
        <w:rPr>
          <w:i/>
        </w:rPr>
        <w:t>Classify</w:t>
      </w:r>
      <w:r>
        <w:rPr/>
        <w:t xml:space="preserve"> is supervised. Labelled point/polygon features are sampled against the embedding (reusing the </w:t>
      </w:r>
      <w:r>
        <w:rPr>
          <w:rStyle w:val="VerbatimChar"/>
        </w:rPr>
        <w:t>aecore.sampling</w:t>
      </w:r>
      <w:r>
        <w:rPr/>
        <w:t xml:space="preserve"> maths via </w:t>
      </w:r>
      <w:r>
        <w:rPr>
          <w:rStyle w:val="VerbatimChar"/>
        </w:rPr>
        <w:t>_features</w:t>
      </w:r>
      <w:r>
        <w:rPr/>
        <w:t xml:space="preserve">) to build a training matrix whose rows are 64-D vectors and whose targets are the class labels; </w:t>
      </w:r>
      <w:r>
        <w:rPr>
          <w:rStyle w:val="VerbatimChar"/>
        </w:rPr>
        <w:t>encode_labels</w:t>
      </w:r>
      <w:r>
        <w:rPr/>
        <w:t xml:space="preserve"> maps arbitrary label values to contiguous integer codes and back. A </w:t>
      </w:r>
      <w:r>
        <w:rPr>
          <w:rStyle w:val="VerbatimChar"/>
        </w:rPr>
        <w:t>RandomForestClassifier</w:t>
      </w:r>
      <w:r>
        <w:rPr/>
        <w:t xml:space="preserve"> or </w:t>
      </w:r>
      <w:r>
        <w:rPr>
          <w:rStyle w:val="VerbatimChar"/>
        </w:rPr>
        <w:t>GradientBoostingClassifier</w:t>
      </w:r>
      <w:r>
        <w:rPr/>
        <w:t xml:space="preserve"> is fitted and applied to every valid pixel. When a confidence output is requested, the class probabilities (</w:t>
      </w:r>
      <w:r>
        <w:rPr>
          <w:rStyle w:val="VerbatimChar"/>
        </w:rPr>
        <w:t>predict_proba</w:t>
      </w:r>
      <w:r>
        <w:rPr/>
        <w:t xml:space="preserve">) are computed in the same chunked way and the winning-class probability (the row maximum, 0–1) is written as a second raster — a direct read of how sure the model is at each pixel. </w:t>
      </w:r>
      <w:r>
        <w:rPr>
          <w:i/>
        </w:rPr>
        <w:t>Regress</w:t>
      </w:r>
      <w:r>
        <w:rPr/>
        <w:t xml:space="preserve"> is the continuous analogue: the target is a numeric field (a non-numeric field is rejected up front), a </w:t>
      </w:r>
      <w:r>
        <w:rPr>
          <w:rStyle w:val="VerbatimChar"/>
        </w:rPr>
        <w:t>RandomForestRegressor</w:t>
      </w:r>
      <w:r>
        <w:rPr/>
        <w:t xml:space="preserve"> or </w:t>
      </w:r>
      <w:r>
        <w:rPr>
          <w:rStyle w:val="VerbatimChar"/>
        </w:rPr>
        <w:t>GradientBoostingRegressor</w:t>
      </w:r>
      <w:r>
        <w:rPr/>
        <w:t xml:space="preserve"> is fitted, and the prediction is a pseudocolour surface. </w:t>
      </w:r>
      <w:r>
        <w:rPr>
          <w:i/>
        </w:rPr>
        <w:t>Cluster</w:t>
      </w:r>
      <w:r>
        <w:rPr/>
        <w:t xml:space="preserve"> is unsupervised: it needs no training features, fits </w:t>
      </w:r>
      <w:r>
        <w:rPr>
          <w:rStyle w:val="VerbatimChar"/>
        </w:rPr>
        <w:t>KMeans</w:t>
      </w:r>
      <w:r>
        <w:rPr/>
        <w:t xml:space="preserve"> (with </w:t>
      </w:r>
      <w:r>
        <w:rPr>
          <w:rStyle w:val="VerbatimChar"/>
        </w:rPr>
        <w:t>k</w:t>
      </w:r>
      <w:r>
        <w:rPr/>
        <w:t xml:space="preserve"> chosen by the user) on a subsample of the valid pixels for speed, and then assigns every valid pixel to its nearest cluster in the same chunked prediction pass. Cluster codes are arbitrary labels, not ranks, so the output is styled with a categorical palette. All three honour the no-data mask throughout, so ocean and missing tiles are never fed to the estimator and never receive a spurious prediction.</w:t>
      </w:r>
    </w:p>
    <w:p>
      <w:pPr>
        <w:pStyle w:val="BodyText"/>
        <w:rPr/>
      </w:pPr>
      <w:r>
        <w:rPr>
          <w:i/>
        </w:rPr>
        <w:t>Classify</w:t>
      </w:r>
      <w:r>
        <w:rPr/>
        <w:t xml:space="preserve"> and </w:t>
      </w:r>
      <w:r>
        <w:rPr>
          <w:i/>
        </w:rPr>
        <w:t>Regress</w:t>
      </w:r>
      <w:r>
        <w:rPr/>
        <w:t xml:space="preserve"> can optionally cross-validate the model before it is applied. Given a fold count </w:t>
      </w:r>
      <w:r>
        <w:rPr>
          <w:i/>
        </w:rPr>
        <w:t>k</w:t>
      </w:r>
      <w:r>
        <w:rPr/>
        <w:t xml:space="preserve"> and a report path, the training matrix is split by </w:t>
      </w:r>
      <w:r>
        <w:rPr>
          <w:b/>
        </w:rPr>
        <w:t>stratified</w:t>
      </w:r>
      <w:r>
        <w:rPr/>
        <w:t xml:space="preserve"> k-fold — each fold is drawn so that every class keeps (as nearly as integer counts allow) its overall proportion, which keeps rare classes present in each fold — and the estimator is refitted </w:t>
      </w:r>
      <w:r>
        <w:rPr>
          <w:i/>
        </w:rPr>
        <w:t>k</w:t>
      </w:r>
      <w:r>
        <w:rPr/>
        <w:t xml:space="preserve"> times on the other folds and scored on the held-out one. For classification the report gives overall accuracy (the fraction of held-out samples predicted correctly) together with, per class, precision </w:t>
      </w:r>
      <w:r>
        <w:rPr>
          <w:rStyle w:val="VerbatimChar"/>
        </w:rPr>
        <w:t>TP / (TP + FP)</w:t>
      </w:r>
      <w:r>
        <w:rPr/>
        <w:t xml:space="preserve">, recall </w:t>
      </w:r>
      <w:r>
        <w:rPr>
          <w:rStyle w:val="VerbatimChar"/>
        </w:rPr>
        <w:t>TP / (TP + FN)</w:t>
      </w:r>
      <w:r>
        <w:rPr/>
        <w:t xml:space="preserve"> and their harmonic mean </w:t>
      </w:r>
      <w:r>
        <w:rPr>
          <w:rStyle w:val="VerbatimChar"/>
        </w:rPr>
        <w:t>F1 = 2·precision·recall / (precision + recall)</w:t>
      </w:r>
      <w:r>
        <w:rPr/>
        <w:t xml:space="preserve">, plus the full confusion matrix (rows = true class, columns = predicted). For regression it gives per-fold and pooled coefficient of determination </w:t>
      </w:r>
      <w:r>
        <w:rPr>
          <w:rStyle w:val="VerbatimChar"/>
        </w:rPr>
        <w:t>R² = 1 − SS_res / SS_tot</w:t>
      </w:r>
      <w:r>
        <w:rPr/>
        <w:t xml:space="preserve"> and root-mean-square error </w:t>
      </w:r>
      <w:r>
        <w:rPr>
          <w:rStyle w:val="VerbatimChar"/>
        </w:rPr>
        <w:t>RMSE = √(mean((y − ŷ)²))</w:t>
      </w:r>
      <w:r>
        <w:rPr/>
        <w:t xml:space="preserve">. Both reports append a class-balance summary — the count of training samples per class — and raise a warning when the set is heavily imbalanced (a large majority-to-minority ratio), because an accuracy figure from a skewed set flatters the model. All of this — the stratified fold assignment, the confusion matrix, precision/recall/F1, R²/RMSE and the balance check — is pure NumPy in </w:t>
      </w:r>
      <w:r>
        <w:rPr>
          <w:rStyle w:val="VerbatimChar"/>
        </w:rPr>
        <w:t>aecore/ml.py</w:t>
      </w:r>
      <w:r>
        <w:rPr/>
        <w:t>, unit-tested without scikit-learn, QGIS or GDAL; scikit-learn is used only to fit and predict within each fold.</w:t>
      </w:r>
    </w:p>
    <w:p>
      <w:pPr>
        <w:pStyle w:val="BodyText"/>
        <w:rPr/>
      </w:pPr>
      <w:r>
        <w:rPr/>
        <w:t xml:space="preserve">A fitted </w:t>
      </w:r>
      <w:r>
        <w:rPr>
          <w:i/>
        </w:rPr>
        <w:t>Classify</w:t>
      </w:r>
      <w:r>
        <w:rPr/>
        <w:t xml:space="preserve"> or </w:t>
      </w:r>
      <w:r>
        <w:rPr>
          <w:i/>
        </w:rPr>
        <w:t>Regress</w:t>
      </w:r>
      <w:r>
        <w:rPr/>
        <w:t xml:space="preserve"> estimator can be saved and reused. The pure </w:t>
      </w:r>
      <w:r>
        <w:rPr>
          <w:rStyle w:val="VerbatimChar"/>
        </w:rPr>
        <w:t>aecore/model_io.py</w:t>
      </w:r>
      <w:r>
        <w:rPr/>
        <w:t xml:space="preserve"> pickles the estimator to a </w:t>
      </w:r>
      <w:r>
        <w:rPr>
          <w:rStyle w:val="VerbatimChar"/>
        </w:rPr>
        <w:t>.pkl</w:t>
      </w:r>
      <w:r>
        <w:rPr/>
        <w:t xml:space="preserve"> together with a stamp recording the scikit-learn version it was trained under and the 64-band embedding count it expects. Reusing that file on another scene skips training entirely (so no training layer or label field is needed), but </w:t>
      </w:r>
      <w:r>
        <w:rPr>
          <w:rStyle w:val="VerbatimChar"/>
        </w:rPr>
        <w:t>model_io</w:t>
      </w:r>
      <w:r>
        <w:rPr/>
        <w:t xml:space="preserve"> first checks the stamp: if the saved band count or scikit-learn version does not match the current environment it raises a clear error rather than predicting from an incompatible model, since a silent mismatch would produce a confidently wrong map.</w:t>
      </w:r>
    </w:p>
    <w:p>
      <w:pPr>
        <w:pStyle w:val="BodyText"/>
        <w:rPr/>
      </w:pPr>
      <w:r>
        <w:rPr>
          <w:i/>
        </w:rPr>
        <w:t>Classify over years</w:t>
      </w:r>
      <w:r>
        <w:rPr/>
        <w:t xml:space="preserve"> (</w:t>
      </w:r>
      <w:r>
        <w:rPr>
          <w:rStyle w:val="VerbatimChar"/>
        </w:rPr>
        <w:t>alphaearth:classifyyears</w:t>
      </w:r>
      <w:r>
        <w:rPr/>
        <w:t xml:space="preserve">) is the supervised analogue of </w:t>
      </w:r>
      <w:r>
        <w:rPr>
          <w:i/>
        </w:rPr>
        <w:t>Change over years</w:t>
      </w:r>
      <w:r>
        <w:rPr/>
        <w:t xml:space="preserve">: it applies one classifier to a whole run of years at once. The user ticks two or more years and gives one area of interest, target CRS and resolution; the algorithm sizes the snapped grid once (§5) and fetches each ticked year onto it through the same </w:t>
      </w:r>
      <w:r>
        <w:rPr>
          <w:rStyle w:val="VerbatimChar"/>
        </w:rPr>
        <w:t>_fetch.fetch_year_cube</w:t>
      </w:r>
      <w:r>
        <w:rPr/>
        <w:t xml:space="preserve"> path as the loaders (§3–§6), so the years are pixel-aligned by construction. Crucially, </w:t>
      </w:r>
      <w:r>
        <w:rPr>
          <w:b/>
        </w:rPr>
        <w:t>one</w:t>
      </w:r>
      <w:r>
        <w:rPr/>
        <w:t xml:space="preserve"> model is trained — on the most recent ticked year, using the same feature-sampling, encoding and </w:t>
      </w:r>
      <w:r>
        <w:rPr>
          <w:rStyle w:val="VerbatimChar"/>
        </w:rPr>
        <w:t>_build_classifier</w:t>
      </w:r>
      <w:r>
        <w:rPr/>
        <w:t xml:space="preserve"> fit as </w:t>
      </w:r>
      <w:r>
        <w:rPr>
          <w:i/>
        </w:rPr>
        <w:t>Classify</w:t>
      </w:r>
      <w:r>
        <w:rPr/>
        <w:t xml:space="preserve"> — or a saved model is reused, and that single model is then applied to </w:t>
      </w:r>
      <w:r>
        <w:rPr>
          <w:i/>
        </w:rPr>
        <w:t>every</w:t>
      </w:r>
      <w:r>
        <w:rPr/>
        <w:t xml:space="preserve"> year. Training once and predicting many keeps the class codes comparable across the series: a pixel labelled code 3 in 2018 and code 3 in 2024 means the same land cover, which a per-year retrain could not promise. Each year is written to </w:t>
      </w:r>
      <w:r>
        <w:rPr>
          <w:rStyle w:val="VerbatimChar"/>
        </w:rPr>
        <w:t>classification_&lt;year&gt;.tif</w:t>
      </w:r>
      <w:r>
        <w:rPr/>
        <w:t xml:space="preserve"> in an output folder. Two optional extra outputs summarise the change between the first and last year: a </w:t>
      </w:r>
      <w:r>
        <w:rPr>
          <w:b/>
        </w:rPr>
        <w:t>transition</w:t>
      </w:r>
      <w:r>
        <w:rPr/>
        <w:t xml:space="preserve"> raster encodes each ordered </w:t>
      </w:r>
      <w:r>
        <w:rPr>
          <w:rStyle w:val="VerbatimChar"/>
        </w:rPr>
        <w:t>(from-class, to-class)</w:t>
      </w:r>
      <w:r>
        <w:rPr/>
        <w:t xml:space="preserve"> pair as a single integer code </w:t>
      </w:r>
      <w:r>
        <w:rPr>
          <w:rStyle w:val="VerbatimChar"/>
        </w:rPr>
        <w:t>first * n_classes + last</w:t>
      </w:r>
      <w:r>
        <w:rPr/>
        <w:t xml:space="preserve"> (so every combination is distinct, and the “no change” transitions fall on the diagonal), auto-styled with a legend reading </w:t>
      </w:r>
      <w:r>
        <w:rPr>
          <w:rStyle w:val="VerbatimChar"/>
        </w:rPr>
        <w:t>"&lt;from&gt; -&gt; &lt;to&gt;"</w:t>
      </w:r>
      <w:r>
        <w:rPr/>
        <w:t xml:space="preserve">; and a </w:t>
      </w:r>
      <w:r>
        <w:rPr>
          <w:b/>
        </w:rPr>
        <w:t>changed/unchanged mask</w:t>
      </w:r>
      <w:r>
        <w:rPr/>
        <w:t xml:space="preserve"> is simply </w:t>
      </w:r>
      <w:r>
        <w:rPr>
          <w:rStyle w:val="VerbatimChar"/>
        </w:rPr>
        <w:t>1</w:t>
      </w:r>
      <w:r>
        <w:rPr/>
        <w:t xml:space="preserve"> where the first- and last-year class differ and </w:t>
      </w:r>
      <w:r>
        <w:rPr>
          <w:rStyle w:val="VerbatimChar"/>
        </w:rPr>
        <w:t>0</w:t>
      </w:r>
      <w:r>
        <w:rPr/>
        <w:t xml:space="preserve"> where they agree. Both are computed in the pure </w:t>
      </w:r>
      <w:r>
        <w:rPr>
          <w:rStyle w:val="VerbatimChar"/>
        </w:rPr>
        <w:t>aecore.ml</w:t>
      </w:r>
      <w:r>
        <w:rPr/>
        <w:t xml:space="preserve"> (</w:t>
      </w:r>
      <w:r>
        <w:rPr>
          <w:rStyle w:val="VerbatimChar"/>
        </w:rPr>
        <w:t>transition_codes</w:t>
      </w:r>
      <w:r>
        <w:rPr/>
        <w:t xml:space="preserve">, </w:t>
      </w:r>
      <w:r>
        <w:rPr>
          <w:rStyle w:val="VerbatimChar"/>
        </w:rPr>
        <w:t>transition_labels</w:t>
      </w:r>
      <w:r>
        <w:rPr/>
        <w:t xml:space="preserve">, </w:t>
      </w:r>
      <w:r>
        <w:rPr>
          <w:rStyle w:val="VerbatimChar"/>
        </w:rPr>
        <w:t>changed_mask</w:t>
      </w:r>
      <w:r>
        <w:rPr/>
        <w:t xml:space="preserve">) as </w:t>
      </w:r>
      <w:r>
        <w:rPr>
          <w:rStyle w:val="VerbatimChar"/>
        </w:rPr>
        <w:t>int64</w:t>
      </w:r>
      <w:r>
        <w:rPr/>
        <w:t xml:space="preserve"> and cast to </w:t>
      </w:r>
      <w:r>
        <w:rPr>
          <w:rStyle w:val="VerbatimChar"/>
        </w:rPr>
        <w:t>int32</w:t>
      </w:r>
      <w:r>
        <w:rPr/>
        <w:t xml:space="preserve"> with </w:t>
      </w:r>
      <w:r>
        <w:rPr>
          <w:rStyle w:val="VerbatimChar"/>
        </w:rPr>
        <w:t>-1</w:t>
      </w:r>
      <w:r>
        <w:rPr/>
        <w:t xml:space="preserve"> no-data before writing, because GDAL GeoTIFF support for 64-bit integers is not universal. Reusing the loaders’ fetch and </w:t>
      </w:r>
      <w:r>
        <w:rPr>
          <w:i/>
        </w:rPr>
        <w:t>Classify</w:t>
      </w:r>
      <w:r>
        <w:rPr/>
        <w:t>’s estimator means this algorithm cannot drift from either.</w:t>
      </w:r>
    </w:p>
    <w:p>
      <w:pPr>
        <w:pStyle w:val="BodyText"/>
        <w:rPr/>
      </w:pPr>
      <w:r>
        <w:rPr/>
        <w:t xml:space="preserve">Any of </w:t>
      </w:r>
      <w:r>
        <w:rPr>
          <w:i/>
        </w:rPr>
        <w:t>Classify</w:t>
      </w:r>
      <w:r>
        <w:rPr/>
        <w:t xml:space="preserve">, </w:t>
      </w:r>
      <w:r>
        <w:rPr>
          <w:i/>
        </w:rPr>
        <w:t>Regress</w:t>
      </w:r>
      <w:r>
        <w:rPr/>
        <w:t xml:space="preserve"> and </w:t>
      </w:r>
      <w:r>
        <w:rPr>
          <w:i/>
        </w:rPr>
        <w:t>Classify over years</w:t>
      </w:r>
      <w:r>
        <w:rPr/>
        <w:t xml:space="preserve"> can optionally </w:t>
      </w:r>
      <w:r>
        <w:rPr>
          <w:b/>
        </w:rPr>
        <w:t>tune the estimator’s hyper-parameters</w:t>
      </w:r>
      <w:r>
        <w:rPr/>
        <w:t xml:space="preserve"> before the final fit, and </w:t>
      </w:r>
      <w:r>
        <w:rPr>
          <w:i/>
        </w:rPr>
        <w:t>Cluster</w:t>
      </w:r>
      <w:r>
        <w:rPr/>
        <w:t xml:space="preserve"> can </w:t>
      </w:r>
      <w:r>
        <w:rPr>
          <w:b/>
        </w:rPr>
        <w:t>choose k automatically</w:t>
      </w:r>
      <w:r>
        <w:rPr/>
        <w:t xml:space="preserve"> — both opt-in and off by default, so an untouched run is unchanged. When tuning is requested, a small preset search space for the chosen estimator (for a random forest: the number of trees, maximum depth, feature-subsample rule and minimum leaf size; for gradient boosting: the number of stages, learning rate and depth) is searched by a </w:t>
      </w:r>
      <w:r>
        <w:rPr>
          <w:b/>
        </w:rPr>
        <w:t>randomized</w:t>
      </w:r>
      <w:r>
        <w:rPr/>
        <w:t xml:space="preserve"> cross-validated search — a fixed budget of random combinations is scored by stratified k-fold accuracy (classification) or R² (regression), reusing the same fold machinery as the accuracy report, and the best combination is used for the final fit and recorded in the report. Sampling random combinations rather than an exhaustive grid keeps the cost fixed and predictable regardless of how large the space is. The search </w:t>
      </w:r>
      <w:r>
        <w:rPr>
          <w:i/>
        </w:rPr>
        <w:t>driver</w:t>
      </w:r>
      <w:r>
        <w:rPr/>
        <w:t xml:space="preserve"> is pure NumPy (</w:t>
      </w:r>
      <w:r>
        <w:rPr>
          <w:rStyle w:val="VerbatimChar"/>
        </w:rPr>
        <w:t>ml.randomized_search</w:t>
      </w:r>
      <w:r>
        <w:rPr/>
        <w:t xml:space="preserve">) and takes a scoring closure that owns scikit-learn, so the driver is testable without it. If the training set has fewer samples than folds the tuning is </w:t>
      </w:r>
      <w:r>
        <w:rPr>
          <w:b/>
        </w:rPr>
        <w:t>skipped with a warning</w:t>
      </w:r>
      <w:r>
        <w:rPr/>
        <w:t xml:space="preserve"> and the defaults are used, never a failure. </w:t>
      </w:r>
      <w:r>
        <w:rPr>
          <w:i/>
        </w:rPr>
        <w:t>Cluster</w:t>
      </w:r>
      <w:r>
        <w:rPr/>
        <w:t xml:space="preserve">’s automatic k fits K-means for each k over a user range and keeps the k with the best mean </w:t>
      </w:r>
      <w:r>
        <w:rPr>
          <w:b/>
        </w:rPr>
        <w:t>silhouette</w:t>
      </w:r>
      <w:r>
        <w:rPr/>
        <w:t xml:space="preserve"> coefficient (how well each pixel sits in its own cluster versus the nearest other, in </w:t>
      </w:r>
      <w:r>
        <w:rPr>
          <w:rStyle w:val="VerbatimChar"/>
        </w:rPr>
        <w:t>[-1, 1]</w:t>
      </w:r>
      <w:r>
        <w:rPr/>
        <w:t>), scored on a bounded pixel subsample because the silhouette is quadratic in sample count.</w:t>
      </w:r>
    </w:p>
    <w:p>
      <w:pPr>
        <w:pStyle w:val="BodyText"/>
        <w:rPr/>
      </w:pPr>
      <w:r>
        <w:rPr/>
        <w:t xml:space="preserve">Several algorithms also offer a </w:t>
      </w:r>
      <w:r>
        <w:rPr>
          <w:b/>
        </w:rPr>
        <w:t>preset</w:t>
      </w:r>
      <w:r>
        <w:rPr/>
        <w:t xml:space="preserve"> — a named starting point drawn from the pure-stdlib </w:t>
      </w:r>
      <w:r>
        <w:rPr>
          <w:rStyle w:val="VerbatimChar"/>
        </w:rPr>
        <w:t>aecore/presets.py</w:t>
      </w:r>
      <w:r>
        <w:rPr/>
        <w:t xml:space="preserve"> for RGB, similarity, clustering and change. A preset stores </w:t>
      </w:r>
      <w:r>
        <w:rPr>
          <w:i/>
        </w:rPr>
        <w:t>semantic</w:t>
      </w:r>
      <w:r>
        <w:rPr/>
        <w:t xml:space="preserve"> values (for example </w:t>
      </w:r>
      <w:r>
        <w:rPr>
          <w:rStyle w:val="VerbatimChar"/>
        </w:rPr>
        <w:t>method="pca"</w:t>
      </w:r>
      <w:r>
        <w:rPr/>
        <w:t xml:space="preserve"> or </w:t>
      </w:r>
      <w:r>
        <w:rPr>
          <w:rStyle w:val="VerbatimChar"/>
        </w:rPr>
        <w:t>metric="cosine"</w:t>
      </w:r>
      <w:r>
        <w:rPr/>
        <w:t>) rather than a dropdown index, so it selects the same behaviour regardless of widget ordering or future additions. Presets are guidance, not guarantees: because the embedding has no fixed per-band semantics, a preset is a sensible default to adjust, not a calibrated recipe.</w:t>
      </w:r>
    </w:p>
    <w:p>
      <w:pPr>
        <w:pStyle w:val="Heading2"/>
        <w:rPr/>
      </w:pPr>
      <w:bookmarkStart w:id="62" w:name="__RefHeading___Toc7849_3476700982"/>
      <w:bookmarkStart w:id="63" w:name="X196895448064c6b808ba185e49817b66ea0edd7"/>
      <w:bookmarkEnd w:id="62"/>
      <w:r>
        <w:rPr/>
        <w:t>14. Reproducibility and honesty about no-data</w:t>
      </w:r>
      <w:bookmarkEnd w:id="63"/>
    </w:p>
    <w:p>
      <w:pPr>
        <w:pStyle w:val="FirstParagraph"/>
        <w:rPr/>
      </w:pPr>
      <w:r>
        <w:rPr/>
        <w:t xml:space="preserve">Two design choices support trustworthy results. Tile discovery is deterministic and offline-testable because the only network call is an injectable function, and the ZIP builder is byte-reproducible. And no-data is surfaced explicitly at every stage rather than being silently treated as a real value: the int8 −128 fill is carried through the warp, mapped to a distinct float sentinel on load, propagated as </w:t>
      </w:r>
      <w:r>
        <w:rPr>
          <w:rStyle w:val="VerbatimChar"/>
        </w:rPr>
        <w:t>NaN</w:t>
      </w:r>
      <w:r>
        <w:rPr/>
        <w:t xml:space="preserve"> through the similarity and change maths (a change pixel is no-data unless </w:t>
      </w:r>
      <w:r>
        <w:rPr>
          <w:i/>
        </w:rPr>
        <w:t>every</w:t>
      </w:r>
      <w:r>
        <w:rPr/>
        <w:t xml:space="preserve"> input year is valid there), excluded from threshold masks, and skipped when extracting samples. A missing tile or an ocean pixel therefore shows up as no-data, never as a misleading “zero similarity” or “no change”.</w:t>
      </w:r>
    </w:p>
    <w:p>
      <w:pPr>
        <w:pStyle w:val="Normal"/>
        <w:rPr/>
      </w:pPr>
      <w:r>
        <w:rPr/>
      </w:r>
      <w:r>
        <w:br w:type="page"/>
      </w:r>
    </w:p>
    <w:p>
      <w:pPr>
        <w:pStyle w:val="Heading1"/>
        <w:spacing w:before="0" w:after="0"/>
        <w:rPr/>
      </w:pPr>
      <w:bookmarkStart w:id="64" w:name="__RefHeading___Toc7851_3476700982"/>
      <w:bookmarkStart w:id="65" w:name="user-guide"/>
      <w:bookmarkEnd w:id="64"/>
      <w:r>
        <w:rPr/>
        <w:t>User Guide</w:t>
      </w:r>
      <w:bookmarkEnd w:id="65"/>
    </w:p>
    <w:p>
      <w:pPr>
        <w:pStyle w:val="FirstParagraph"/>
        <w:rPr/>
      </w:pPr>
      <w:r>
        <w:rPr>
          <w:i/>
        </w:rPr>
        <w:t>AlphaEarth Toolbox for QGIS — v0.10.0</w:t>
      </w:r>
    </w:p>
    <w:p>
      <w:pPr>
        <w:pStyle w:val="BodyText"/>
        <w:rPr/>
      </w:pPr>
      <w:r>
        <w:rPr/>
        <w:t>This guide walks through installing the plugin and running its twelve algorithms. No Earth Engine account, API key or GPU is required, and the core workflow needs no extra Python package — NumPy and GDAL ship with QGIS, and the embedding data is read anonymously from a public cloud bucket. The optional machine-learning tier adds scikit-learn, which the plugin can install for you with one click.</w:t>
      </w:r>
    </w:p>
    <w:p>
      <w:pPr>
        <w:pStyle w:val="Heading2"/>
        <w:rPr/>
      </w:pPr>
      <w:bookmarkStart w:id="66" w:name="__RefHeading___Toc7853_3476700982"/>
      <w:bookmarkStart w:id="67" w:name="what-the-toolbox-does"/>
      <w:bookmarkEnd w:id="66"/>
      <w:r>
        <w:rPr/>
        <w:t>1. What the toolbox does</w:t>
      </w:r>
      <w:bookmarkEnd w:id="67"/>
    </w:p>
    <w:p>
      <w:pPr>
        <w:pStyle w:val="FirstParagraph"/>
        <w:rPr/>
      </w:pPr>
      <w:r>
        <w:rPr/>
        <w:t xml:space="preserve">AlphaEarth Satellite Embedding V1 is a global, 10-metre, annual (2017–2025), 64-band learned “fingerprint” of the Earth’s surface, published free under CC BY 4.0. This toolbox brings it into QGIS as a Processing provider called </w:t>
      </w:r>
      <w:r>
        <w:rPr>
          <w:b/>
        </w:rPr>
        <w:t>AlphaEarth Toolbox</w:t>
      </w:r>
      <w:r>
        <w:rPr/>
        <w:t xml:space="preserve"> with twelve algorithms.</w:t>
      </w:r>
    </w:p>
    <w:p>
      <w:pPr>
        <w:pStyle w:val="BodyText"/>
        <w:rPr/>
      </w:pPr>
      <w:r>
        <w:rPr/>
        <w:t>Eight need only NumPy and GDAL:</w:t>
      </w:r>
    </w:p>
    <w:p>
      <w:pPr>
        <w:pStyle w:val="BodyText"/>
        <w:rPr/>
      </w:pPr>
      <w:r>
        <w:rPr>
          <w:i/>
        </w:rPr>
        <w:t>Load embedding</w:t>
      </w:r>
      <w:r>
        <w:rPr/>
        <w:t xml:space="preserve"> (</w:t>
      </w:r>
      <w:r>
        <w:rPr>
          <w:rStyle w:val="VerbatimChar"/>
        </w:rPr>
        <w:t>alphaearth:loadembedding</w:t>
      </w:r>
      <w:r>
        <w:rPr/>
        <w:t>) fetches the 64-band embedding for an area of interest — you can give it just a year and it finds the data for you.</w:t>
      </w:r>
    </w:p>
    <w:p>
      <w:pPr>
        <w:pStyle w:val="BodyText"/>
        <w:rPr/>
      </w:pPr>
      <w:r>
        <w:rPr>
          <w:i/>
        </w:rPr>
        <w:t>Load embeddings (multiple years)</w:t>
      </w:r>
      <w:r>
        <w:rPr/>
        <w:t xml:space="preserve"> (</w:t>
      </w:r>
      <w:r>
        <w:rPr>
          <w:rStyle w:val="VerbatimChar"/>
        </w:rPr>
        <w:t>alphaearth:loadyears</w:t>
      </w:r>
      <w:r>
        <w:rPr/>
        <w:t>) does the same for several years at once, chosen with tick-boxes, over the same area — one aligned raster per year, ready for Change / trajectory or Similarity.</w:t>
      </w:r>
    </w:p>
    <w:p>
      <w:pPr>
        <w:pStyle w:val="BodyText"/>
        <w:rPr/>
      </w:pPr>
      <w:r>
        <w:rPr>
          <w:i/>
        </w:rPr>
        <w:t>Embedding → RGB</w:t>
      </w:r>
      <w:r>
        <w:rPr/>
        <w:t xml:space="preserve"> (</w:t>
      </w:r>
      <w:r>
        <w:rPr>
          <w:rStyle w:val="VerbatimChar"/>
        </w:rPr>
        <w:t>alphaearth:torgb</w:t>
      </w:r>
      <w:r>
        <w:rPr/>
        <w:t>) paints the 64 bands to a 3-band image so you can actually see the embedding, by PCA or a chosen band triplet.</w:t>
      </w:r>
    </w:p>
    <w:p>
      <w:pPr>
        <w:pStyle w:val="BodyText"/>
        <w:rPr/>
      </w:pPr>
      <w:r>
        <w:rPr>
          <w:i/>
        </w:rPr>
        <w:t>Similarity search</w:t>
      </w:r>
      <w:r>
        <w:rPr/>
        <w:t xml:space="preserve"> (</w:t>
      </w:r>
      <w:r>
        <w:rPr>
          <w:rStyle w:val="VerbatimChar"/>
        </w:rPr>
        <w:t>alphaearth:similarity</w:t>
      </w:r>
      <w:r>
        <w:rPr/>
        <w:t>) takes example locations you mark and scores every pixel by how similar it is — a “find more like this” map.</w:t>
      </w:r>
    </w:p>
    <w:p>
      <w:pPr>
        <w:pStyle w:val="BodyText"/>
        <w:rPr/>
      </w:pPr>
      <w:r>
        <w:rPr>
          <w:i/>
        </w:rPr>
        <w:t>Change / trajectory</w:t>
      </w:r>
      <w:r>
        <w:rPr/>
        <w:t xml:space="preserve"> (</w:t>
      </w:r>
      <w:r>
        <w:rPr>
          <w:rStyle w:val="VerbatimChar"/>
        </w:rPr>
        <w:t>alphaearth:change</w:t>
      </w:r>
      <w:r>
        <w:rPr/>
        <w:t>) compares two or more years of embeddings and maps how much each pixel changed — the standout multi-year capability.</w:t>
      </w:r>
    </w:p>
    <w:p>
      <w:pPr>
        <w:pStyle w:val="BodyText"/>
        <w:rPr/>
      </w:pPr>
      <w:r>
        <w:rPr>
          <w:i/>
        </w:rPr>
        <w:t>Change over years</w:t>
      </w:r>
      <w:r>
        <w:rPr/>
        <w:t xml:space="preserve"> (</w:t>
      </w:r>
      <w:r>
        <w:rPr>
          <w:rStyle w:val="VerbatimChar"/>
        </w:rPr>
        <w:t>alphaearth:changeyears</w:t>
      </w:r>
      <w:r>
        <w:rPr/>
        <w:t>) folds the two steps above into one: tick the years, set a single area, and it fetches each year onto one aligned grid and produces the change map directly — no separate Load step needed.</w:t>
      </w:r>
    </w:p>
    <w:p>
      <w:pPr>
        <w:pStyle w:val="BodyText"/>
        <w:rPr/>
      </w:pPr>
      <w:r>
        <w:rPr>
          <w:i/>
        </w:rPr>
        <w:t>Extract training samples</w:t>
      </w:r>
      <w:r>
        <w:rPr/>
        <w:t xml:space="preserve"> (</w:t>
      </w:r>
      <w:r>
        <w:rPr>
          <w:rStyle w:val="VerbatimChar"/>
        </w:rPr>
        <w:t>alphaearth:extract</w:t>
      </w:r>
      <w:r>
        <w:rPr/>
        <w:t>) reads the embedding vector at your marked features into a point table, ready for external machine learning or QA.</w:t>
      </w:r>
    </w:p>
    <w:p>
      <w:pPr>
        <w:pStyle w:val="BodyText"/>
        <w:rPr/>
      </w:pPr>
      <w:r>
        <w:rPr>
          <w:i/>
        </w:rPr>
        <w:t>Change report</w:t>
      </w:r>
      <w:r>
        <w:rPr/>
        <w:t xml:space="preserve"> (</w:t>
      </w:r>
      <w:r>
        <w:rPr>
          <w:rStyle w:val="VerbatimChar"/>
        </w:rPr>
        <w:t>alphaearth:changereport</w:t>
      </w:r>
      <w:r>
        <w:rPr/>
        <w:t>) turns a change raster into a small report with charts — a change-magnitude distribution and summary statistics, the percentage of area changed at each threshold, an optional over-time series and an optional change-vs-band scatter — as any mix of HTML, PNG, CSV and PDF.</w:t>
      </w:r>
    </w:p>
    <w:p>
      <w:pPr>
        <w:pStyle w:val="BodyText"/>
        <w:rPr/>
      </w:pPr>
      <w:r>
        <w:rPr/>
        <w:t xml:space="preserve">Four more form an optional scikit-learn tier — </w:t>
      </w:r>
      <w:r>
        <w:rPr>
          <w:i/>
        </w:rPr>
        <w:t>Classify embedding</w:t>
      </w:r>
      <w:r>
        <w:rPr/>
        <w:t xml:space="preserve"> (</w:t>
      </w:r>
      <w:r>
        <w:rPr>
          <w:rStyle w:val="VerbatimChar"/>
        </w:rPr>
        <w:t>alphaearth:classify</w:t>
      </w:r>
      <w:r>
        <w:rPr/>
        <w:t xml:space="preserve">), </w:t>
      </w:r>
      <w:r>
        <w:rPr>
          <w:i/>
        </w:rPr>
        <w:t>Classify over years</w:t>
      </w:r>
      <w:r>
        <w:rPr/>
        <w:t xml:space="preserve"> (</w:t>
      </w:r>
      <w:r>
        <w:rPr>
          <w:rStyle w:val="VerbatimChar"/>
        </w:rPr>
        <w:t>alphaearth:classifyyears</w:t>
      </w:r>
      <w:r>
        <w:rPr/>
        <w:t xml:space="preserve">), </w:t>
      </w:r>
      <w:r>
        <w:rPr>
          <w:i/>
        </w:rPr>
        <w:t>Cluster embedding</w:t>
      </w:r>
      <w:r>
        <w:rPr/>
        <w:t xml:space="preserve"> (</w:t>
      </w:r>
      <w:r>
        <w:rPr>
          <w:rStyle w:val="VerbatimChar"/>
        </w:rPr>
        <w:t>alphaearth:cluster</w:t>
      </w:r>
      <w:r>
        <w:rPr/>
        <w:t xml:space="preserve">) and </w:t>
      </w:r>
      <w:r>
        <w:rPr>
          <w:i/>
        </w:rPr>
        <w:t>Regress embedding</w:t>
      </w:r>
      <w:r>
        <w:rPr/>
        <w:t xml:space="preserve"> (</w:t>
      </w:r>
      <w:r>
        <w:rPr>
          <w:rStyle w:val="VerbatimChar"/>
        </w:rPr>
        <w:t>alphaearth:regress</w:t>
      </w:r>
      <w:r>
        <w:rPr/>
        <w:t>) — covered in §10.</w:t>
      </w:r>
    </w:p>
    <w:p>
      <w:pPr>
        <w:pStyle w:val="BodyText"/>
        <w:rPr/>
      </w:pPr>
      <w:r>
        <w:rPr/>
        <w:t>All run from the Processing Toolbox, from the plugin’s guided wizard, in batch, and in the Graphical Modeler.</w:t>
      </w:r>
    </w:p>
    <w:p>
      <w:pPr>
        <w:pStyle w:val="Heading2"/>
        <w:rPr/>
      </w:pPr>
      <w:bookmarkStart w:id="68" w:name="__RefHeading___Toc7855_3476700982"/>
      <w:bookmarkStart w:id="69" w:name="installing"/>
      <w:bookmarkEnd w:id="68"/>
      <w:r>
        <w:rPr/>
        <w:t>2. Installing</w:t>
      </w:r>
      <w:bookmarkEnd w:id="69"/>
    </w:p>
    <w:p>
      <w:pPr>
        <w:pStyle w:val="FirstParagraph"/>
        <w:rPr/>
      </w:pPr>
      <w:r>
        <w:rPr/>
        <w:t>Build the plugin ZIP from the repository root:</w:t>
      </w:r>
    </w:p>
    <w:p>
      <w:pPr>
        <w:pStyle w:val="SourceCode"/>
        <w:rPr/>
      </w:pPr>
      <w:r>
        <w:rPr>
          <w:rStyle w:val="ExtensionTok"/>
        </w:rPr>
        <w:t>python</w:t>
      </w:r>
      <w:r>
        <w:rPr>
          <w:rStyle w:val="NormalTok"/>
        </w:rPr>
        <w:t xml:space="preserve"> scripts/build_plugin_zip.py</w:t>
      </w:r>
    </w:p>
    <w:p>
      <w:pPr>
        <w:pStyle w:val="FirstParagraph"/>
        <w:rPr/>
      </w:pPr>
      <w:r>
        <w:rPr/>
        <w:t xml:space="preserve">This writes a clean, reproducible </w:t>
      </w:r>
      <w:r>
        <w:rPr>
          <w:rStyle w:val="VerbatimChar"/>
        </w:rPr>
        <w:t>alphaearth_toolbox.zip</w:t>
      </w:r>
      <w:r>
        <w:rPr/>
        <w:t xml:space="preserve">. Then in QGIS go to </w:t>
      </w:r>
      <w:r>
        <w:rPr>
          <w:b/>
        </w:rPr>
        <w:t>Plugins → Manage and Install Plugins → Install from ZIP</w:t>
      </w:r>
      <w:r>
        <w:rPr/>
        <w:t xml:space="preserve">, choose that file, and enable </w:t>
      </w:r>
      <w:r>
        <w:rPr>
          <w:i/>
        </w:rPr>
        <w:t>AlphaEarth Toolbox</w:t>
      </w:r>
      <w:r>
        <w:rPr/>
        <w:t xml:space="preserve">. QGIS 3.34 LTR or newer is required (both Qt5/PyQt5 and Qt6/PyQt6 builds are supported). After installing you will find an </w:t>
      </w:r>
      <w:r>
        <w:rPr>
          <w:b/>
        </w:rPr>
        <w:t>AlphaEarth Toolbox</w:t>
      </w:r>
      <w:r>
        <w:rPr/>
        <w:t xml:space="preserve"> group in the Processing Toolbox and an entry under the </w:t>
      </w:r>
      <w:r>
        <w:rPr>
          <w:b/>
        </w:rPr>
        <w:t>Plugins</w:t>
      </w:r>
      <w:r>
        <w:rPr/>
        <w:t xml:space="preserve"> menu.</w:t>
      </w:r>
    </w:p>
    <w:p>
      <w:pPr>
        <w:pStyle w:val="BodyText"/>
        <w:rPr/>
      </w:pPr>
      <w:r>
        <w:rPr/>
        <w:t xml:space="preserve">Because it is marked experimental, you may need to tick </w:t>
      </w:r>
      <w:r>
        <w:rPr>
          <w:i/>
        </w:rPr>
        <w:t>Show also experimental plugins</w:t>
      </w:r>
      <w:r>
        <w:rPr/>
        <w:t xml:space="preserve"> in the Plugin Manager settings.</w:t>
      </w:r>
    </w:p>
    <w:p>
      <w:pPr>
        <w:pStyle w:val="Heading2"/>
        <w:rPr/>
      </w:pPr>
      <w:bookmarkStart w:id="70" w:name="__RefHeading___Toc7857_3476700982"/>
      <w:bookmarkStart w:id="71" w:name="load-embedding"/>
      <w:bookmarkEnd w:id="70"/>
      <w:r>
        <w:rPr/>
        <w:t>3. Load embedding</w:t>
      </w:r>
      <w:bookmarkEnd w:id="71"/>
    </w:p>
    <w:p>
      <w:pPr>
        <w:pStyle w:val="FirstParagraph"/>
        <w:rPr/>
      </w:pPr>
      <w:r>
        <w:rPr/>
        <w:t xml:space="preserve">Open it from </w:t>
      </w:r>
      <w:r>
        <w:rPr>
          <w:b/>
        </w:rPr>
        <w:t>Processing Toolbox → AlphaEarth Toolbox → Load embedding</w:t>
      </w:r>
      <w:r>
        <w:rPr/>
        <w:t>, or from the plugin dialog. It clips and warps a 64-band AlphaEarth source to your area of interest, CRS and resolution, and there are three ways to tell it where the data comes from.</w:t>
      </w:r>
    </w:p>
    <w:p>
      <w:pPr>
        <w:pStyle w:val="BodyText"/>
        <w:rPr/>
      </w:pPr>
      <w:r>
        <w:rPr/>
        <w:t xml:space="preserve">The parameters are: an optional </w:t>
      </w:r>
      <w:r>
        <w:rPr>
          <w:b/>
        </w:rPr>
        <w:t>Embedding raster</w:t>
      </w:r>
      <w:r>
        <w:rPr/>
        <w:t xml:space="preserve"> (a layer already in your project), an optional </w:t>
      </w:r>
      <w:r>
        <w:rPr>
          <w:b/>
        </w:rPr>
        <w:t>Embedding COG URL</w:t>
      </w:r>
      <w:r>
        <w:rPr/>
        <w:t xml:space="preserve"> (an </w:t>
      </w:r>
      <w:r>
        <w:rPr>
          <w:rStyle w:val="VerbatimChar"/>
        </w:rPr>
        <w:t>http(s)://</w:t>
      </w:r>
      <w:r>
        <w:rPr/>
        <w:t xml:space="preserve"> or </w:t>
      </w:r>
      <w:r>
        <w:rPr>
          <w:rStyle w:val="VerbatimChar"/>
        </w:rPr>
        <w:t>/vsicurl/…</w:t>
      </w:r>
      <w:r>
        <w:rPr/>
        <w:t xml:space="preserve"> path), a </w:t>
      </w:r>
      <w:r>
        <w:rPr>
          <w:b/>
        </w:rPr>
        <w:t>Embedding year to fetch from public GCS</w:t>
      </w:r>
      <w:r>
        <w:rPr/>
        <w:t xml:space="preserve"> (2017–2025; leave at 0 if using a layer or URL), the </w:t>
      </w:r>
      <w:r>
        <w:rPr>
          <w:b/>
        </w:rPr>
        <w:t>Area of interest</w:t>
      </w:r>
      <w:r>
        <w:rPr/>
        <w:t xml:space="preserve"> extent, the </w:t>
      </w:r>
      <w:r>
        <w:rPr>
          <w:b/>
        </w:rPr>
        <w:t>Target CRS</w:t>
      </w:r>
      <w:r>
        <w:rPr/>
        <w:t xml:space="preserve"> (default EPSG:3577), the </w:t>
      </w:r>
      <w:r>
        <w:rPr>
          <w:b/>
        </w:rPr>
        <w:t>Output resolution</w:t>
      </w:r>
      <w:r>
        <w:rPr/>
        <w:t xml:space="preserve"> in target-CRS units (default 10, matching the native resolution), and the </w:t>
      </w:r>
      <w:r>
        <w:rPr>
          <w:b/>
        </w:rPr>
        <w:t>Embedding (clipped)</w:t>
      </w:r>
      <w:r>
        <w:rPr/>
        <w:t xml:space="preserve"> output.</w:t>
      </w:r>
    </w:p>
    <w:p>
      <w:pPr>
        <w:pStyle w:val="BodyText"/>
        <w:rPr/>
      </w:pPr>
      <w:r>
        <w:rPr/>
        <w:t>When more than one source is provided, precedence is: a chosen raster layer wins, then an explicit URL, then the year.</w:t>
      </w:r>
    </w:p>
    <w:p>
      <w:pPr>
        <w:pStyle w:val="Heading3"/>
        <w:rPr/>
      </w:pPr>
      <w:bookmarkStart w:id="72" w:name="the-simplest-workflow-fetch-by-year"/>
      <w:r>
        <w:rPr/>
        <w:t>The simplest workflow: fetch by year</w:t>
      </w:r>
      <w:bookmarkEnd w:id="72"/>
    </w:p>
    <w:p>
      <w:pPr>
        <w:pStyle w:val="FirstParagraph"/>
        <w:rPr/>
      </w:pPr>
      <w:r>
        <w:rPr/>
        <w:t xml:space="preserve">Set the </w:t>
      </w:r>
      <w:r>
        <w:rPr>
          <w:b/>
        </w:rPr>
        <w:t>Area of interest</w:t>
      </w:r>
      <w:r>
        <w:rPr/>
        <w:t xml:space="preserve"> (draw it on the map, use a layer’s extent, or type bounds), choose a </w:t>
      </w:r>
      <w:r>
        <w:rPr>
          <w:b/>
        </w:rPr>
        <w:t>year</w:t>
      </w:r>
      <w:r>
        <w:rPr/>
        <w:t>, and leave the raster and URL empty. The toolbox then does everything for you: it works out which UTM-zone folders your area touches, lists the tiles in the public bucket, keeps only the ones that actually overlap your area, mosaics them — even across UTM zones — and dequantises the result back to proper unit-length embedding vectors. Progress runs to about 90 % during the tile scan and completes on the mosaic; you can Cancel at any point.</w:t>
      </w:r>
    </w:p>
    <w:p>
      <w:pPr>
        <w:pStyle w:val="BodyText"/>
        <w:rPr/>
      </w:pPr>
      <w:r>
        <w:rPr/>
        <w:t>Because GDAL reads only the window it needs, a small area is pulled from large remote tiles without downloading whole scenes, and remote reads retry with back-off and time out on a stall rather than hanging.</w:t>
      </w:r>
    </w:p>
    <w:p>
      <w:pPr>
        <w:pStyle w:val="BodyText"/>
        <w:rPr/>
      </w:pPr>
      <w:r>
        <w:rPr/>
        <w:t xml:space="preserve">The first fetch over a given year and area spends most of its time in that 0–90 % tile scan, working out which tiles cover you — but it is smart about it. Rather than reading every candidate tile, it groups the tiles by their source scene, reads just one tile per scene, and from that quickly rules out whole scenes that cannot touch your area before reading only the tiles of the scenes that survive. That commonly cuts the number of remote reads on a first fetch several-fold, without changing which tiles end up in the mosaic. The toolbox also remembers each tile’s footprint (and each zone’s scene index) on disk, so a </w:t>
      </w:r>
      <w:r>
        <w:rPr>
          <w:b/>
        </w:rPr>
        <w:t>second run over the same year and zones is much faster</w:t>
      </w:r>
      <w:r>
        <w:rPr/>
        <w:t xml:space="preserve"> — the scan is skipped for tiles it has already seen and jumps almost straight to the mosaic, and even a run over a </w:t>
      </w:r>
      <w:r>
        <w:rPr>
          <w:i/>
        </w:rPr>
        <w:t>different</w:t>
      </w:r>
      <w:r>
        <w:rPr/>
        <w:t xml:space="preserve"> area in a zone it has already visited reuses the cached index instead of re-listing. That tile index normally lives in a temporary folder that QGIS may clear between sessions; if you work the same region day to day, tick </w:t>
      </w:r>
      <w:r>
        <w:rPr>
          <w:b/>
        </w:rPr>
        <w:t>Remember the tile index across sessions</w:t>
      </w:r>
      <w:r>
        <w:rPr/>
        <w:t xml:space="preserve"> (an advanced option, also on the wizard) to keep it under your QGIS profile instead, so a fresh session over the same zone still skips the scan. If a handful of tiles cannot be read they are skipped and reported in a warning (the mosaic may have small gaps there) rather than failing the run. If you ask for a very large area, it warns you up front that the read may be slow or run short of memory and suggests a smaller extent or coarser resolution; the run still proceeds if you want it to. When your output file ends in </w:t>
      </w:r>
      <w:r>
        <w:rPr>
          <w:rStyle w:val="VerbatimChar"/>
        </w:rPr>
        <w:t>.tif</w:t>
      </w:r>
      <w:r>
        <w:rPr/>
        <w:t xml:space="preserve"> or </w:t>
      </w:r>
      <w:r>
        <w:rPr>
          <w:rStyle w:val="VerbatimChar"/>
        </w:rPr>
        <w:t>.tiff</w:t>
      </w:r>
      <w:r>
        <w:rPr/>
        <w:t xml:space="preserve"> the result is written straight there in one pass.</w:t>
      </w:r>
    </w:p>
    <w:p>
      <w:pPr>
        <w:pStyle w:val="Heading3"/>
        <w:rPr/>
      </w:pPr>
      <w:bookmarkStart w:id="73" w:name="X93c65e3e5aad15793b9433edbdbb7b0b23131ed"/>
      <w:r>
        <w:rPr/>
        <w:t>Using an explicit URL or an existing layer</w:t>
      </w:r>
      <w:bookmarkEnd w:id="73"/>
    </w:p>
    <w:p>
      <w:pPr>
        <w:pStyle w:val="FirstParagraph"/>
        <w:rPr/>
      </w:pPr>
      <w:r>
        <w:rPr/>
        <w:t xml:space="preserve">If you already have a specific tile URL, paste it into </w:t>
      </w:r>
      <w:r>
        <w:rPr>
          <w:b/>
        </w:rPr>
        <w:t>Embedding COG URL</w:t>
      </w:r>
      <w:r>
        <w:rPr/>
        <w:t xml:space="preserve"> (a plain </w:t>
      </w:r>
      <w:r>
        <w:rPr>
          <w:rStyle w:val="VerbatimChar"/>
        </w:rPr>
        <w:t>http(s)://</w:t>
      </w:r>
      <w:r>
        <w:rPr/>
        <w:t xml:space="preserve"> link is fine — it is wrapped as </w:t>
      </w:r>
      <w:r>
        <w:rPr>
          <w:rStyle w:val="VerbatimChar"/>
        </w:rPr>
        <w:t>/vsicurl</w:t>
      </w:r>
      <w:r>
        <w:rPr/>
        <w:t xml:space="preserve"> automatically). If you have already loaded an embedding raster into your project, pick it under </w:t>
      </w:r>
      <w:r>
        <w:rPr>
          <w:b/>
        </w:rPr>
        <w:t>Embedding raster</w:t>
      </w:r>
      <w:r>
        <w:rPr/>
        <w:t>. In both cases the source is warped to your grid verbatim, without the year-mode tile discovery or dequantisation, so use these when you want one specific tile or a scene you have already prepared.</w:t>
      </w:r>
    </w:p>
    <w:p>
      <w:pPr>
        <w:pStyle w:val="Heading3"/>
        <w:rPr/>
      </w:pPr>
      <w:bookmarkStart w:id="74" w:name="tips"/>
      <w:r>
        <w:rPr/>
        <w:t>Tips</w:t>
      </w:r>
      <w:bookmarkEnd w:id="74"/>
    </w:p>
    <w:p>
      <w:pPr>
        <w:pStyle w:val="FirstParagraph"/>
        <w:rPr/>
      </w:pPr>
      <w:r>
        <w:rPr/>
        <w:t>Keep the resolution at 10 (the native ground sample distance) unless you have a reason to coarsen it. Nearest-neighbour resampling is always used so the learned vectors are preserved unchanged. If you get “No AlphaEarth tiles intersect the area of interest”, double-check that your extent’s CRS is set correctly — an extent in the wrong CRS is the usual cause.</w:t>
      </w:r>
    </w:p>
    <w:p>
      <w:pPr>
        <w:pStyle w:val="Heading2"/>
        <w:rPr/>
      </w:pPr>
      <w:bookmarkStart w:id="75" w:name="__RefHeading___Toc7859_3476700982"/>
      <w:bookmarkStart w:id="76" w:name="load-embeddings-multiple-years"/>
      <w:bookmarkEnd w:id="75"/>
      <w:r>
        <w:rPr/>
        <w:t>4. Load embeddings (multiple years)</w:t>
      </w:r>
      <w:bookmarkEnd w:id="76"/>
    </w:p>
    <w:p>
      <w:pPr>
        <w:pStyle w:val="FirstParagraph"/>
        <w:rPr/>
      </w:pPr>
      <w:r>
        <w:rPr/>
        <w:t xml:space="preserve">Open it from </w:t>
      </w:r>
      <w:r>
        <w:rPr>
          <w:b/>
        </w:rPr>
        <w:t>Processing Toolbox → AlphaEarth Toolbox → Load embeddings (multiple years)</w:t>
      </w:r>
      <w:r>
        <w:rPr/>
        <w:t xml:space="preserve">, or use the year tick-list and </w:t>
      </w:r>
      <w:r>
        <w:rPr>
          <w:b/>
        </w:rPr>
        <w:t>Load selected years</w:t>
      </w:r>
      <w:r>
        <w:rPr/>
        <w:t xml:space="preserve"> button on the wizard’s </w:t>
      </w:r>
      <w:r>
        <w:rPr>
          <w:i/>
        </w:rPr>
        <w:t>Load / Visualise</w:t>
      </w:r>
      <w:r>
        <w:rPr/>
        <w:t xml:space="preserve"> tab. It fetches several AlphaEarth years for the </w:t>
      </w:r>
      <w:r>
        <w:rPr>
          <w:i/>
        </w:rPr>
        <w:t>same</w:t>
      </w:r>
      <w:r>
        <w:rPr/>
        <w:t xml:space="preserve"> area of interest in one run and writes one 64-band GeoTIFF per year.</w:t>
      </w:r>
    </w:p>
    <w:p>
      <w:pPr>
        <w:pStyle w:val="BodyText"/>
        <w:rPr/>
      </w:pPr>
      <w:r>
        <w:rPr/>
        <w:t xml:space="preserve">The parameters are: </w:t>
      </w:r>
      <w:r>
        <w:rPr>
          <w:b/>
        </w:rPr>
        <w:t>Years to fetch from public GCS</w:t>
      </w:r>
      <w:r>
        <w:rPr/>
        <w:t xml:space="preserve"> (tick one or more of 2017–2025; the most recent year is ticked by default, so a stray run does not pull all nine), the </w:t>
      </w:r>
      <w:r>
        <w:rPr>
          <w:b/>
        </w:rPr>
        <w:t>Area of interest</w:t>
      </w:r>
      <w:r>
        <w:rPr/>
        <w:t xml:space="preserve"> extent, the </w:t>
      </w:r>
      <w:r>
        <w:rPr>
          <w:b/>
        </w:rPr>
        <w:t>Target CRS</w:t>
      </w:r>
      <w:r>
        <w:rPr/>
        <w:t xml:space="preserve"> (default EPSG:3577), the </w:t>
      </w:r>
      <w:r>
        <w:rPr>
          <w:b/>
        </w:rPr>
        <w:t>Output resolution</w:t>
      </w:r>
      <w:r>
        <w:rPr/>
        <w:t xml:space="preserve"> in target-CRS units (default 10), and an </w:t>
      </w:r>
      <w:r>
        <w:rPr>
          <w:b/>
        </w:rPr>
        <w:t>Output folder</w:t>
      </w:r>
      <w:r>
        <w:rPr/>
        <w:t xml:space="preserve"> to hold the per-year rasters.</w:t>
      </w:r>
    </w:p>
    <w:p>
      <w:pPr>
        <w:pStyle w:val="BodyText"/>
        <w:rPr/>
      </w:pPr>
      <w:r>
        <w:rPr/>
        <w:t xml:space="preserve">Every year is clipped and warped onto the </w:t>
      </w:r>
      <w:r>
        <w:rPr>
          <w:i/>
        </w:rPr>
        <w:t>same</w:t>
      </w:r>
      <w:r>
        <w:rPr/>
        <w:t xml:space="preserve"> snapped grid, so the outputs are pixel-aligned — which means they drop straight into </w:t>
      </w:r>
      <w:r>
        <w:rPr>
          <w:i/>
        </w:rPr>
        <w:t>Change / trajectory</w:t>
      </w:r>
      <w:r>
        <w:rPr/>
        <w:t xml:space="preserve"> (§7) and </w:t>
      </w:r>
      <w:r>
        <w:rPr>
          <w:i/>
        </w:rPr>
        <w:t>Similarity</w:t>
      </w:r>
      <w:r>
        <w:rPr/>
        <w:t xml:space="preserve"> (§6) with no re-projection or resampling step in between. Each year is fetched exactly the way single-year </w:t>
      </w:r>
      <w:r>
        <w:rPr>
          <w:i/>
        </w:rPr>
        <w:t>Load embedding</w:t>
      </w:r>
      <w:r>
        <w:rPr/>
        <w:t xml:space="preserve"> does it (the same public-bucket tile discovery, scene-grouped culling and de-quantisation, and the same per-year on-disk caches), so a run over years or zones you have fetched before is fast. The grid is sized once and the large-area heads-up, if any, is given once; the progress bar is split evenly across the ticked years, and you can Cancel between them.</w:t>
      </w:r>
    </w:p>
    <w:p>
      <w:pPr>
        <w:pStyle w:val="BodyText"/>
        <w:rPr/>
      </w:pPr>
      <w:r>
        <w:rPr/>
        <w:t xml:space="preserve">Files are named </w:t>
      </w:r>
      <w:r>
        <w:rPr>
          <w:rStyle w:val="VerbatimChar"/>
        </w:rPr>
        <w:t>alphaearth_&lt;year&gt;.tif</w:t>
      </w:r>
      <w:r>
        <w:rPr/>
        <w:t xml:space="preserve"> inside the output folder (for example </w:t>
      </w:r>
      <w:r>
        <w:rPr>
          <w:rStyle w:val="VerbatimChar"/>
        </w:rPr>
        <w:t>alphaearth_2019.tif</w:t>
      </w:r>
      <w:r>
        <w:rPr/>
        <w:t xml:space="preserve">, </w:t>
      </w:r>
      <w:r>
        <w:rPr>
          <w:rStyle w:val="VerbatimChar"/>
        </w:rPr>
        <w:t>alphaearth_2024.tif</w:t>
      </w:r>
      <w:r>
        <w:rPr/>
        <w:t xml:space="preserve">). Run from the wizard, each fetched raster is added to your project automatically; run headless, every path is returned under a </w:t>
      </w:r>
      <w:r>
        <w:rPr>
          <w:rStyle w:val="VerbatimChar"/>
        </w:rPr>
        <w:t>YEAR_&lt;year&gt;</w:t>
      </w:r>
      <w:r>
        <w:rPr/>
        <w:t xml:space="preserve"> result key alongside the </w:t>
      </w:r>
      <w:r>
        <w:rPr>
          <w:rStyle w:val="VerbatimChar"/>
        </w:rPr>
        <w:t>OUTPUT</w:t>
      </w:r>
      <w:r>
        <w:rPr/>
        <w:t xml:space="preserve"> folder.</w:t>
      </w:r>
    </w:p>
    <w:p>
      <w:pPr>
        <w:pStyle w:val="BodyText"/>
        <w:rPr/>
      </w:pPr>
      <w:r>
        <w:rPr/>
        <w:t xml:space="preserve">This is the quickest way to assemble the multi-year stack that </w:t>
      </w:r>
      <w:r>
        <w:rPr>
          <w:i/>
        </w:rPr>
        <w:t>Change / trajectory</w:t>
      </w:r>
      <w:r>
        <w:rPr/>
        <w:t xml:space="preserve"> needs: tick the years, pick a folder, run once, then point Change at the resulting rasters.</w:t>
      </w:r>
    </w:p>
    <w:p>
      <w:pPr>
        <w:pStyle w:val="Heading2"/>
        <w:rPr/>
      </w:pPr>
      <w:bookmarkStart w:id="77" w:name="__RefHeading___Toc7861_3476700982"/>
      <w:bookmarkStart w:id="78" w:name="embedding-rgb"/>
      <w:bookmarkEnd w:id="77"/>
      <w:r>
        <w:rPr/>
        <w:t>5. Embedding → RGB</w:t>
      </w:r>
      <w:bookmarkEnd w:id="78"/>
    </w:p>
    <w:p>
      <w:pPr>
        <w:pStyle w:val="FirstParagraph"/>
        <w:rPr/>
      </w:pPr>
      <w:r>
        <w:rPr/>
        <w:t xml:space="preserve">Open it from </w:t>
      </w:r>
      <w:r>
        <w:rPr>
          <w:b/>
        </w:rPr>
        <w:t>Processing Toolbox → AlphaEarth Toolbox → Embedding to RGB</w:t>
      </w:r>
      <w:r>
        <w:rPr/>
        <w:t xml:space="preserve">, or use the </w:t>
      </w:r>
      <w:r>
        <w:rPr>
          <w:b/>
        </w:rPr>
        <w:t>Preview RGB</w:t>
      </w:r>
      <w:r>
        <w:rPr/>
        <w:t xml:space="preserve"> button on the wizard’s </w:t>
      </w:r>
      <w:r>
        <w:rPr>
          <w:i/>
        </w:rPr>
        <w:t>Load / Visualise</w:t>
      </w:r>
      <w:r>
        <w:rPr/>
        <w:t xml:space="preserve"> tab. It turns the 64-band embedding into an ordinary 3-band colour image so you can see structure at a glance — the embedding itself is not a picture, so this is how you look at it.</w:t>
      </w:r>
    </w:p>
    <w:p>
      <w:pPr>
        <w:pStyle w:val="BodyText"/>
        <w:rPr/>
      </w:pPr>
      <w:r>
        <w:rPr/>
        <w:t xml:space="preserve">The parameters are: the </w:t>
      </w:r>
      <w:r>
        <w:rPr>
          <w:b/>
        </w:rPr>
        <w:t>Embedding raster</w:t>
      </w:r>
      <w:r>
        <w:rPr/>
        <w:t xml:space="preserve"> (64-band), the </w:t>
      </w:r>
      <w:r>
        <w:rPr>
          <w:b/>
        </w:rPr>
        <w:t>Method</w:t>
      </w:r>
      <w:r>
        <w:rPr/>
        <w:t xml:space="preserve"> (</w:t>
      </w:r>
      <w:r>
        <w:rPr>
          <w:i/>
        </w:rPr>
        <w:t>PCA</w:t>
      </w:r>
      <w:r>
        <w:rPr/>
        <w:t xml:space="preserve"> or </w:t>
      </w:r>
      <w:r>
        <w:rPr>
          <w:i/>
        </w:rPr>
        <w:t>Band triplet</w:t>
      </w:r>
      <w:r>
        <w:rPr/>
        <w:t xml:space="preserve">), the </w:t>
      </w:r>
      <w:r>
        <w:rPr>
          <w:b/>
        </w:rPr>
        <w:t>Bands</w:t>
      </w:r>
      <w:r>
        <w:rPr/>
        <w:t xml:space="preserve"> for the triplet method (three comma-separated, 0-based indices, e.g. </w:t>
      </w:r>
      <w:r>
        <w:rPr>
          <w:rStyle w:val="VerbatimChar"/>
        </w:rPr>
        <w:t>10,20,30</w:t>
      </w:r>
      <w:r>
        <w:rPr/>
        <w:t xml:space="preserve">; ignored for PCA), and the </w:t>
      </w:r>
      <w:r>
        <w:rPr>
          <w:b/>
        </w:rPr>
        <w:t>RGB preview</w:t>
      </w:r>
      <w:r>
        <w:rPr/>
        <w:t xml:space="preserve"> output.</w:t>
      </w:r>
    </w:p>
    <w:p>
      <w:pPr>
        <w:pStyle w:val="BodyText"/>
        <w:rPr/>
      </w:pPr>
      <w:r>
        <w:rPr>
          <w:i/>
        </w:rPr>
        <w:t>PCA</w:t>
      </w:r>
      <w:r>
        <w:rPr/>
        <w:t xml:space="preserve"> (the default) finds the three directions of greatest variation across the embedding and maps them to red, green and blue, so it shows as much of the embedding’s structure as three channels can. Its colours are decided by the data in </w:t>
      </w:r>
      <w:r>
        <w:rPr>
          <w:i/>
        </w:rPr>
        <w:t>this</w:t>
      </w:r>
      <w:r>
        <w:rPr/>
        <w:t xml:space="preserve"> run, so they are vivid and informative but not comparable between separate rasters. </w:t>
      </w:r>
      <w:r>
        <w:rPr>
          <w:i/>
        </w:rPr>
        <w:t>Band triplet</w:t>
      </w:r>
      <w:r>
        <w:rPr/>
        <w:t xml:space="preserve"> just shows three bands you name; the colours mean the same thing from one raster to the next, but only three of the 64 dimensions are visible. Either way each channel is contrast-stretched (2nd–98th percentile) so the image is not washed out. Use the result for display only — feed the original 64-band embedding, not the RGB, into the analytical algorithms.</w:t>
      </w:r>
    </w:p>
    <w:p>
      <w:pPr>
        <w:pStyle w:val="Heading2"/>
        <w:rPr/>
      </w:pPr>
      <w:bookmarkStart w:id="79" w:name="__RefHeading___Toc7863_3476700982"/>
      <w:bookmarkStart w:id="80" w:name="similarity-search"/>
      <w:bookmarkEnd w:id="79"/>
      <w:r>
        <w:rPr/>
        <w:t>6. Similarity search</w:t>
      </w:r>
      <w:bookmarkEnd w:id="80"/>
    </w:p>
    <w:p>
      <w:pPr>
        <w:pStyle w:val="FirstParagraph"/>
        <w:rPr/>
      </w:pPr>
      <w:r>
        <w:rPr/>
        <w:t xml:space="preserve">Open it from </w:t>
      </w:r>
      <w:r>
        <w:rPr>
          <w:b/>
        </w:rPr>
        <w:t>Processing Toolbox → AlphaEarth Toolbox → Similarity search</w:t>
      </w:r>
      <w:r>
        <w:rPr/>
        <w:t>. It answers “where else looks like here?” by scoring every pixel’s cosine similarity to one or more example (“seed”) locations.</w:t>
      </w:r>
    </w:p>
    <w:p>
      <w:pPr>
        <w:pStyle w:val="BodyText"/>
        <w:rPr/>
      </w:pPr>
      <w:r>
        <w:rPr/>
        <w:t xml:space="preserve">First produce an embedding raster with </w:t>
      </w:r>
      <w:r>
        <w:rPr>
          <w:i/>
        </w:rPr>
        <w:t>Load embedding</w:t>
      </w:r>
      <w:r>
        <w:rPr/>
        <w:t xml:space="preserve">. Then digitise your examples: create or pick a </w:t>
      </w:r>
      <w:r>
        <w:rPr>
          <w:b/>
        </w:rPr>
        <w:t>Seed features</w:t>
      </w:r>
      <w:r>
        <w:rPr/>
        <w:t xml:space="preserve"> layer of points or polygons over places that represent what you are looking for (a few burnt-vegetation points, some built-up polygons, a stand of a particular land cover). Point seeds mark the pixel they land in; polygon seeds mark every pixel whose centre falls inside them.</w:t>
      </w:r>
    </w:p>
    <w:p>
      <w:pPr>
        <w:pStyle w:val="BodyText"/>
        <w:rPr/>
      </w:pPr>
      <w:r>
        <w:rPr/>
        <w:t xml:space="preserve">The parameters are: the </w:t>
      </w:r>
      <w:r>
        <w:rPr>
          <w:b/>
        </w:rPr>
        <w:t>Embedding raster</w:t>
      </w:r>
      <w:r>
        <w:rPr/>
        <w:t xml:space="preserve"> (64-band), the </w:t>
      </w:r>
      <w:r>
        <w:rPr>
          <w:b/>
        </w:rPr>
        <w:t>Seed features</w:t>
      </w:r>
      <w:r>
        <w:rPr/>
        <w:t xml:space="preserve">, </w:t>
      </w:r>
      <w:r>
        <w:rPr>
          <w:b/>
        </w:rPr>
        <w:t>Combine seed pixels by</w:t>
      </w:r>
      <w:r>
        <w:rPr/>
        <w:t xml:space="preserve"> (</w:t>
      </w:r>
      <w:r>
        <w:rPr>
          <w:i/>
        </w:rPr>
        <w:t>Mean of seeds</w:t>
      </w:r>
      <w:r>
        <w:rPr/>
        <w:t xml:space="preserve">, the default, or </w:t>
      </w:r>
      <w:r>
        <w:rPr>
          <w:i/>
        </w:rPr>
        <w:t>Medoid</w:t>
      </w:r>
      <w:r>
        <w:rPr/>
        <w:t xml:space="preserve"> — the single most representative seed), </w:t>
      </w:r>
      <w:r>
        <w:rPr>
          <w:b/>
        </w:rPr>
        <w:t>Rescale similarity to 0–1</w:t>
      </w:r>
      <w:r>
        <w:rPr/>
        <w:t xml:space="preserve"> (on by default; turn it off for raw cosine in −1…1), a </w:t>
      </w:r>
      <w:r>
        <w:rPr>
          <w:b/>
        </w:rPr>
        <w:t>Mask threshold</w:t>
      </w:r>
      <w:r>
        <w:rPr/>
        <w:t xml:space="preserve"> (0–1; leave at 0 for no mask), the </w:t>
      </w:r>
      <w:r>
        <w:rPr>
          <w:b/>
        </w:rPr>
        <w:t>Similarity</w:t>
      </w:r>
      <w:r>
        <w:rPr/>
        <w:t xml:space="preserve"> output raster, and an optional </w:t>
      </w:r>
      <w:r>
        <w:rPr>
          <w:b/>
        </w:rPr>
        <w:t>More-like-this mask</w:t>
      </w:r>
      <w:r>
        <w:rPr/>
        <w:t xml:space="preserve"> output.</w:t>
      </w:r>
    </w:p>
    <w:p>
      <w:pPr>
        <w:pStyle w:val="BodyText"/>
        <w:rPr/>
      </w:pPr>
      <w:r>
        <w:rPr/>
        <w:t xml:space="preserve">Run it and you get a similarity raster, automatically styled blue (low) to red (high). If you set a threshold above 0 </w:t>
      </w:r>
      <w:r>
        <w:rPr>
          <w:i/>
        </w:rPr>
        <w:t>and</w:t>
      </w:r>
      <w:r>
        <w:rPr/>
        <w:t xml:space="preserve"> choose a mask output, you also get a binary layer flagging every pixel at or above that threshold — your “more like this” selection. A good way to work is to run once with threshold 0, inspect the similarity map to see where a natural break falls, then re-run with a threshold at that break to get a clean mask.</w:t>
      </w:r>
    </w:p>
    <w:p>
      <w:pPr>
        <w:pStyle w:val="BodyText"/>
        <w:rPr/>
      </w:pPr>
      <w:r>
        <w:rPr/>
        <w:t>Seeds are reprojected into the embedding’s CRS automatically, so they do not need to be in the same CRS as the raster — but they must actually overlap it. A very large polygon seed is capped for safety; if you hit that limit, use a smaller seed or a coarser resolution.</w:t>
      </w:r>
    </w:p>
    <w:p>
      <w:pPr>
        <w:pStyle w:val="Heading2"/>
        <w:rPr/>
      </w:pPr>
      <w:bookmarkStart w:id="81" w:name="__RefHeading___Toc7865_3476700982"/>
      <w:bookmarkStart w:id="82" w:name="change-trajectory"/>
      <w:bookmarkEnd w:id="81"/>
      <w:r>
        <w:rPr/>
        <w:t>7. Change / trajectory</w:t>
      </w:r>
      <w:bookmarkEnd w:id="82"/>
    </w:p>
    <w:p>
      <w:pPr>
        <w:pStyle w:val="FirstParagraph"/>
        <w:rPr/>
      </w:pPr>
      <w:r>
        <w:rPr/>
        <w:t xml:space="preserve">Open it from </w:t>
      </w:r>
      <w:r>
        <w:rPr>
          <w:b/>
        </w:rPr>
        <w:t>Processing Toolbox → AlphaEarth Toolbox → Change / trajectory</w:t>
      </w:r>
      <w:r>
        <w:rPr/>
        <w:t>. It answers “how much, and where, did the surface change between years?” by measuring the distance between embedding years at every pixel.</w:t>
      </w:r>
    </w:p>
    <w:p>
      <w:pPr>
        <w:pStyle w:val="BodyText"/>
        <w:rPr/>
      </w:pPr>
      <w:r>
        <w:rPr/>
        <w:t xml:space="preserve">First produce one embedding raster </w:t>
      </w:r>
      <w:r>
        <w:rPr>
          <w:b/>
        </w:rPr>
        <w:t>per year</w:t>
      </w:r>
      <w:r>
        <w:rPr/>
        <w:t xml:space="preserve"> with </w:t>
      </w:r>
      <w:r>
        <w:rPr>
          <w:i/>
        </w:rPr>
        <w:t>Load embedding</w:t>
      </w:r>
      <w:r>
        <w:rPr/>
        <w:t xml:space="preserve">, using the </w:t>
      </w:r>
      <w:r>
        <w:rPr>
          <w:b/>
        </w:rPr>
        <w:t>same area of interest, CRS and resolution each time</w:t>
      </w:r>
      <w:r>
        <w:rPr/>
        <w:t xml:space="preserve"> so the grids line up exactly — the algorithm compares pixel-for-pixel and will refuse mismatched grids. Then select those rasters as the input, </w:t>
      </w:r>
      <w:r>
        <w:rPr>
          <w:b/>
        </w:rPr>
        <w:t>ordered oldest to newest</w:t>
      </w:r>
      <w:r>
        <w:rPr/>
        <w:t>.</w:t>
      </w:r>
    </w:p>
    <w:p>
      <w:pPr>
        <w:pStyle w:val="BodyText"/>
        <w:rPr/>
      </w:pPr>
      <w:r>
        <w:rPr/>
        <w:t xml:space="preserve">The parameters are: the </w:t>
      </w:r>
      <w:r>
        <w:rPr>
          <w:b/>
        </w:rPr>
        <w:t>Embedding rasters</w:t>
      </w:r>
      <w:r>
        <w:rPr/>
        <w:t xml:space="preserve"> (two or more, in temporal order), the </w:t>
      </w:r>
      <w:r>
        <w:rPr>
          <w:b/>
        </w:rPr>
        <w:t>Distance metric</w:t>
      </w:r>
      <w:r>
        <w:rPr/>
        <w:t xml:space="preserve"> (</w:t>
      </w:r>
      <w:r>
        <w:rPr>
          <w:i/>
        </w:rPr>
        <w:t>Cosine distance</w:t>
      </w:r>
      <w:r>
        <w:rPr/>
        <w:t xml:space="preserve">, the default, = 1 − cosine similarity; or </w:t>
      </w:r>
      <w:r>
        <w:rPr>
          <w:i/>
        </w:rPr>
        <w:t>Euclidean distance</w:t>
      </w:r>
      <w:r>
        <w:rPr/>
        <w:t xml:space="preserve">), the </w:t>
      </w:r>
      <w:r>
        <w:rPr>
          <w:b/>
        </w:rPr>
        <w:t>Change mode</w:t>
      </w:r>
      <w:r>
        <w:rPr/>
        <w:t xml:space="preserve">, and the </w:t>
      </w:r>
      <w:r>
        <w:rPr>
          <w:b/>
        </w:rPr>
        <w:t>Change</w:t>
      </w:r>
      <w:r>
        <w:rPr/>
        <w:t xml:space="preserve"> output raster.</w:t>
      </w:r>
    </w:p>
    <w:p>
      <w:pPr>
        <w:pStyle w:val="BodyText"/>
        <w:rPr/>
      </w:pPr>
      <w:r>
        <w:rPr/>
        <w:t xml:space="preserve">There are three modes. </w:t>
      </w:r>
      <w:r>
        <w:rPr>
          <w:i/>
        </w:rPr>
        <w:t>Pairwise (first vs last)</w:t>
      </w:r>
      <w:r>
        <w:rPr/>
        <w:t xml:space="preserve"> is the classic bi-temporal change map — the distance between your first and last year. </w:t>
      </w:r>
      <w:r>
        <w:rPr>
          <w:i/>
        </w:rPr>
        <w:t>Trajectory magnitude</w:t>
      </w:r>
      <w:r>
        <w:rPr/>
        <w:t xml:space="preserve"> adds up the distance across every consecutive pair, so a pixel that keeps changing year-on-year scores higher than one that changed once and settled (supply three or more years to see the difference). </w:t>
      </w:r>
      <w:r>
        <w:rPr>
          <w:i/>
        </w:rPr>
        <w:t>Anomaly vs baseline</w:t>
      </w:r>
      <w:r>
        <w:rPr/>
        <w:t xml:space="preserve"> measures how far the most recent year sits from the average of all the years you supplied — useful for flagging where the latest year departs from the multi-year norm.</w:t>
      </w:r>
    </w:p>
    <w:p>
      <w:pPr>
        <w:pStyle w:val="BodyText"/>
        <w:rPr/>
      </w:pPr>
      <w:r>
        <w:rPr/>
        <w:t>The output is a single-band raster, automatically styled blue (little change) to red (most change); higher values always mean more change. Any pixel that is no-data in even one input year is no-data in the result. Because AlphaEarth pixels are unit vectors the two metrics are closely related, but cosine distance is the natural default and is bounded in 0–2.</w:t>
      </w:r>
    </w:p>
    <w:p>
      <w:pPr>
        <w:pStyle w:val="Heading3"/>
        <w:rPr/>
      </w:pPr>
      <w:bookmarkStart w:id="83" w:name="X39c01c173bd1605d2057bd97716e167d678bb33"/>
      <w:r>
        <w:rPr/>
        <w:t>Change over years — fetch and compare in one step</w:t>
      </w:r>
      <w:bookmarkEnd w:id="83"/>
    </w:p>
    <w:p>
      <w:pPr>
        <w:pStyle w:val="FirstParagraph"/>
        <w:rPr/>
      </w:pPr>
      <w:r>
        <w:rPr/>
        <w:t xml:space="preserve">If you have not already loaded the years, </w:t>
      </w:r>
      <w:r>
        <w:rPr>
          <w:i/>
        </w:rPr>
        <w:t>Change over years</w:t>
      </w:r>
      <w:r>
        <w:rPr/>
        <w:t xml:space="preserve"> (</w:t>
      </w:r>
      <w:r>
        <w:rPr>
          <w:rStyle w:val="VerbatimChar"/>
        </w:rPr>
        <w:t>alphaearth:changeyears</w:t>
      </w:r>
      <w:r>
        <w:rPr/>
        <w:t xml:space="preserve">) does the whole job at once. Open it from </w:t>
      </w:r>
      <w:r>
        <w:rPr>
          <w:b/>
        </w:rPr>
        <w:t>Processing Toolbox → AlphaEarth Toolbox → Change over years</w:t>
      </w:r>
      <w:r>
        <w:rPr/>
        <w:t xml:space="preserve">, or use the one-step control on the wizard’s </w:t>
      </w:r>
      <w:r>
        <w:rPr>
          <w:i/>
        </w:rPr>
        <w:t>Change</w:t>
      </w:r>
      <w:r>
        <w:rPr/>
        <w:t xml:space="preserve"> tab. It fetches each year you tick onto a single shared grid and produces the change raster directly, so you never have to load and align the years by hand — and because every year is fetched onto the same grid there is no alignment step that can fail.</w:t>
      </w:r>
    </w:p>
    <w:p>
      <w:pPr>
        <w:pStyle w:val="BodyText"/>
        <w:rPr/>
      </w:pPr>
      <w:r>
        <w:rPr/>
        <w:t xml:space="preserve">The parameters are: </w:t>
      </w:r>
      <w:r>
        <w:rPr>
          <w:b/>
        </w:rPr>
        <w:t>Years to compare</w:t>
      </w:r>
      <w:r>
        <w:rPr/>
        <w:t xml:space="preserve"> (tick two or more of 2017–2025, in increasing order), the </w:t>
      </w:r>
      <w:r>
        <w:rPr>
          <w:b/>
        </w:rPr>
        <w:t>Area of interest</w:t>
      </w:r>
      <w:r>
        <w:rPr/>
        <w:t xml:space="preserve"> extent, the </w:t>
      </w:r>
      <w:r>
        <w:rPr>
          <w:b/>
        </w:rPr>
        <w:t>Target CRS</w:t>
      </w:r>
      <w:r>
        <w:rPr/>
        <w:t xml:space="preserve"> (default EPSG:3577), the </w:t>
      </w:r>
      <w:r>
        <w:rPr>
          <w:b/>
        </w:rPr>
        <w:t>Output resolution</w:t>
      </w:r>
      <w:r>
        <w:rPr/>
        <w:t xml:space="preserve"> in target-CRS units (default 10), the </w:t>
      </w:r>
      <w:r>
        <w:rPr>
          <w:b/>
        </w:rPr>
        <w:t>Distance metric</w:t>
      </w:r>
      <w:r>
        <w:rPr/>
        <w:t xml:space="preserve"> (</w:t>
      </w:r>
      <w:r>
        <w:rPr>
          <w:i/>
        </w:rPr>
        <w:t>Cosine distance</w:t>
      </w:r>
      <w:r>
        <w:rPr/>
        <w:t xml:space="preserve"> or </w:t>
      </w:r>
      <w:r>
        <w:rPr>
          <w:i/>
        </w:rPr>
        <w:t>Euclidean distance</w:t>
      </w:r>
      <w:r>
        <w:rPr/>
        <w:t xml:space="preserve">), the </w:t>
      </w:r>
      <w:r>
        <w:rPr>
          <w:b/>
        </w:rPr>
        <w:t>Change mode</w:t>
      </w:r>
      <w:r>
        <w:rPr/>
        <w:t xml:space="preserve"> (</w:t>
      </w:r>
      <w:r>
        <w:rPr>
          <w:i/>
        </w:rPr>
        <w:t>Pairwise (first vs last)</w:t>
      </w:r>
      <w:r>
        <w:rPr/>
        <w:t xml:space="preserve">, </w:t>
      </w:r>
      <w:r>
        <w:rPr>
          <w:i/>
        </w:rPr>
        <w:t>Trajectory magnitude</w:t>
      </w:r>
      <w:r>
        <w:rPr/>
        <w:t xml:space="preserve">, or </w:t>
      </w:r>
      <w:r>
        <w:rPr>
          <w:i/>
        </w:rPr>
        <w:t>Anomaly vs baseline</w:t>
      </w:r>
      <w:r>
        <w:rPr/>
        <w:t xml:space="preserve"> — the same three modes as </w:t>
      </w:r>
      <w:r>
        <w:rPr>
          <w:i/>
        </w:rPr>
        <w:t>Change / trajectory</w:t>
      </w:r>
      <w:r>
        <w:rPr/>
        <w:t xml:space="preserve">), the </w:t>
      </w:r>
      <w:r>
        <w:rPr>
          <w:b/>
        </w:rPr>
        <w:t>Change</w:t>
      </w:r>
      <w:r>
        <w:rPr/>
        <w:t xml:space="preserve"> output raster, and an optional </w:t>
      </w:r>
      <w:r>
        <w:rPr>
          <w:b/>
        </w:rPr>
        <w:t>Output folder</w:t>
      </w:r>
      <w:r>
        <w:rPr/>
        <w:t xml:space="preserve"> in which to also save the fetched per-year rasters (</w:t>
      </w:r>
      <w:r>
        <w:rPr>
          <w:rStyle w:val="VerbatimChar"/>
        </w:rPr>
        <w:t>alphaearth_&lt;year&gt;.tif</w:t>
      </w:r>
      <w:r>
        <w:rPr/>
        <w:t>) if you want to keep them.</w:t>
      </w:r>
    </w:p>
    <w:p>
      <w:pPr>
        <w:pStyle w:val="BodyText"/>
        <w:rPr/>
      </w:pPr>
      <w:r>
        <w:rPr/>
        <w:t xml:space="preserve">Each year is fetched exactly the way </w:t>
      </w:r>
      <w:r>
        <w:rPr>
          <w:i/>
        </w:rPr>
        <w:t>Load embedding</w:t>
      </w:r>
      <w:r>
        <w:rPr/>
        <w:t xml:space="preserve"> does it (same public-bucket tile discovery, scene-grouped culling, caches and de-quantisation), so a run over years and zones you have fetched before is fast, and the change maths is identical to </w:t>
      </w:r>
      <w:r>
        <w:rPr>
          <w:i/>
        </w:rPr>
        <w:t>Change / trajectory</w:t>
      </w:r>
      <w:r>
        <w:rPr/>
        <w:t xml:space="preserve">. Use </w:t>
      </w:r>
      <w:r>
        <w:rPr>
          <w:i/>
        </w:rPr>
        <w:t>Change over years</w:t>
      </w:r>
      <w:r>
        <w:rPr/>
        <w:t xml:space="preserve"> when you just want the change map for a set of years; use </w:t>
      </w:r>
      <w:r>
        <w:rPr>
          <w:i/>
        </w:rPr>
        <w:t>Change / trajectory</w:t>
      </w:r>
      <w:r>
        <w:rPr/>
        <w:t xml:space="preserve"> when you have already prepared the per-year rasters yourself and want to compare those.</w:t>
      </w:r>
    </w:p>
    <w:p>
      <w:pPr>
        <w:pStyle w:val="Heading2"/>
        <w:rPr/>
      </w:pPr>
      <w:bookmarkStart w:id="84" w:name="__RefHeading___Toc7867_3476700982"/>
      <w:bookmarkStart w:id="85" w:name="change-report"/>
      <w:bookmarkEnd w:id="84"/>
      <w:r>
        <w:rPr/>
        <w:t>8. Change report</w:t>
      </w:r>
      <w:bookmarkEnd w:id="85"/>
    </w:p>
    <w:p>
      <w:pPr>
        <w:pStyle w:val="FirstParagraph"/>
        <w:rPr/>
      </w:pPr>
      <w:r>
        <w:rPr/>
        <w:t xml:space="preserve">Open it from </w:t>
      </w:r>
      <w:r>
        <w:rPr>
          <w:b/>
        </w:rPr>
        <w:t>Processing Toolbox → AlphaEarth Toolbox → Change report</w:t>
      </w:r>
      <w:r>
        <w:rPr/>
        <w:t xml:space="preserve">. It turns a change raster into a small report you can read at a glance — with charts — instead of just a coloured surface. Give it the change raster from </w:t>
      </w:r>
      <w:r>
        <w:rPr>
          <w:i/>
        </w:rPr>
        <w:t>Change / trajectory</w:t>
      </w:r>
      <w:r>
        <w:rPr/>
        <w:t xml:space="preserve"> or </w:t>
      </w:r>
      <w:r>
        <w:rPr>
          <w:i/>
        </w:rPr>
        <w:t>Change over years</w:t>
      </w:r>
      <w:r>
        <w:rPr/>
        <w:t xml:space="preserve"> (or any single-band magnitude raster) and choose which contents you want and which file formats to write.</w:t>
      </w:r>
    </w:p>
    <w:p>
      <w:pPr>
        <w:pStyle w:val="BodyText"/>
        <w:rPr/>
      </w:pPr>
      <w:r>
        <w:rPr/>
        <w:t xml:space="preserve">The parameters are: the </w:t>
      </w:r>
      <w:r>
        <w:rPr>
          <w:b/>
        </w:rPr>
        <w:t>Change raster to summarise</w:t>
      </w:r>
      <w:r>
        <w:rPr/>
        <w:t xml:space="preserve"> and the </w:t>
      </w:r>
      <w:r>
        <w:rPr>
          <w:b/>
        </w:rPr>
        <w:t>Band to analyse</w:t>
      </w:r>
      <w:r>
        <w:rPr/>
        <w:t xml:space="preserve"> (1-based, default 1); an optional </w:t>
      </w:r>
      <w:r>
        <w:rPr>
          <w:b/>
        </w:rPr>
        <w:t>Change rasters over time</w:t>
      </w:r>
      <w:r>
        <w:rPr/>
        <w:t xml:space="preserve"> input (several change rasters, oldest first, for the over-time content); an optional </w:t>
      </w:r>
      <w:r>
        <w:rPr>
          <w:b/>
        </w:rPr>
        <w:t>Embedding raster</w:t>
      </w:r>
      <w:r>
        <w:rPr/>
        <w:t xml:space="preserve"> and a </w:t>
      </w:r>
      <w:r>
        <w:rPr>
          <w:b/>
        </w:rPr>
        <w:t>Scatter band</w:t>
      </w:r>
      <w:r>
        <w:rPr/>
        <w:t xml:space="preserve"> for the scatter; the four content tick-boxes; and the four output paths — </w:t>
      </w:r>
      <w:r>
        <w:rPr>
          <w:b/>
        </w:rPr>
        <w:t>HTML report</w:t>
      </w:r>
      <w:r>
        <w:rPr/>
        <w:t xml:space="preserve">, </w:t>
      </w:r>
      <w:r>
        <w:rPr>
          <w:b/>
        </w:rPr>
        <w:t>PNG chart</w:t>
      </w:r>
      <w:r>
        <w:rPr/>
        <w:t xml:space="preserve">, </w:t>
      </w:r>
      <w:r>
        <w:rPr>
          <w:b/>
        </w:rPr>
        <w:t>CSV data</w:t>
      </w:r>
      <w:r>
        <w:rPr/>
        <w:t xml:space="preserve"> and </w:t>
      </w:r>
      <w:r>
        <w:rPr>
          <w:b/>
        </w:rPr>
        <w:t>PDF report</w:t>
      </w:r>
      <w:r>
        <w:rPr/>
        <w:t>. Set one or more output paths (at least one is required) and tick the contents you want.</w:t>
      </w:r>
    </w:p>
    <w:p>
      <w:pPr>
        <w:pStyle w:val="BodyText"/>
        <w:rPr/>
      </w:pPr>
      <w:r>
        <w:rPr/>
        <w:t xml:space="preserve">The four contents are independent. The </w:t>
      </w:r>
      <w:r>
        <w:rPr>
          <w:b/>
        </w:rPr>
        <w:t>change-magnitude distribution</w:t>
      </w:r>
      <w:r>
        <w:rPr/>
        <w:t xml:space="preserve"> gives summary statistics — count, minimum and maximum, mean, median, standard deviation and percentiles — and a histogram. The </w:t>
      </w:r>
      <w:r>
        <w:rPr>
          <w:b/>
        </w:rPr>
        <w:t>percentage of area changed</w:t>
      </w:r>
      <w:r>
        <w:rPr/>
        <w:t xml:space="preserve"> reports, for each of several thresholds, the share of the scene that changed by at least that much (with hectares too when the raster is in a metric CRS). The </w:t>
      </w:r>
      <w:r>
        <w:rPr>
          <w:b/>
        </w:rPr>
        <w:t>change over time</w:t>
      </w:r>
      <w:r>
        <w:rPr/>
        <w:t xml:space="preserve"> series plots one point per period from the </w:t>
      </w:r>
      <w:r>
        <w:rPr>
          <w:i/>
        </w:rPr>
        <w:t>Change rasters over time</w:t>
      </w:r>
      <w:r>
        <w:rPr/>
        <w:t xml:space="preserve"> you supply, in order. The </w:t>
      </w:r>
      <w:r>
        <w:rPr>
          <w:b/>
        </w:rPr>
        <w:t>scatter of change vs an embedding band</w:t>
      </w:r>
      <w:r>
        <w:rPr/>
        <w:t xml:space="preserve"> plots the change magnitude against a chosen band of the optional embedding raster (it is omitted, with a warning, if that raster’s grid or band does not match).</w:t>
      </w:r>
    </w:p>
    <w:p>
      <w:pPr>
        <w:pStyle w:val="BodyText"/>
        <w:rPr/>
      </w:pPr>
      <w:r>
        <w:rPr/>
        <w:t xml:space="preserve">Any combination of the four formats can be written at once. </w:t>
      </w:r>
      <w:r>
        <w:rPr>
          <w:b/>
        </w:rPr>
        <w:t>HTML</w:t>
      </w:r>
      <w:r>
        <w:rPr/>
        <w:t xml:space="preserve"> (a standalone page with inline charts) and </w:t>
      </w:r>
      <w:r>
        <w:rPr>
          <w:b/>
        </w:rPr>
        <w:t>CSV</w:t>
      </w:r>
      <w:r>
        <w:rPr/>
        <w:t xml:space="preserve"> (the underlying numbers) need nothing beyond what QGIS already has. </w:t>
      </w:r>
      <w:r>
        <w:rPr>
          <w:b/>
        </w:rPr>
        <w:t>PNG</w:t>
      </w:r>
      <w:r>
        <w:rPr/>
        <w:t xml:space="preserve"> and </w:t>
      </w:r>
      <w:r>
        <w:rPr>
          <w:b/>
        </w:rPr>
        <w:t>PDF</w:t>
      </w:r>
      <w:r>
        <w:rPr/>
        <w:t xml:space="preserve"> are drawn with </w:t>
      </w:r>
      <w:r>
        <w:rPr>
          <w:b/>
        </w:rPr>
        <w:t>matplotlib</w:t>
      </w:r>
      <w:r>
        <w:rPr/>
        <w:t xml:space="preserve">: if it is not installed in the QGIS Python environment those two are skipped with a message (the run still succeeds and still writes the HTML/CSV), so request PNG or PDF only once matplotlib is present — you can add it the same way as scikit-learn, with </w:t>
      </w:r>
      <w:r>
        <w:rPr>
          <w:rStyle w:val="VerbatimChar"/>
        </w:rPr>
        <w:t>pip install matplotlib</w:t>
      </w:r>
      <w:r>
        <w:rPr/>
        <w:t xml:space="preserve"> into the QGIS Python environment.</w:t>
      </w:r>
    </w:p>
    <w:p>
      <w:pPr>
        <w:pStyle w:val="BodyText"/>
        <w:rPr/>
      </w:pPr>
      <w:r>
        <w:rPr/>
        <w:t xml:space="preserve">The same report is also available without a separate step: on both </w:t>
      </w:r>
      <w:r>
        <w:rPr>
          <w:i/>
        </w:rPr>
        <w:t>Change / trajectory</w:t>
      </w:r>
      <w:r>
        <w:rPr/>
        <w:t xml:space="preserve"> and </w:t>
      </w:r>
      <w:r>
        <w:rPr>
          <w:i/>
        </w:rPr>
        <w:t>Change over years</w:t>
      </w:r>
      <w:r>
        <w:rPr/>
        <w:t xml:space="preserve"> the report outputs appear as </w:t>
      </w:r>
      <w:r>
        <w:rPr>
          <w:b/>
        </w:rPr>
        <w:t>advanced</w:t>
      </w:r>
      <w:r>
        <w:rPr/>
        <w:t xml:space="preserve"> parameters, so setting one or more report paths there writes the report alongside the change raster (its over-time series taken from the consecutive-year pairs, its scatter against the most recent year). The wizard’s </w:t>
      </w:r>
      <w:r>
        <w:rPr>
          <w:i/>
        </w:rPr>
        <w:t>Change</w:t>
      </w:r>
      <w:r>
        <w:rPr/>
        <w:t xml:space="preserve"> tab offers the same content tick-boxes and format pickers, applied to whichever change run you launch.</w:t>
      </w:r>
    </w:p>
    <w:p>
      <w:pPr>
        <w:pStyle w:val="Heading2"/>
        <w:rPr/>
      </w:pPr>
      <w:bookmarkStart w:id="86" w:name="__RefHeading___Toc7869_3476700982"/>
      <w:bookmarkStart w:id="87" w:name="extract-training-samples"/>
      <w:bookmarkEnd w:id="86"/>
      <w:r>
        <w:rPr/>
        <w:t>9. Extract training samples</w:t>
      </w:r>
      <w:bookmarkEnd w:id="87"/>
    </w:p>
    <w:p>
      <w:pPr>
        <w:pStyle w:val="FirstParagraph"/>
        <w:rPr/>
      </w:pPr>
      <w:r>
        <w:rPr/>
        <w:t xml:space="preserve">Open it from </w:t>
      </w:r>
      <w:r>
        <w:rPr>
          <w:b/>
        </w:rPr>
        <w:t>Processing Toolbox → AlphaEarth Toolbox → Extract training samples</w:t>
      </w:r>
      <w:r>
        <w:rPr/>
        <w:t>. It turns your marked features into a table of embedding vectors — the raw material for training a classifier in scikit-learn, R or elsewhere, or for checking what a class looks like in embedding space.</w:t>
      </w:r>
    </w:p>
    <w:p>
      <w:pPr>
        <w:pStyle w:val="BodyText"/>
        <w:rPr/>
      </w:pPr>
      <w:r>
        <w:rPr/>
        <w:t xml:space="preserve">Provide an </w:t>
      </w:r>
      <w:r>
        <w:rPr>
          <w:b/>
        </w:rPr>
        <w:t>Embedding raster</w:t>
      </w:r>
      <w:r>
        <w:rPr/>
        <w:t xml:space="preserve"> (from </w:t>
      </w:r>
      <w:r>
        <w:rPr>
          <w:i/>
        </w:rPr>
        <w:t>Load embedding</w:t>
      </w:r>
      <w:r>
        <w:rPr/>
        <w:t xml:space="preserve">) and a </w:t>
      </w:r>
      <w:r>
        <w:rPr>
          <w:b/>
        </w:rPr>
        <w:t>Sample features</w:t>
      </w:r>
      <w:r>
        <w:rPr/>
        <w:t xml:space="preserve"> layer of points or polygons — typically labelled with a class field. Each pixel covered by a feature becomes one output row: a point at the pixel centre carrying </w:t>
      </w:r>
      <w:r>
        <w:rPr>
          <w:b/>
        </w:rPr>
        <w:t>all of the source feature’s attributes</w:t>
      </w:r>
      <w:r>
        <w:rPr/>
        <w:t xml:space="preserve"> (so your class labels and ids come along) plus the 64 embedding band values in columns </w:t>
      </w:r>
      <w:r>
        <w:rPr>
          <w:rStyle w:val="VerbatimChar"/>
        </w:rPr>
        <w:t>A00, A01, … A63</w:t>
      </w:r>
      <w:r>
        <w:rPr/>
        <w:t>. Points sample the pixel they fall in; polygons sample every pixel whose centre lies inside them (with a centroid fallback for features smaller than a pixel).</w:t>
      </w:r>
    </w:p>
    <w:p>
      <w:pPr>
        <w:pStyle w:val="BodyText"/>
        <w:rPr/>
      </w:pPr>
      <w:r>
        <w:rPr/>
        <w:t xml:space="preserve">The </w:t>
      </w:r>
      <w:r>
        <w:rPr>
          <w:b/>
        </w:rPr>
        <w:t>Skip no-data pixels</w:t>
      </w:r>
      <w:r>
        <w:rPr/>
        <w:t xml:space="preserve"> option (on by default) drops pixels that are no-data in the embedding, so you do not get empty rows. The output CRS matches the embedding raster; to use the samples outside QGIS, right-click the result layer and </w:t>
      </w:r>
      <w:r>
        <w:rPr>
          <w:b/>
        </w:rPr>
        <w:t>Export → Save Features As… → CSV</w:t>
      </w:r>
      <w:r>
        <w:rPr/>
        <w:t xml:space="preserve"> (tick </w:t>
      </w:r>
      <w:r>
        <w:rPr>
          <w:i/>
        </w:rPr>
        <w:t>Add geometry columns</w:t>
      </w:r>
      <w:r>
        <w:rPr/>
        <w:t xml:space="preserve"> if you want the coordinates).</w:t>
      </w:r>
    </w:p>
    <w:p>
      <w:pPr>
        <w:pStyle w:val="BodyText"/>
        <w:rPr/>
      </w:pPr>
      <w:r>
        <w:rPr/>
        <w:t>A very large sample polygon is capped for safety; if you hit that limit, split the feature or coarsen the resolution.</w:t>
      </w:r>
    </w:p>
    <w:p>
      <w:pPr>
        <w:pStyle w:val="Heading2"/>
        <w:rPr/>
      </w:pPr>
      <w:bookmarkStart w:id="88" w:name="__RefHeading___Toc7871_3476700982"/>
      <w:bookmarkStart w:id="89" w:name="X0b62c9b274c5ef59311a72b0369880fb03a7928"/>
      <w:bookmarkEnd w:id="88"/>
      <w:r>
        <w:rPr/>
        <w:t>10. The scikit-learn tier: classify, classify over years, cluster and regress</w:t>
      </w:r>
      <w:bookmarkEnd w:id="89"/>
    </w:p>
    <w:p>
      <w:pPr>
        <w:pStyle w:val="FirstParagraph"/>
        <w:rPr/>
      </w:pPr>
      <w:r>
        <w:rPr/>
        <w:t xml:space="preserve">Four algorithms add machine learning over the embedding. They need </w:t>
      </w:r>
      <w:r>
        <w:rPr>
          <w:b/>
        </w:rPr>
        <w:t>scikit-learn</w:t>
      </w:r>
      <w:r>
        <w:rPr/>
        <w:t xml:space="preserve">, which QGIS does not ship. You do not have to install it by hand: open the wizard’s </w:t>
      </w:r>
      <w:r>
        <w:rPr>
          <w:b/>
        </w:rPr>
        <w:t>Classify</w:t>
      </w:r>
      <w:r>
        <w:rPr/>
        <w:t xml:space="preserve"> tab and click </w:t>
      </w:r>
      <w:r>
        <w:rPr>
          <w:b/>
        </w:rPr>
        <w:t>Install scikit-learn</w:t>
      </w:r>
      <w:r>
        <w:rPr/>
        <w:t xml:space="preserve"> — it installs into the QGIS Python environment on a background task and the status updates to “available” when done (it may take a minute, and only needs doing once). If scikit-learn is missing when you run one of these algorithms, it stops with a clear message rather than a crash.</w:t>
      </w:r>
    </w:p>
    <w:p>
      <w:pPr>
        <w:pStyle w:val="BodyText"/>
        <w:rPr/>
      </w:pPr>
      <w:r>
        <w:rPr>
          <w:i/>
        </w:rPr>
        <w:t>Classify embedding</w:t>
      </w:r>
      <w:r>
        <w:rPr/>
        <w:t xml:space="preserve"> trains a classifier from your labelled examples and maps land cover everywhere. Give it the </w:t>
      </w:r>
      <w:r>
        <w:rPr>
          <w:b/>
        </w:rPr>
        <w:t>Embedding raster</w:t>
      </w:r>
      <w:r>
        <w:rPr/>
        <w:t xml:space="preserve">, a </w:t>
      </w:r>
      <w:r>
        <w:rPr>
          <w:b/>
        </w:rPr>
        <w:t>Training features</w:t>
      </w:r>
      <w:r>
        <w:rPr/>
        <w:t xml:space="preserve"> layer of points/polygons, the </w:t>
      </w:r>
      <w:r>
        <w:rPr>
          <w:b/>
        </w:rPr>
        <w:t>Class field</w:t>
      </w:r>
      <w:r>
        <w:rPr/>
        <w:t xml:space="preserve"> holding the label, and a </w:t>
      </w:r>
      <w:r>
        <w:rPr>
          <w:b/>
        </w:rPr>
        <w:t>Model</w:t>
      </w:r>
      <w:r>
        <w:rPr/>
        <w:t xml:space="preserve"> (</w:t>
      </w:r>
      <w:r>
        <w:rPr>
          <w:i/>
        </w:rPr>
        <w:t>Random forest</w:t>
      </w:r>
      <w:r>
        <w:rPr/>
        <w:t xml:space="preserve"> or </w:t>
      </w:r>
      <w:r>
        <w:rPr>
          <w:i/>
        </w:rPr>
        <w:t>Gradient boosting</w:t>
      </w:r>
      <w:r>
        <w:rPr/>
        <w:t xml:space="preserve">). Tick </w:t>
      </w:r>
      <w:r>
        <w:rPr>
          <w:b/>
        </w:rPr>
        <w:t>Also output a confidence raster</w:t>
      </w:r>
      <w:r>
        <w:rPr/>
        <w:t xml:space="preserve"> to get a second layer holding the model’s certainty (0–1) at each pixel. The class raster is styled with a categorical palette; confidence is styled red (unsure) to green (sure).</w:t>
      </w:r>
    </w:p>
    <w:p>
      <w:pPr>
        <w:pStyle w:val="BodyText"/>
        <w:rPr/>
      </w:pPr>
      <w:r>
        <w:rPr>
          <w:i/>
        </w:rPr>
        <w:t>Classify over years</w:t>
      </w:r>
      <w:r>
        <w:rPr/>
        <w:t xml:space="preserve"> is the classification analogue of </w:t>
      </w:r>
      <w:r>
        <w:rPr>
          <w:i/>
        </w:rPr>
        <w:t>Change over years</w:t>
      </w:r>
      <w:r>
        <w:rPr/>
        <w:t xml:space="preserve">: it folds the multi-year fetch and </w:t>
      </w:r>
      <w:r>
        <w:rPr>
          <w:i/>
        </w:rPr>
        <w:t>Classify embedding</w:t>
      </w:r>
      <w:r>
        <w:rPr/>
        <w:t xml:space="preserve"> into one step, so a classify run no longer needs its years pre-loaded and aligned by hand. Tick </w:t>
      </w:r>
      <w:r>
        <w:rPr>
          <w:b/>
        </w:rPr>
        <w:t>two or more years</w:t>
      </w:r>
      <w:r>
        <w:rPr/>
        <w:t xml:space="preserve"> on the Load tab (or supply them to the algorithm), set one </w:t>
      </w:r>
      <w:r>
        <w:rPr>
          <w:b/>
        </w:rPr>
        <w:t>area of interest</w:t>
      </w:r>
      <w:r>
        <w:rPr/>
        <w:t xml:space="preserve">, </w:t>
      </w:r>
      <w:r>
        <w:rPr>
          <w:b/>
        </w:rPr>
        <w:t>CRS</w:t>
      </w:r>
      <w:r>
        <w:rPr/>
        <w:t xml:space="preserve"> and </w:t>
      </w:r>
      <w:r>
        <w:rPr>
          <w:b/>
        </w:rPr>
        <w:t>resolution</w:t>
      </w:r>
      <w:r>
        <w:rPr/>
        <w:t xml:space="preserve">, and give it labelled </w:t>
      </w:r>
      <w:r>
        <w:rPr>
          <w:b/>
        </w:rPr>
        <w:t>Training features</w:t>
      </w:r>
      <w:r>
        <w:rPr/>
        <w:t xml:space="preserve"> with a </w:t>
      </w:r>
      <w:r>
        <w:rPr>
          <w:b/>
        </w:rPr>
        <w:t>Class field</w:t>
      </w:r>
      <w:r>
        <w:rPr/>
        <w:t xml:space="preserve">; it fetches every year onto the same grid and maps land cover for each. To keep the class codes comparable from year to year it trains </w:t>
      </w:r>
      <w:r>
        <w:rPr>
          <w:b/>
        </w:rPr>
        <w:t>one model on the most recent year</w:t>
      </w:r>
      <w:r>
        <w:rPr/>
        <w:t xml:space="preserve"> (or reuses one you load from a saved file) and applies it across the whole series, so a “2” means the same class in every year. The result is an </w:t>
      </w:r>
      <w:r>
        <w:rPr>
          <w:b/>
        </w:rPr>
        <w:t>output folder</w:t>
      </w:r>
      <w:r>
        <w:rPr/>
        <w:t xml:space="preserve"> holding one </w:t>
      </w:r>
      <w:r>
        <w:rPr>
          <w:rStyle w:val="VerbatimChar"/>
        </w:rPr>
        <w:t>classification_&lt;year&gt;.tif</w:t>
      </w:r>
      <w:r>
        <w:rPr/>
        <w:t xml:space="preserve"> per year. Two optional extras summarise the change: a </w:t>
      </w:r>
      <w:r>
        <w:rPr>
          <w:b/>
        </w:rPr>
        <w:t>transition raster</w:t>
      </w:r>
      <w:r>
        <w:rPr/>
        <w:t xml:space="preserve"> encoding the first-to-last move as a single “ -&gt; ” class per pixel, and a </w:t>
      </w:r>
      <w:r>
        <w:rPr>
          <w:b/>
        </w:rPr>
        <w:t>changed / unchanged mask</w:t>
      </w:r>
      <w:r>
        <w:rPr/>
        <w:t xml:space="preserve"> flagging where the class differs between the first and last year. Both are auto-styled, and the transition legend spells out each pair as “ -&gt; ”.</w:t>
      </w:r>
    </w:p>
    <w:p>
      <w:pPr>
        <w:pStyle w:val="BodyText"/>
        <w:rPr/>
      </w:pPr>
      <w:r>
        <w:rPr>
          <w:i/>
        </w:rPr>
        <w:t>Cluster embedding</w:t>
      </w:r>
      <w:r>
        <w:rPr/>
        <w:t xml:space="preserve"> needs no training data: give it the </w:t>
      </w:r>
      <w:r>
        <w:rPr>
          <w:b/>
        </w:rPr>
        <w:t>Embedding raster</w:t>
      </w:r>
      <w:r>
        <w:rPr/>
        <w:t xml:space="preserve"> and a </w:t>
      </w:r>
      <w:r>
        <w:rPr>
          <w:b/>
        </w:rPr>
        <w:t>Number of clusters</w:t>
      </w:r>
      <w:r>
        <w:rPr/>
        <w:t>, and it groups pixels into that many unsupervised classes (K-means) — a quick way to see natural groupings. The output is a paletted raster; cluster numbers are labels, not an order.</w:t>
      </w:r>
    </w:p>
    <w:p>
      <w:pPr>
        <w:pStyle w:val="BodyText"/>
        <w:rPr/>
      </w:pPr>
      <w:r>
        <w:rPr>
          <w:i/>
        </w:rPr>
        <w:t>Regress embedding</w:t>
      </w:r>
      <w:r>
        <w:rPr/>
        <w:t xml:space="preserve"> predicts a continuous value. Give it the </w:t>
      </w:r>
      <w:r>
        <w:rPr>
          <w:b/>
        </w:rPr>
        <w:t>Embedding raster</w:t>
      </w:r>
      <w:r>
        <w:rPr/>
        <w:t xml:space="preserve">, a </w:t>
      </w:r>
      <w:r>
        <w:rPr>
          <w:b/>
        </w:rPr>
        <w:t>Training features</w:t>
      </w:r>
      <w:r>
        <w:rPr/>
        <w:t xml:space="preserve"> layer with a </w:t>
      </w:r>
      <w:r>
        <w:rPr>
          <w:b/>
        </w:rPr>
        <w:t>numeric</w:t>
      </w:r>
      <w:r>
        <w:rPr/>
        <w:t xml:space="preserve"> target field, and a </w:t>
      </w:r>
      <w:r>
        <w:rPr>
          <w:b/>
        </w:rPr>
        <w:t>Model</w:t>
      </w:r>
      <w:r>
        <w:rPr/>
        <w:t>; it returns a pseudocolour prediction surface. A non-numeric field is rejected with a clear message.</w:t>
      </w:r>
    </w:p>
    <w:p>
      <w:pPr>
        <w:pStyle w:val="BodyText"/>
        <w:rPr/>
      </w:pPr>
      <w:r>
        <w:rPr>
          <w:i/>
        </w:rPr>
        <w:t>Classify</w:t>
      </w:r>
      <w:r>
        <w:rPr/>
        <w:t xml:space="preserve"> and </w:t>
      </w:r>
      <w:r>
        <w:rPr>
          <w:i/>
        </w:rPr>
        <w:t>Regress</w:t>
      </w:r>
      <w:r>
        <w:rPr/>
        <w:t xml:space="preserve"> can save the trained model and reuse it later. Set a </w:t>
      </w:r>
      <w:r>
        <w:rPr>
          <w:b/>
        </w:rPr>
        <w:t>Save model to</w:t>
      </w:r>
      <w:r>
        <w:rPr/>
        <w:t xml:space="preserve"> path and the fitted estimator is written to a </w:t>
      </w:r>
      <w:r>
        <w:rPr>
          <w:rStyle w:val="VerbatimChar"/>
        </w:rPr>
        <w:t>.pkl</w:t>
      </w:r>
      <w:r>
        <w:rPr/>
        <w:t xml:space="preserve"> alongside the raster. On another scene, set </w:t>
      </w:r>
      <w:r>
        <w:rPr>
          <w:b/>
        </w:rPr>
        <w:t>Load model from</w:t>
      </w:r>
      <w:r>
        <w:rPr/>
        <w:t xml:space="preserve"> to that file instead of supplying training features: the saved model is applied directly, with no retraining, so you do not need the training layer or the label/target field at all. The saved file records the scikit-learn version and the 64-band embedding count it was trained on, and reusing it against a mismatched band count or a different scikit-learn version stops with a clear error rather than producing a quietly wrong map — so retrain (or match the environment) if you see that message.</w:t>
      </w:r>
    </w:p>
    <w:p>
      <w:pPr>
        <w:pStyle w:val="BodyText"/>
        <w:rPr/>
      </w:pPr>
      <w:r>
        <w:rPr/>
        <w:t xml:space="preserve">Both also offer an optional accuracy check. Set </w:t>
      </w:r>
      <w:r>
        <w:rPr>
          <w:b/>
        </w:rPr>
        <w:t>Cross-validation folds</w:t>
      </w:r>
      <w:r>
        <w:rPr/>
        <w:t xml:space="preserve"> to a number (say 5) and an </w:t>
      </w:r>
      <w:r>
        <w:rPr>
          <w:b/>
        </w:rPr>
        <w:t>Accuracy report</w:t>
      </w:r>
      <w:r>
        <w:rPr/>
        <w:t xml:space="preserve"> path, and the algorithm runs a stratified k-fold cross-validation before mapping. For </w:t>
      </w:r>
      <w:r>
        <w:rPr>
          <w:i/>
        </w:rPr>
        <w:t>Classify</w:t>
      </w:r>
      <w:r>
        <w:rPr/>
        <w:t xml:space="preserve"> the report gives overall accuracy, per-class precision, recall and F1, and a confusion matrix; for </w:t>
      </w:r>
      <w:r>
        <w:rPr>
          <w:i/>
        </w:rPr>
        <w:t>Regress</w:t>
      </w:r>
      <w:r>
        <w:rPr/>
        <w:t xml:space="preserve"> it gives per-fold and overall R² and RMSE. Each report also summarises the class balance and warns if your training set is heavily skewed toward one class. Leave the folds at 0 to skip the check. Remember the score reflects only the labelled data you supplied, so treat it as a sanity check, not a substitute for independent validation.</w:t>
      </w:r>
    </w:p>
    <w:p>
      <w:pPr>
        <w:pStyle w:val="BodyText"/>
        <w:rPr/>
      </w:pPr>
      <w:r>
        <w:rPr/>
        <w:t xml:space="preserve">The estimators run with sensible fixed defaults, but you can let them </w:t>
      </w:r>
      <w:r>
        <w:rPr>
          <w:b/>
        </w:rPr>
        <w:t>tune their hyper-parameters</w:t>
      </w:r>
      <w:r>
        <w:rPr/>
        <w:t xml:space="preserve"> instead. Tick </w:t>
      </w:r>
      <w:r>
        <w:rPr>
          <w:b/>
        </w:rPr>
        <w:t>Tune hyper-parameters</w:t>
      </w:r>
      <w:r>
        <w:rPr/>
        <w:t xml:space="preserve"> on </w:t>
      </w:r>
      <w:r>
        <w:rPr>
          <w:i/>
        </w:rPr>
        <w:t>Classify</w:t>
      </w:r>
      <w:r>
        <w:rPr/>
        <w:t xml:space="preserve">, </w:t>
      </w:r>
      <w:r>
        <w:rPr>
          <w:i/>
        </w:rPr>
        <w:t>Regress</w:t>
      </w:r>
      <w:r>
        <w:rPr/>
        <w:t xml:space="preserve"> or </w:t>
      </w:r>
      <w:r>
        <w:rPr>
          <w:i/>
        </w:rPr>
        <w:t>Classify over years</w:t>
      </w:r>
      <w:r>
        <w:rPr/>
        <w:t xml:space="preserve"> and the algorithm runs a cross-validated randomized search over a small preset space for the chosen model before mapping, and (when an accuracy report is requested) records the winning settings in the report. </w:t>
      </w:r>
      <w:r>
        <w:rPr>
          <w:i/>
        </w:rPr>
        <w:t>Cluster embedding</w:t>
      </w:r>
      <w:r>
        <w:rPr/>
        <w:t xml:space="preserve"> has the matching option </w:t>
      </w:r>
      <w:r>
        <w:rPr>
          <w:b/>
        </w:rPr>
        <w:t>Choose k automatically</w:t>
      </w:r>
      <w:r>
        <w:rPr/>
        <w:t>: give it a small range and it picks the number of clusters with the best silhouette score instead of a fixed k, logging the value it chose. Tuning reuses the same fold machinery as the accuracy check, and both options are opt-in and default-off — if the training set is too small to search safely the run falls back to the defaults with a warning rather than failing.</w:t>
      </w:r>
    </w:p>
    <w:p>
      <w:pPr>
        <w:pStyle w:val="BodyText"/>
        <w:rPr/>
      </w:pPr>
      <w:r>
        <w:rPr/>
        <w:t>All four run over every valid pixel in bounded chunks, so they cope with large scenes, and they skip no-data pixels (ocean, missing tiles) rather than inventing a prediction there.</w:t>
      </w:r>
    </w:p>
    <w:p>
      <w:pPr>
        <w:pStyle w:val="Heading2"/>
        <w:rPr/>
      </w:pPr>
      <w:bookmarkStart w:id="90" w:name="__RefHeading___Toc7873_3476700982"/>
      <w:bookmarkStart w:id="91" w:name="X3934af7fdd7d63721504fc8d415324e53461cfe"/>
      <w:bookmarkEnd w:id="90"/>
      <w:r>
        <w:rPr/>
        <w:t>11. Running headless, in batch, or in the Modeler</w:t>
      </w:r>
      <w:bookmarkEnd w:id="91"/>
    </w:p>
    <w:p>
      <w:pPr>
        <w:pStyle w:val="FirstParagraph"/>
        <w:rPr/>
      </w:pPr>
      <w:r>
        <w:rPr/>
        <w:t>All twelve algorithms are standard Processing algorithms, so anything Processing can do applies. From the Python console:</w:t>
      </w:r>
    </w:p>
    <w:p>
      <w:pPr>
        <w:pStyle w:val="SourceCode"/>
        <w:rPr/>
      </w:pPr>
      <w:r>
        <w:rPr>
          <w:rStyle w:val="ImportTok"/>
        </w:rPr>
        <w:t>import</w:t>
      </w:r>
      <w:r>
        <w:rPr>
          <w:rStyle w:val="NormalTok"/>
        </w:rPr>
        <w:t xml:space="preserve"> processing</w:t>
      </w:r>
      <w:r>
        <w:rPr/>
        <w:br/>
        <w:br/>
      </w:r>
      <w:r>
        <w:rPr>
          <w:rStyle w:val="NormalTok"/>
        </w:rPr>
        <w:t>processing.run(</w:t>
      </w:r>
      <w:r>
        <w:rPr/>
        <w:br/>
      </w:r>
      <w:r>
        <w:rPr>
          <w:rStyle w:val="NormalTok"/>
        </w:rPr>
        <w:t xml:space="preserve">    </w:t>
      </w:r>
      <w:r>
        <w:rPr>
          <w:rStyle w:val="StringTok"/>
        </w:rPr>
        <w:t>"alphaearth:loadembedding"</w:t>
      </w:r>
      <w:r>
        <w:rPr>
          <w:rStyle w:val="NormalTok"/>
        </w:rPr>
        <w:t>,</w:t>
      </w:r>
      <w:r>
        <w:rPr/>
        <w:br/>
      </w:r>
      <w:r>
        <w:rPr>
          <w:rStyle w:val="NormalTok"/>
        </w:rPr>
        <w:t xml:space="preserve">    {</w:t>
      </w:r>
      <w:r>
        <w:rPr/>
        <w:br/>
      </w:r>
      <w:r>
        <w:rPr>
          <w:rStyle w:val="NormalTok"/>
        </w:rPr>
        <w:t xml:space="preserve">        </w:t>
      </w:r>
      <w:r>
        <w:rPr>
          <w:rStyle w:val="StringTok"/>
        </w:rPr>
        <w:t>"YEAR"</w:t>
      </w:r>
      <w:r>
        <w:rPr>
          <w:rStyle w:val="NormalTok"/>
        </w:rPr>
        <w:t xml:space="preserve">: </w:t>
      </w:r>
      <w:r>
        <w:rPr>
          <w:rStyle w:val="DecValTok"/>
        </w:rPr>
        <w:t>2024</w:t>
      </w:r>
      <w:r>
        <w:rPr>
          <w:rStyle w:val="NormalTok"/>
        </w:rPr>
        <w:t>,</w:t>
      </w:r>
      <w:r>
        <w:rPr/>
        <w:br/>
      </w:r>
      <w:r>
        <w:rPr>
          <w:rStyle w:val="NormalTok"/>
        </w:rPr>
        <w:t xml:space="preserve">        </w:t>
      </w:r>
      <w:r>
        <w:rPr>
          <w:rStyle w:val="StringTok"/>
        </w:rPr>
        <w:t>"EXTENT"</w:t>
      </w:r>
      <w:r>
        <w:rPr>
          <w:rStyle w:val="NormalTok"/>
        </w:rPr>
        <w:t xml:space="preserve">: </w:t>
      </w:r>
      <w:r>
        <w:rPr>
          <w:rStyle w:val="StringTok"/>
        </w:rPr>
        <w:t>"151.0,151.1,-33.9,-33.8 [EPSG:4326]"</w:t>
      </w:r>
      <w:r>
        <w:rPr>
          <w:rStyle w:val="NormalTok"/>
        </w:rPr>
        <w:t>,</w:t>
      </w:r>
      <w:r>
        <w:rPr/>
        <w:br/>
      </w:r>
      <w:r>
        <w:rPr>
          <w:rStyle w:val="NormalTok"/>
        </w:rPr>
        <w:t xml:space="preserve">        </w:t>
      </w:r>
      <w:r>
        <w:rPr>
          <w:rStyle w:val="StringTok"/>
        </w:rPr>
        <w:t>"TARGET_CRS"</w:t>
      </w:r>
      <w:r>
        <w:rPr>
          <w:rStyle w:val="NormalTok"/>
        </w:rPr>
        <w:t xml:space="preserve">: </w:t>
      </w:r>
      <w:r>
        <w:rPr>
          <w:rStyle w:val="StringTok"/>
        </w:rPr>
        <w:t>"EPSG:3577"</w:t>
      </w:r>
      <w:r>
        <w:rPr>
          <w:rStyle w:val="NormalTok"/>
        </w:rPr>
        <w:t>,</w:t>
      </w:r>
      <w:r>
        <w:rPr/>
        <w:br/>
      </w:r>
      <w:r>
        <w:rPr>
          <w:rStyle w:val="NormalTok"/>
        </w:rPr>
        <w:t xml:space="preserve">        </w:t>
      </w:r>
      <w:r>
        <w:rPr>
          <w:rStyle w:val="StringTok"/>
        </w:rPr>
        <w:t>"RESOLUTION"</w:t>
      </w:r>
      <w:r>
        <w:rPr>
          <w:rStyle w:val="NormalTok"/>
        </w:rPr>
        <w:t xml:space="preserve">: </w:t>
      </w:r>
      <w:r>
        <w:rPr>
          <w:rStyle w:val="FloatTok"/>
        </w:rPr>
        <w:t>10.0</w:t>
      </w:r>
      <w:r>
        <w:rPr>
          <w:rStyle w:val="NormalTok"/>
        </w:rPr>
        <w:t>,</w:t>
      </w:r>
      <w:r>
        <w:rPr/>
        <w:br/>
      </w:r>
      <w:r>
        <w:rPr>
          <w:rStyle w:val="NormalTok"/>
        </w:rPr>
        <w:t xml:space="preserve">        </w:t>
      </w:r>
      <w:r>
        <w:rPr>
          <w:rStyle w:val="StringTok"/>
        </w:rPr>
        <w:t>"OUTPUT"</w:t>
      </w:r>
      <w:r>
        <w:rPr>
          <w:rStyle w:val="NormalTok"/>
        </w:rPr>
        <w:t xml:space="preserve">: </w:t>
      </w:r>
      <w:r>
        <w:rPr>
          <w:rStyle w:val="StringTok"/>
        </w:rPr>
        <w:t>"/path/to/embedding_2024.tif"</w:t>
      </w:r>
      <w:r>
        <w:rPr>
          <w:rStyle w:val="NormalTok"/>
        </w:rPr>
        <w:t>,</w:t>
      </w:r>
      <w:r>
        <w:rPr/>
        <w:br/>
      </w:r>
      <w:r>
        <w:rPr>
          <w:rStyle w:val="NormalTok"/>
        </w:rPr>
        <w:t xml:space="preserve">    },</w:t>
      </w:r>
      <w:r>
        <w:rPr/>
        <w:br/>
      </w:r>
      <w:r>
        <w:rPr>
          <w:rStyle w:val="NormalTok"/>
        </w:rPr>
        <w:t>)</w:t>
      </w:r>
    </w:p>
    <w:p>
      <w:pPr>
        <w:pStyle w:val="FirstParagraph"/>
        <w:rPr/>
      </w:pPr>
      <w:r>
        <w:rPr/>
        <w:t xml:space="preserve">To fetch several years over one area in a single call, use </w:t>
      </w:r>
      <w:r>
        <w:rPr>
          <w:rStyle w:val="VerbatimChar"/>
        </w:rPr>
        <w:t>alphaearth:loadyears</w:t>
      </w:r>
      <w:r>
        <w:rPr/>
        <w:t xml:space="preserve"> — </w:t>
      </w:r>
      <w:r>
        <w:rPr>
          <w:rStyle w:val="VerbatimChar"/>
        </w:rPr>
        <w:t>YEARS</w:t>
      </w:r>
      <w:r>
        <w:rPr/>
        <w:t xml:space="preserve"> is a list of tick-box indices into 2017–2025 (0 = 2017 … 8 = 2025) and </w:t>
      </w:r>
      <w:r>
        <w:rPr>
          <w:rStyle w:val="VerbatimChar"/>
        </w:rPr>
        <w:t>OUTPUT</w:t>
      </w:r>
      <w:r>
        <w:rPr/>
        <w:t xml:space="preserve"> is a folder; each year is written as </w:t>
      </w:r>
      <w:r>
        <w:rPr>
          <w:rStyle w:val="VerbatimChar"/>
        </w:rPr>
        <w:t>alphaearth_&lt;year&gt;.tif</w:t>
      </w:r>
      <w:r>
        <w:rPr/>
        <w:t xml:space="preserve"> inside it:</w:t>
      </w:r>
    </w:p>
    <w:p>
      <w:pPr>
        <w:pStyle w:val="SourceCode"/>
        <w:rPr/>
      </w:pPr>
      <w:r>
        <w:rPr>
          <w:rStyle w:val="NormalTok"/>
        </w:rPr>
        <w:t>processing.run(</w:t>
      </w:r>
      <w:r>
        <w:rPr/>
        <w:br/>
      </w:r>
      <w:r>
        <w:rPr>
          <w:rStyle w:val="NormalTok"/>
        </w:rPr>
        <w:t xml:space="preserve">    </w:t>
      </w:r>
      <w:r>
        <w:rPr>
          <w:rStyle w:val="StringTok"/>
        </w:rPr>
        <w:t>"alphaearth:loadyears"</w:t>
      </w:r>
      <w:r>
        <w:rPr>
          <w:rStyle w:val="NormalTok"/>
        </w:rPr>
        <w:t>,</w:t>
      </w:r>
      <w:r>
        <w:rPr/>
        <w:br/>
      </w:r>
      <w:r>
        <w:rPr>
          <w:rStyle w:val="NormalTok"/>
        </w:rPr>
        <w:t xml:space="preserve">    {</w:t>
      </w:r>
      <w:r>
        <w:rPr/>
        <w:br/>
      </w:r>
      <w:r>
        <w:rPr>
          <w:rStyle w:val="NormalTok"/>
        </w:rPr>
        <w:t xml:space="preserve">        </w:t>
      </w:r>
      <w:r>
        <w:rPr>
          <w:rStyle w:val="StringTok"/>
        </w:rPr>
        <w:t>"YEARS"</w:t>
      </w:r>
      <w:r>
        <w:rPr>
          <w:rStyle w:val="NormalTok"/>
        </w:rPr>
        <w:t>: [</w:t>
      </w:r>
      <w:r>
        <w:rPr>
          <w:rStyle w:val="DecValTok"/>
        </w:rPr>
        <w:t>1</w:t>
      </w:r>
      <w:r>
        <w:rPr>
          <w:rStyle w:val="NormalTok"/>
        </w:rPr>
        <w:t xml:space="preserve">, </w:t>
      </w:r>
      <w:r>
        <w:rPr>
          <w:rStyle w:val="DecValTok"/>
        </w:rPr>
        <w:t>7</w:t>
      </w:r>
      <w:r>
        <w:rPr>
          <w:rStyle w:val="NormalTok"/>
        </w:rPr>
        <w:t xml:space="preserve">],  </w:t>
      </w:r>
      <w:r>
        <w:rPr>
          <w:rStyle w:val="CommentTok"/>
        </w:rPr>
        <w:t># 2018 and 2024</w:t>
      </w:r>
      <w:r>
        <w:rPr/>
        <w:br/>
      </w:r>
      <w:r>
        <w:rPr>
          <w:rStyle w:val="NormalTok"/>
        </w:rPr>
        <w:t xml:space="preserve">        </w:t>
      </w:r>
      <w:r>
        <w:rPr>
          <w:rStyle w:val="StringTok"/>
        </w:rPr>
        <w:t>"EXTENT"</w:t>
      </w:r>
      <w:r>
        <w:rPr>
          <w:rStyle w:val="NormalTok"/>
        </w:rPr>
        <w:t xml:space="preserve">: </w:t>
      </w:r>
      <w:r>
        <w:rPr>
          <w:rStyle w:val="StringTok"/>
        </w:rPr>
        <w:t>"151.0,151.1,-33.9,-33.8 [EPSG:4326]"</w:t>
      </w:r>
      <w:r>
        <w:rPr>
          <w:rStyle w:val="NormalTok"/>
        </w:rPr>
        <w:t>,</w:t>
      </w:r>
      <w:r>
        <w:rPr/>
        <w:br/>
      </w:r>
      <w:r>
        <w:rPr>
          <w:rStyle w:val="NormalTok"/>
        </w:rPr>
        <w:t xml:space="preserve">        </w:t>
      </w:r>
      <w:r>
        <w:rPr>
          <w:rStyle w:val="StringTok"/>
        </w:rPr>
        <w:t>"TARGET_CRS"</w:t>
      </w:r>
      <w:r>
        <w:rPr>
          <w:rStyle w:val="NormalTok"/>
        </w:rPr>
        <w:t xml:space="preserve">: </w:t>
      </w:r>
      <w:r>
        <w:rPr>
          <w:rStyle w:val="StringTok"/>
        </w:rPr>
        <w:t>"EPSG:3577"</w:t>
      </w:r>
      <w:r>
        <w:rPr>
          <w:rStyle w:val="NormalTok"/>
        </w:rPr>
        <w:t>,</w:t>
      </w:r>
      <w:r>
        <w:rPr/>
        <w:br/>
      </w:r>
      <w:r>
        <w:rPr>
          <w:rStyle w:val="NormalTok"/>
        </w:rPr>
        <w:t xml:space="preserve">        </w:t>
      </w:r>
      <w:r>
        <w:rPr>
          <w:rStyle w:val="StringTok"/>
        </w:rPr>
        <w:t>"RESOLUTION"</w:t>
      </w:r>
      <w:r>
        <w:rPr>
          <w:rStyle w:val="NormalTok"/>
        </w:rPr>
        <w:t xml:space="preserve">: </w:t>
      </w:r>
      <w:r>
        <w:rPr>
          <w:rStyle w:val="FloatTok"/>
        </w:rPr>
        <w:t>10.0</w:t>
      </w:r>
      <w:r>
        <w:rPr>
          <w:rStyle w:val="NormalTok"/>
        </w:rPr>
        <w:t>,</w:t>
      </w:r>
      <w:r>
        <w:rPr/>
        <w:br/>
      </w:r>
      <w:r>
        <w:rPr>
          <w:rStyle w:val="NormalTok"/>
        </w:rPr>
        <w:t xml:space="preserve">        </w:t>
      </w:r>
      <w:r>
        <w:rPr>
          <w:rStyle w:val="StringTok"/>
        </w:rPr>
        <w:t>"OUTPUT"</w:t>
      </w:r>
      <w:r>
        <w:rPr>
          <w:rStyle w:val="NormalTok"/>
        </w:rPr>
        <w:t xml:space="preserve">: </w:t>
      </w:r>
      <w:r>
        <w:rPr>
          <w:rStyle w:val="StringTok"/>
        </w:rPr>
        <w:t>"/path/to/years_folder"</w:t>
      </w:r>
      <w:r>
        <w:rPr>
          <w:rStyle w:val="NormalTok"/>
        </w:rPr>
        <w:t>,</w:t>
      </w:r>
      <w:r>
        <w:rPr/>
        <w:br/>
      </w:r>
      <w:r>
        <w:rPr>
          <w:rStyle w:val="NormalTok"/>
        </w:rPr>
        <w:t xml:space="preserve">    },</w:t>
      </w:r>
      <w:r>
        <w:rPr/>
        <w:br/>
      </w:r>
      <w:r>
        <w:rPr>
          <w:rStyle w:val="NormalTok"/>
        </w:rPr>
        <w:t>)</w:t>
      </w:r>
    </w:p>
    <w:p>
      <w:pPr>
        <w:pStyle w:val="FirstParagraph"/>
        <w:rPr/>
      </w:pPr>
      <w:r>
        <w:rPr/>
        <w:t xml:space="preserve">To report on a change raster, use </w:t>
      </w:r>
      <w:r>
        <w:rPr>
          <w:rStyle w:val="VerbatimChar"/>
        </w:rPr>
        <w:t>alphaearth:changereport</w:t>
      </w:r>
      <w:r>
        <w:rPr/>
        <w:t xml:space="preserve">. </w:t>
      </w:r>
      <w:r>
        <w:rPr>
          <w:rStyle w:val="VerbatimChar"/>
        </w:rPr>
        <w:t>REPORT_CONTENT</w:t>
      </w:r>
      <w:r>
        <w:rPr/>
        <w:t xml:space="preserve"> is a list of tick-box indices (0 = distribution, 1 = area changed, 2 = over time, 3 = scatter), and each output format is its own optional path — set the ones you want:</w:t>
      </w:r>
    </w:p>
    <w:p>
      <w:pPr>
        <w:pStyle w:val="SourceCode"/>
        <w:rPr/>
      </w:pPr>
      <w:r>
        <w:rPr>
          <w:rStyle w:val="NormalTok"/>
        </w:rPr>
        <w:t>processing.run(</w:t>
      </w:r>
      <w:r>
        <w:rPr/>
        <w:br/>
      </w:r>
      <w:r>
        <w:rPr>
          <w:rStyle w:val="NormalTok"/>
        </w:rPr>
        <w:t xml:space="preserve">    </w:t>
      </w:r>
      <w:r>
        <w:rPr>
          <w:rStyle w:val="StringTok"/>
        </w:rPr>
        <w:t>"alphaearth:changereport"</w:t>
      </w:r>
      <w:r>
        <w:rPr>
          <w:rStyle w:val="NormalTok"/>
        </w:rPr>
        <w:t>,</w:t>
      </w:r>
      <w:r>
        <w:rPr/>
        <w:br/>
      </w:r>
      <w:r>
        <w:rPr>
          <w:rStyle w:val="NormalTok"/>
        </w:rPr>
        <w:t xml:space="preserve">    {</w:t>
      </w:r>
      <w:r>
        <w:rPr/>
        <w:br/>
      </w:r>
      <w:r>
        <w:rPr>
          <w:rStyle w:val="NormalTok"/>
        </w:rPr>
        <w:t xml:space="preserve">        </w:t>
      </w:r>
      <w:r>
        <w:rPr>
          <w:rStyle w:val="StringTok"/>
        </w:rPr>
        <w:t>"INPUT"</w:t>
      </w:r>
      <w:r>
        <w:rPr>
          <w:rStyle w:val="NormalTok"/>
        </w:rPr>
        <w:t xml:space="preserve">: </w:t>
      </w:r>
      <w:r>
        <w:rPr>
          <w:rStyle w:val="StringTok"/>
        </w:rPr>
        <w:t>"/path/to/change_2018_2024.tif"</w:t>
      </w:r>
      <w:r>
        <w:rPr>
          <w:rStyle w:val="NormalTok"/>
        </w:rPr>
        <w:t>,</w:t>
      </w:r>
      <w:r>
        <w:rPr/>
        <w:br/>
      </w:r>
      <w:r>
        <w:rPr>
          <w:rStyle w:val="NormalTok"/>
        </w:rPr>
        <w:t xml:space="preserve">        </w:t>
      </w:r>
      <w:r>
        <w:rPr>
          <w:rStyle w:val="StringTok"/>
        </w:rPr>
        <w:t>"BAND"</w:t>
      </w:r>
      <w:r>
        <w:rPr>
          <w:rStyle w:val="NormalTok"/>
        </w:rPr>
        <w:t xml:space="preserve">: </w:t>
      </w:r>
      <w:r>
        <w:rPr>
          <w:rStyle w:val="DecValTok"/>
        </w:rPr>
        <w:t>1</w:t>
      </w:r>
      <w:r>
        <w:rPr>
          <w:rStyle w:val="NormalTok"/>
        </w:rPr>
        <w:t>,</w:t>
      </w:r>
      <w:r>
        <w:rPr/>
        <w:br/>
      </w:r>
      <w:r>
        <w:rPr>
          <w:rStyle w:val="NormalTok"/>
        </w:rPr>
        <w:t xml:space="preserve">        </w:t>
      </w:r>
      <w:r>
        <w:rPr>
          <w:rStyle w:val="StringTok"/>
        </w:rPr>
        <w:t>"REPORT_CONTENT"</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CommentTok"/>
        </w:rPr>
        <w:t># distribution + area changed</w:t>
      </w:r>
      <w:r>
        <w:rPr/>
        <w:br/>
      </w:r>
      <w:r>
        <w:rPr>
          <w:rStyle w:val="NormalTok"/>
        </w:rPr>
        <w:t xml:space="preserve">        </w:t>
      </w:r>
      <w:r>
        <w:rPr>
          <w:rStyle w:val="StringTok"/>
        </w:rPr>
        <w:t>"REPORT_HTML"</w:t>
      </w:r>
      <w:r>
        <w:rPr>
          <w:rStyle w:val="NormalTok"/>
        </w:rPr>
        <w:t xml:space="preserve">: </w:t>
      </w:r>
      <w:r>
        <w:rPr>
          <w:rStyle w:val="StringTok"/>
        </w:rPr>
        <w:t>"/path/to/change_report.html"</w:t>
      </w:r>
      <w:r>
        <w:rPr>
          <w:rStyle w:val="NormalTok"/>
        </w:rPr>
        <w:t>,</w:t>
      </w:r>
      <w:r>
        <w:rPr/>
        <w:br/>
      </w:r>
      <w:r>
        <w:rPr>
          <w:rStyle w:val="NormalTok"/>
        </w:rPr>
        <w:t xml:space="preserve">        </w:t>
      </w:r>
      <w:r>
        <w:rPr>
          <w:rStyle w:val="StringTok"/>
        </w:rPr>
        <w:t>"REPORT_CSV"</w:t>
      </w:r>
      <w:r>
        <w:rPr>
          <w:rStyle w:val="NormalTok"/>
        </w:rPr>
        <w:t xml:space="preserve">: </w:t>
      </w:r>
      <w:r>
        <w:rPr>
          <w:rStyle w:val="StringTok"/>
        </w:rPr>
        <w:t>"/path/to/change_report.csv"</w:t>
      </w:r>
      <w:r>
        <w:rPr>
          <w:rStyle w:val="NormalTok"/>
        </w:rPr>
        <w:t>,</w:t>
      </w:r>
      <w:r>
        <w:rPr/>
        <w:br/>
      </w:r>
      <w:r>
        <w:rPr>
          <w:rStyle w:val="NormalTok"/>
        </w:rPr>
        <w:t xml:space="preserve">    },</w:t>
      </w:r>
      <w:r>
        <w:rPr/>
        <w:br/>
      </w:r>
      <w:r>
        <w:rPr>
          <w:rStyle w:val="NormalTok"/>
        </w:rPr>
        <w:t>)</w:t>
      </w:r>
    </w:p>
    <w:p>
      <w:pPr>
        <w:pStyle w:val="FirstParagraph"/>
        <w:rPr/>
      </w:pPr>
      <w:r>
        <w:rPr/>
        <w:t xml:space="preserve">Use the batch interface (right-click an algorithm → </w:t>
      </w:r>
      <w:r>
        <w:rPr>
          <w:i/>
        </w:rPr>
        <w:t>Execute as Batch Process</w:t>
      </w:r>
      <w:r>
        <w:rPr/>
        <w:t xml:space="preserve">) to run many areas or years at once, and chain the algorithms in the Graphical Modeler — for example </w:t>
      </w:r>
      <w:r>
        <w:rPr>
          <w:i/>
        </w:rPr>
        <w:t>Load embeddings (multiple years)</w:t>
      </w:r>
      <w:r>
        <w:rPr/>
        <w:t xml:space="preserve"> → Change into a repeatable multi-year change model, or Load → Extract to build a training table for a study area.</w:t>
      </w:r>
    </w:p>
    <w:p>
      <w:pPr>
        <w:pStyle w:val="Heading2"/>
        <w:rPr/>
      </w:pPr>
      <w:bookmarkStart w:id="92" w:name="__RefHeading___Toc7875_3476700982"/>
      <w:bookmarkStart w:id="93" w:name="the-tabbed-wizard"/>
      <w:bookmarkEnd w:id="92"/>
      <w:r>
        <w:rPr/>
        <w:t>12. The tabbed wizard</w:t>
      </w:r>
      <w:bookmarkEnd w:id="93"/>
    </w:p>
    <w:p>
      <w:pPr>
        <w:pStyle w:val="FirstParagraph"/>
        <w:rPr/>
      </w:pPr>
      <w:r>
        <w:rPr>
          <w:b/>
        </w:rPr>
        <w:t>Plugins → AlphaEarth Toolbox</w:t>
      </w:r>
      <w:r>
        <w:rPr/>
        <w:t xml:space="preserve"> (or the toolbar button) opens a guided wizard with four tabs — </w:t>
      </w:r>
      <w:r>
        <w:rPr>
          <w:b/>
        </w:rPr>
        <w:t>Load / Visualise</w:t>
      </w:r>
      <w:r>
        <w:rPr/>
        <w:t xml:space="preserve">, </w:t>
      </w:r>
      <w:r>
        <w:rPr>
          <w:b/>
        </w:rPr>
        <w:t>Classify</w:t>
      </w:r>
      <w:r>
        <w:rPr/>
        <w:t xml:space="preserve">, </w:t>
      </w:r>
      <w:r>
        <w:rPr>
          <w:b/>
        </w:rPr>
        <w:t>Similarity</w:t>
      </w:r>
      <w:r>
        <w:rPr/>
        <w:t xml:space="preserve"> and </w:t>
      </w:r>
      <w:r>
        <w:rPr>
          <w:b/>
        </w:rPr>
        <w:t>Change</w:t>
      </w:r>
      <w:r>
        <w:rPr/>
        <w:t xml:space="preserve"> — for the common workflows without touching the Processing dialogs. Draw an area of interest straight on the map, pick a year, choose a target CRS, and pick input layers and fields from drop-downs; the </w:t>
      </w:r>
      <w:r>
        <w:rPr>
          <w:i/>
        </w:rPr>
        <w:t>Load / Visualise</w:t>
      </w:r>
      <w:r>
        <w:rPr/>
        <w:t xml:space="preserve"> tab also has a </w:t>
      </w:r>
      <w:r>
        <w:rPr>
          <w:b/>
        </w:rPr>
        <w:t>Preview RGB</w:t>
      </w:r>
      <w:r>
        <w:rPr/>
        <w:t xml:space="preserve"> button and, below the single-year Load, a </w:t>
      </w:r>
      <w:r>
        <w:rPr>
          <w:b/>
        </w:rPr>
        <w:t>tick-list of years</w:t>
      </w:r>
      <w:r>
        <w:rPr/>
        <w:t xml:space="preserve"> with a </w:t>
      </w:r>
      <w:r>
        <w:rPr>
          <w:b/>
        </w:rPr>
        <w:t>Load selected years</w:t>
      </w:r>
      <w:r>
        <w:rPr/>
        <w:t xml:space="preserve"> button that fetches each ticked year over the same area and adds every resulting raster to the project. On the tabs where they apply — RGB, Similarity, clustering and Change — a </w:t>
      </w:r>
      <w:r>
        <w:rPr>
          <w:b/>
        </w:rPr>
        <w:t>Preset</w:t>
      </w:r>
      <w:r>
        <w:rPr/>
        <w:t xml:space="preserve"> drop-down offers named starting points (for example a PCA RGB or a cosine-distance change) that fill in sensible choices for you to adjust; a preset is a good default, not a fixed recipe, because the embedding has no fixed band meanings. The </w:t>
      </w:r>
      <w:r>
        <w:rPr>
          <w:i/>
        </w:rPr>
        <w:t>Change</w:t>
      </w:r>
      <w:r>
        <w:rPr/>
        <w:t xml:space="preserve"> tab additionally lets you </w:t>
      </w:r>
      <w:r>
        <w:rPr>
          <w:b/>
        </w:rPr>
        <w:t>tick the years and compare in one step</w:t>
      </w:r>
      <w:r>
        <w:rPr/>
        <w:t xml:space="preserve">: choose the years, the mode and the metric, and it fetches and compares them for you (the </w:t>
      </w:r>
      <w:r>
        <w:rPr>
          <w:i/>
        </w:rPr>
        <w:t>Change over years</w:t>
      </w:r>
      <w:r>
        <w:rPr/>
        <w:t xml:space="preserve"> algorithm of §7) without a separate Load. The same tab carries the </w:t>
      </w:r>
      <w:r>
        <w:rPr>
          <w:b/>
        </w:rPr>
        <w:t>change-report controls</w:t>
      </w:r>
      <w:r>
        <w:rPr/>
        <w:t xml:space="preserve"> — content tick-boxes and HTML / PNG / CSV / PDF output pickers (see §8) — which are applied to whichever change run you launch, so you can produce the change raster and its report in one go. The </w:t>
      </w:r>
      <w:r>
        <w:rPr>
          <w:i/>
        </w:rPr>
        <w:t>Classify</w:t>
      </w:r>
      <w:r>
        <w:rPr/>
        <w:t xml:space="preserve"> tab has the </w:t>
      </w:r>
      <w:r>
        <w:rPr>
          <w:b/>
        </w:rPr>
        <w:t>Install scikit-learn</w:t>
      </w:r>
      <w:r>
        <w:rPr/>
        <w:t xml:space="preserve"> button and the fields to </w:t>
      </w:r>
      <w:r>
        <w:rPr>
          <w:b/>
        </w:rPr>
        <w:t>save or load a model</w:t>
      </w:r>
      <w:r>
        <w:rPr/>
        <w:t xml:space="preserve"> and to request a </w:t>
      </w:r>
      <w:r>
        <w:rPr>
          <w:b/>
        </w:rPr>
        <w:t>cross-validation accuracy report</w:t>
      </w:r>
      <w:r>
        <w:rPr/>
        <w:t xml:space="preserve">, an opt-in </w:t>
      </w:r>
      <w:r>
        <w:rPr>
          <w:b/>
        </w:rPr>
        <w:t>Tune hyper-parameters</w:t>
      </w:r>
      <w:r>
        <w:rPr/>
        <w:t xml:space="preserve"> switch (with an iterations spin-box) that runs the same cross-validated randomized search as the Processing algorithm (§10) and applies to both runs on the tab, and — like the </w:t>
      </w:r>
      <w:r>
        <w:rPr>
          <w:i/>
        </w:rPr>
        <w:t>Change</w:t>
      </w:r>
      <w:r>
        <w:rPr/>
        <w:t xml:space="preserve"> tab — a one-step </w:t>
      </w:r>
      <w:r>
        <w:rPr>
          <w:b/>
        </w:rPr>
        <w:t>Fetch ticked years and classify</w:t>
      </w:r>
      <w:r>
        <w:rPr/>
        <w:t xml:space="preserve"> mode: tick two or more years on the </w:t>
      </w:r>
      <w:r>
        <w:rPr>
          <w:i/>
        </w:rPr>
        <w:t>Load / Visualise</w:t>
      </w:r>
      <w:r>
        <w:rPr/>
        <w:t xml:space="preserve"> tab, set the training layer and label field once, and it fetches every year onto one shared grid and maps land cover for each (the </w:t>
      </w:r>
      <w:r>
        <w:rPr>
          <w:i/>
        </w:rPr>
        <w:t>Classify over years</w:t>
      </w:r>
      <w:r>
        <w:rPr/>
        <w:t xml:space="preserve"> algorithm of §10), optionally also writing a first-to-last transition raster and a changed/unchanged mask from its two extra tick-boxes. An advanced </w:t>
      </w:r>
      <w:r>
        <w:rPr>
          <w:b/>
        </w:rPr>
        <w:t>Remember the tile index across sessions</w:t>
      </w:r>
      <w:r>
        <w:rPr/>
        <w:t xml:space="preserve"> tick-box keeps the fetch cache under your QGIS profile so a later session over the same zone stays fast.</w:t>
      </w:r>
    </w:p>
    <w:p>
      <w:pPr>
        <w:pStyle w:val="BodyText"/>
        <w:rPr/>
      </w:pPr>
      <w:r>
        <w:rPr/>
        <w:t xml:space="preserve">Every run happens on a background task with a progress bar and a </w:t>
      </w:r>
      <w:r>
        <w:rPr>
          <w:b/>
        </w:rPr>
        <w:t>Cancel</w:t>
      </w:r>
      <w:r>
        <w:rPr/>
        <w:t xml:space="preserve"> button, so a long cloud fetch or a model fit never freezes QGIS, and results are added to your project automatically when the run finishes. Anything the wizard does you can also do (with every parameter exposed) from the Processing Toolbox.</w:t>
      </w:r>
    </w:p>
    <w:p>
      <w:pPr>
        <w:pStyle w:val="Heading2"/>
        <w:rPr/>
      </w:pPr>
      <w:bookmarkStart w:id="94" w:name="__RefHeading___Toc7877_3476700982"/>
      <w:bookmarkStart w:id="95" w:name="attribution-required"/>
      <w:bookmarkEnd w:id="94"/>
      <w:r>
        <w:rPr/>
        <w:t>13. Attribution (required)</w:t>
      </w:r>
      <w:bookmarkEnd w:id="95"/>
    </w:p>
    <w:p>
      <w:pPr>
        <w:pStyle w:val="FirstParagraph"/>
        <w:rPr/>
      </w:pPr>
      <w:r>
        <w:rPr/>
        <w:t>The embedding data is licensed CC BY 4.0, which requires attribution. Each algorithm’s help text ends with the required credit line:</w:t>
      </w:r>
    </w:p>
    <w:p>
      <w:pPr>
        <w:pStyle w:val="BlockText"/>
        <w:rPr/>
      </w:pPr>
      <w:r>
        <w:rPr/>
        <w:t>Contains modified Google DeepMind AlphaEarth Satellite Embedding V1 data (CC BY 4.0).</w:t>
      </w:r>
    </w:p>
    <w:p>
      <w:pPr>
        <w:pStyle w:val="FirstParagraph"/>
        <w:rPr/>
      </w:pPr>
      <w:r>
        <w:rPr/>
        <w:t>Include that wherever you publish maps or figures derived from the toolbox’s outputs. AlphaEarth is commercially usable with attribution.</w:t>
      </w:r>
    </w:p>
    <w:p>
      <w:pPr>
        <w:pStyle w:val="Heading2"/>
        <w:rPr/>
      </w:pPr>
      <w:bookmarkStart w:id="96" w:name="__RefHeading___Toc7879_3476700982"/>
      <w:bookmarkStart w:id="97" w:name="troubleshooting"/>
      <w:bookmarkEnd w:id="96"/>
      <w:r>
        <w:rPr/>
        <w:t>14. Troubleshooting</w:t>
      </w:r>
      <w:bookmarkEnd w:id="97"/>
    </w:p>
    <w:p>
      <w:pPr>
        <w:pStyle w:val="FirstParagraph"/>
        <w:rPr/>
      </w:pPr>
      <w:r>
        <w:rPr/>
        <w:t xml:space="preserve">If the toolbox does not appear, confirm the plugin is enabled and that experimental plugins are shown, and that QGIS is 3.34 or newer (the plugin refuses to load on Python older than 3.10 with an explanatory message). “No AlphaEarth tiles intersect the area of interest” almost always means the extent’s CRS is wrong or the area is over ocean — check the extent. A </w:t>
      </w:r>
      <w:r>
        <w:rPr>
          <w:i/>
        </w:rPr>
        <w:t>fetch-by-year</w:t>
      </w:r>
      <w:r>
        <w:rPr/>
        <w:t xml:space="preserve"> run that sits at a low percentage for a while on its </w:t>
      </w:r>
      <w:r>
        <w:rPr>
          <w:b/>
        </w:rPr>
        <w:t>first</w:t>
      </w:r>
      <w:r>
        <w:rPr/>
        <w:t xml:space="preserve"> use of a given year and region is normal, not a hang: to find the tiles covering your area the toolbox header-scans tiles in each UTM zone it touches, and that is the 0–90 % phase. It keeps this as short as it can — tiles are grouped by scene, one tile per scene is read, and whole scenes that cannot reach your area are ruled out before their tiles are read — but a first fetch still has to anchor every scene in the zone (AlphaEarth tile names carry no global position, so there is no way to skip them all). A second run over the same year and zones reuses a cached tile index and jumps almost straight to the mosaic, so the wait is a once-per-region cost. If some tiles cannot be read, the run finishes and warns you how many were skipped (the mosaic may have small gaps there) rather than failing. Any fetch retries and times out rather than hanging outright, and can be cancelled at any point. If a raster layer you pass to Similarity cannot be read, load the embedding with </w:t>
      </w:r>
      <w:r>
        <w:rPr>
          <w:i/>
        </w:rPr>
        <w:t>Load embedding</w:t>
      </w:r>
      <w:r>
        <w:rPr/>
        <w:t xml:space="preserve"> first (which normalises the source) and feed that output in.</w:t>
      </w:r>
    </w:p>
    <w:p>
      <w:pPr>
        <w:pStyle w:val="BodyText"/>
        <w:rPr/>
      </w:pPr>
      <w:r>
        <w:rPr/>
        <w:t xml:space="preserve">If a run stops with </w:t>
      </w:r>
      <w:r>
        <w:rPr>
          <w:b/>
        </w:rPr>
        <w:t>“Task failed: Executing ‘&lt;algorithm&gt;’”</w:t>
      </w:r>
      <w:r>
        <w:rPr/>
        <w:t xml:space="preserve"> and no obvious reason, open </w:t>
      </w:r>
      <w:r>
        <w:rPr>
          <w:b/>
        </w:rPr>
        <w:t>View ▸ Panels ▸ Log Messages</w:t>
      </w:r>
      <w:r>
        <w:rPr/>
        <w:t xml:space="preserve"> and select the </w:t>
      </w:r>
      <w:r>
        <w:rPr>
          <w:b/>
        </w:rPr>
        <w:t>Processing</w:t>
      </w:r>
      <w:r>
        <w:rPr/>
        <w:t xml:space="preserve"> tab: </w:t>
      </w:r>
      <w:r>
        <w:rPr>
          <w:i/>
        </w:rPr>
        <w:t>Load embedding</w:t>
      </w:r>
      <w:r>
        <w:rPr/>
        <w:t xml:space="preserve"> now writes the full underlying error (with its traceback) there before failing, so the real cause — for example a network or GDAL problem — is recorded even though the dialog only shows the background task’s generic message. Include that log text if you report a bug.</w:t>
      </w:r>
    </w:p>
    <w:p>
      <w:pPr>
        <w:pStyle w:val="BodyText"/>
        <w:rPr/>
      </w:pPr>
      <w:r>
        <w:rPr/>
        <w:t xml:space="preserve">If </w:t>
      </w:r>
      <w:r>
        <w:rPr>
          <w:i/>
        </w:rPr>
        <w:t>Change</w:t>
      </w:r>
      <w:r>
        <w:rPr/>
        <w:t xml:space="preserve"> reports that the inputs are not aligned or have different shapes, the years were not loaded onto the same grid — re-run </w:t>
      </w:r>
      <w:r>
        <w:rPr>
          <w:i/>
        </w:rPr>
        <w:t>Load embedding</w:t>
      </w:r>
      <w:r>
        <w:rPr/>
        <w:t xml:space="preserve"> for each year with an identical area of interest, target CRS and resolution, then compare. If </w:t>
      </w:r>
      <w:r>
        <w:rPr>
          <w:i/>
        </w:rPr>
        <w:t>Extract</w:t>
      </w:r>
      <w:r>
        <w:rPr/>
        <w:t xml:space="preserve"> produces no rows, the features either fall outside the embedding extent or (with </w:t>
      </w:r>
      <w:r>
        <w:rPr>
          <w:i/>
        </w:rPr>
        <w:t>Skip no-data pixels</w:t>
      </w:r>
      <w:r>
        <w:rPr/>
        <w:t xml:space="preserve"> on) land only on no-data pixels — check the overlap and CRS.</w:t>
      </w:r>
    </w:p>
    <w:p>
      <w:pPr>
        <w:pStyle w:val="BodyText"/>
        <w:rPr/>
      </w:pPr>
      <w:r>
        <w:rPr/>
        <w:t xml:space="preserve">If </w:t>
      </w:r>
      <w:r>
        <w:rPr>
          <w:i/>
        </w:rPr>
        <w:t>Classify</w:t>
      </w:r>
      <w:r>
        <w:rPr/>
        <w:t xml:space="preserve">, </w:t>
      </w:r>
      <w:r>
        <w:rPr>
          <w:i/>
        </w:rPr>
        <w:t>Cluster</w:t>
      </w:r>
      <w:r>
        <w:rPr/>
        <w:t xml:space="preserve"> or </w:t>
      </w:r>
      <w:r>
        <w:rPr>
          <w:i/>
        </w:rPr>
        <w:t>Regress</w:t>
      </w:r>
      <w:r>
        <w:rPr/>
        <w:t xml:space="preserve"> reports that scikit-learn is missing, install it with the </w:t>
      </w:r>
      <w:r>
        <w:rPr>
          <w:b/>
        </w:rPr>
        <w:t>Install scikit-learn</w:t>
      </w:r>
      <w:r>
        <w:rPr/>
        <w:t xml:space="preserve"> button on the wizard’s </w:t>
      </w:r>
      <w:r>
        <w:rPr>
          <w:i/>
        </w:rPr>
        <w:t>Classify</w:t>
      </w:r>
      <w:r>
        <w:rPr/>
        <w:t xml:space="preserve"> tab (or </w:t>
      </w:r>
      <w:r>
        <w:rPr>
          <w:rStyle w:val="VerbatimChar"/>
        </w:rPr>
        <w:t>pip install scikit-learn</w:t>
      </w:r>
      <w:r>
        <w:rPr/>
        <w:t xml:space="preserve"> into the QGIS Python environment) and re-run. If </w:t>
      </w:r>
      <w:r>
        <w:rPr>
          <w:i/>
        </w:rPr>
        <w:t>Regress</w:t>
      </w:r>
      <w:r>
        <w:rPr/>
        <w:t xml:space="preserve"> refuses a field, it needs a </w:t>
      </w:r>
      <w:r>
        <w:rPr>
          <w:b/>
        </w:rPr>
        <w:t>numeric</w:t>
      </w:r>
      <w:r>
        <w:rPr/>
        <w:t xml:space="preserve"> target — pick a number column. If </w:t>
      </w:r>
      <w:r>
        <w:rPr>
          <w:i/>
        </w:rPr>
        <w:t>Classify</w:t>
      </w:r>
      <w:r>
        <w:rPr/>
        <w:t xml:space="preserve"> produces a single class everywhere, your training features are probably all one label or too few; add more, well-spread examples per class.</w:t>
      </w:r>
    </w:p>
    <w:p>
      <w:pPr>
        <w:pStyle w:val="Normal"/>
        <w:rPr/>
      </w:pPr>
      <w:r>
        <w:rPr/>
      </w:r>
      <w:r>
        <w:br w:type="page"/>
      </w:r>
    </w:p>
    <w:p>
      <w:pPr>
        <w:pStyle w:val="Heading1"/>
        <w:spacing w:before="0" w:after="0"/>
        <w:rPr/>
      </w:pPr>
      <w:bookmarkStart w:id="98" w:name="__RefHeading___Toc7881_3476700982"/>
      <w:bookmarkStart w:id="99" w:name="limitations"/>
      <w:bookmarkEnd w:id="98"/>
      <w:r>
        <w:rPr/>
        <w:t>Limitations</w:t>
      </w:r>
      <w:bookmarkEnd w:id="99"/>
    </w:p>
    <w:p>
      <w:pPr>
        <w:pStyle w:val="FirstParagraph"/>
        <w:rPr/>
      </w:pPr>
      <w:r>
        <w:rPr>
          <w:i/>
        </w:rPr>
        <w:t>AlphaEarth Toolbox for QGIS — v0.10.0</w:t>
      </w:r>
    </w:p>
    <w:p>
      <w:pPr>
        <w:pStyle w:val="BodyText"/>
        <w:rPr/>
      </w:pPr>
      <w:r>
        <w:rPr/>
        <w:t xml:space="preserve">This document is candid about what the toolbox does </w:t>
      </w:r>
      <w:r>
        <w:rPr>
          <w:i/>
        </w:rPr>
        <w:t>not</w:t>
      </w:r>
      <w:r>
        <w:rPr/>
        <w:t xml:space="preserve"> do yet and where its results should be treated with care. It covers the current release’s scope, the constraints inherited from the data, and the maturity of testing. Read it alongside the Methodology document, which explains the maths these limitations qualify.</w:t>
      </w:r>
    </w:p>
    <w:p>
      <w:pPr>
        <w:pStyle w:val="Heading2"/>
        <w:rPr/>
      </w:pPr>
      <w:bookmarkStart w:id="100" w:name="__RefHeading___Toc7883_3476700982"/>
      <w:bookmarkStart w:id="101" w:name="release-scope"/>
      <w:bookmarkEnd w:id="100"/>
      <w:r>
        <w:rPr/>
        <w:t>1. Release scope</w:t>
      </w:r>
      <w:bookmarkEnd w:id="101"/>
    </w:p>
    <w:p>
      <w:pPr>
        <w:pStyle w:val="FirstParagraph"/>
        <w:rPr/>
      </w:pPr>
      <w:r>
        <w:rPr/>
        <w:t xml:space="preserve">All twelve algorithms are now implemented: </w:t>
      </w:r>
      <w:r>
        <w:rPr>
          <w:i/>
        </w:rPr>
        <w:t>Load embedding</w:t>
      </w:r>
      <w:r>
        <w:rPr/>
        <w:t xml:space="preserve">, </w:t>
      </w:r>
      <w:r>
        <w:rPr>
          <w:i/>
        </w:rPr>
        <w:t>Load embeddings (multiple years)</w:t>
      </w:r>
      <w:r>
        <w:rPr/>
        <w:t xml:space="preserve">, </w:t>
      </w:r>
      <w:r>
        <w:rPr>
          <w:i/>
        </w:rPr>
        <w:t>Embedding → RGB</w:t>
      </w:r>
      <w:r>
        <w:rPr/>
        <w:t xml:space="preserve">, </w:t>
      </w:r>
      <w:r>
        <w:rPr>
          <w:i/>
        </w:rPr>
        <w:t>Similarity search</w:t>
      </w:r>
      <w:r>
        <w:rPr/>
        <w:t xml:space="preserve">, </w:t>
      </w:r>
      <w:r>
        <w:rPr>
          <w:i/>
        </w:rPr>
        <w:t>Change / trajectory</w:t>
      </w:r>
      <w:r>
        <w:rPr/>
        <w:t xml:space="preserve">, </w:t>
      </w:r>
      <w:r>
        <w:rPr>
          <w:i/>
        </w:rPr>
        <w:t>Change over years</w:t>
      </w:r>
      <w:r>
        <w:rPr/>
        <w:t xml:space="preserve">, </w:t>
      </w:r>
      <w:r>
        <w:rPr>
          <w:i/>
        </w:rPr>
        <w:t>Change report</w:t>
      </w:r>
      <w:r>
        <w:rPr/>
        <w:t xml:space="preserve"> and </w:t>
      </w:r>
      <w:r>
        <w:rPr>
          <w:i/>
        </w:rPr>
        <w:t>Extract training samples</w:t>
      </w:r>
      <w:r>
        <w:rPr/>
        <w:t xml:space="preserve"> in the no-dependency (NumPy + GDAL) tier, plus </w:t>
      </w:r>
      <w:r>
        <w:rPr>
          <w:i/>
        </w:rPr>
        <w:t>Classify</w:t>
      </w:r>
      <w:r>
        <w:rPr/>
        <w:t xml:space="preserve">, </w:t>
      </w:r>
      <w:r>
        <w:rPr>
          <w:i/>
        </w:rPr>
        <w:t>Classify over years</w:t>
      </w:r>
      <w:r>
        <w:rPr/>
        <w:t xml:space="preserve">, </w:t>
      </w:r>
      <w:r>
        <w:rPr>
          <w:i/>
        </w:rPr>
        <w:t>Cluster</w:t>
      </w:r>
      <w:r>
        <w:rPr/>
        <w:t xml:space="preserve"> and </w:t>
      </w:r>
      <w:r>
        <w:rPr>
          <w:i/>
        </w:rPr>
        <w:t>Regress</w:t>
      </w:r>
      <w:r>
        <w:rPr/>
        <w:t xml:space="preserve"> in the optional scikit-learn tier. The dialog is the guided tabbed wizard (draw-AOI extent, year picker, target-CRS chooser, off-GUI-thread execution with progress and Cancel). The plugin is nonetheless still marked </w:t>
      </w:r>
      <w:r>
        <w:rPr>
          <w:rStyle w:val="VerbatimChar"/>
        </w:rPr>
        <w:t>experimental=True</w:t>
      </w:r>
      <w:r>
        <w:rPr/>
        <w:t>: real-QGIS coverage is only beginning to broaden (see §10), so treat this as a capable but not-yet-battle-tested release.</w:t>
      </w:r>
    </w:p>
    <w:p>
      <w:pPr>
        <w:pStyle w:val="BodyText"/>
        <w:rPr/>
      </w:pPr>
      <w:r>
        <w:rPr/>
        <w:t xml:space="preserve">The scikit-learn tier is an optional add-on, not part of a fresh install. scikit-learn is never bundled and never a hard dependency; until you install it (one click in the wizard, or </w:t>
      </w:r>
      <w:r>
        <w:rPr>
          <w:rStyle w:val="VerbatimChar"/>
        </w:rPr>
        <w:t>pip</w:t>
      </w:r>
      <w:r>
        <w:rPr/>
        <w:t xml:space="preserve"> by hand), </w:t>
      </w:r>
      <w:r>
        <w:rPr>
          <w:i/>
        </w:rPr>
        <w:t>Classify</w:t>
      </w:r>
      <w:r>
        <w:rPr/>
        <w:t xml:space="preserve">, </w:t>
      </w:r>
      <w:r>
        <w:rPr>
          <w:i/>
        </w:rPr>
        <w:t>Classify over years</w:t>
      </w:r>
      <w:r>
        <w:rPr/>
        <w:t xml:space="preserve">, </w:t>
      </w:r>
      <w:r>
        <w:rPr>
          <w:i/>
        </w:rPr>
        <w:t>Cluster</w:t>
      </w:r>
      <w:r>
        <w:rPr/>
        <w:t xml:space="preserve"> and </w:t>
      </w:r>
      <w:r>
        <w:rPr>
          <w:i/>
        </w:rPr>
        <w:t>Regress</w:t>
      </w:r>
      <w:r>
        <w:rPr/>
        <w:t xml:space="preserve"> will decline to run. Installing it changes the QGIS Python environment for every plugin, and the install needs network access and appropriate permissions — on a locked-down or offline QGIS it may fail, in which case the no-dependency tier still works fully.</w:t>
      </w:r>
    </w:p>
    <w:p>
      <w:pPr>
        <w:pStyle w:val="Heading2"/>
        <w:rPr/>
      </w:pPr>
      <w:bookmarkStart w:id="102" w:name="__RefHeading___Toc7885_3476700982"/>
      <w:bookmarkStart w:id="103" w:name="data-constraints"/>
      <w:bookmarkEnd w:id="102"/>
      <w:r>
        <w:rPr/>
        <w:t>2. Data constraints</w:t>
      </w:r>
      <w:bookmarkEnd w:id="103"/>
    </w:p>
    <w:p>
      <w:pPr>
        <w:pStyle w:val="FirstParagraph"/>
        <w:rPr/>
      </w:pPr>
      <w:r>
        <w:rPr/>
        <w:t xml:space="preserve">The limitations of AlphaEarth V1 itself flow straight through the toolbox. The data is </w:t>
      </w:r>
      <w:r>
        <w:rPr>
          <w:b/>
        </w:rPr>
        <w:t>annual</w:t>
      </w:r>
      <w:r>
        <w:rPr/>
        <w:t xml:space="preserve">, so it captures a year’s worth of surface behaviour and cannot resolve within-year or single-date events — there is one embedding per calendar year. It covers </w:t>
      </w:r>
      <w:r>
        <w:rPr>
          <w:b/>
        </w:rPr>
        <w:t>2017–2025</w:t>
      </w:r>
      <w:r>
        <w:rPr/>
        <w:t xml:space="preserve"> only; requests outside that range are rejected. The native resolution is </w:t>
      </w:r>
      <w:r>
        <w:rPr>
          <w:b/>
        </w:rPr>
        <w:t>10 m</w:t>
      </w:r>
      <w:r>
        <w:rPr/>
        <w:t>, so features smaller than that are not resolvable, and asking for a finer output resolution only resamples, it does not add detail.</w:t>
      </w:r>
    </w:p>
    <w:p>
      <w:pPr>
        <w:pStyle w:val="BodyText"/>
        <w:rPr/>
      </w:pPr>
      <w:r>
        <w:rPr/>
        <w:t xml:space="preserve">The embedding is a </w:t>
      </w:r>
      <w:r>
        <w:rPr>
          <w:i/>
        </w:rPr>
        <w:t>learned</w:t>
      </w:r>
      <w:r>
        <w:rPr/>
        <w:t xml:space="preserve"> representation, not a physical measurement. Its 64 bands have no direct physical units, and their meaning is defined only relative to other embeddings. That is exactly why similarity and change work well, but it also means an embedding value on its own is not interpretable the way a reflectance or a temperature is.</w:t>
      </w:r>
    </w:p>
    <w:p>
      <w:pPr>
        <w:pStyle w:val="BodyText"/>
        <w:rPr/>
      </w:pPr>
      <w:r>
        <w:rPr/>
        <w:t>Coverage gaps and ocean are represented as fill (int8 −128), which the toolbox surfaces as explicit no-data rather than as a real value. This is a feature, but it does mean areas over water or with missing tiles will simply have no output there.</w:t>
      </w:r>
    </w:p>
    <w:p>
      <w:pPr>
        <w:pStyle w:val="Heading2"/>
        <w:rPr/>
      </w:pPr>
      <w:bookmarkStart w:id="104" w:name="__RefHeading___Toc7887_3476700982"/>
      <w:bookmarkStart w:id="105" w:name="embedding-rgb-caveats"/>
      <w:bookmarkEnd w:id="104"/>
      <w:r>
        <w:rPr/>
        <w:t>3. Embedding → RGB caveats</w:t>
      </w:r>
      <w:bookmarkEnd w:id="105"/>
    </w:p>
    <w:p>
      <w:pPr>
        <w:pStyle w:val="FirstParagraph"/>
        <w:rPr/>
      </w:pPr>
      <w:r>
        <w:rPr/>
        <w:t xml:space="preserve">The RGB preview is a </w:t>
      </w:r>
      <w:r>
        <w:rPr>
          <w:i/>
        </w:rPr>
        <w:t>visualisation aid, not data</w:t>
      </w:r>
      <w:r>
        <w:rPr/>
        <w:t>. It compresses 64 dimensions to three, so it necessarily discards most of the embedding — never feed an RGB output back into the analytical algorithms, which expect the full 64-band embedding. The default PCA method chooses its colour axes from the pixels in each run, so the same land cover can appear in different colours in two different rasters (or two AOIs of one year); when you need colours that mean the same thing across scenes, use the band-triplet method instead, at the cost of seeing only three of the 64 bands. The percentile stretch is cosmetic and per-channel, so absolute colours carry no physical meaning either way.</w:t>
      </w:r>
    </w:p>
    <w:p>
      <w:pPr>
        <w:pStyle w:val="Heading2"/>
        <w:rPr/>
      </w:pPr>
      <w:bookmarkStart w:id="106" w:name="__RefHeading___Toc7889_3476700982"/>
      <w:bookmarkStart w:id="107" w:name="similarity-search-caveats"/>
      <w:bookmarkEnd w:id="106"/>
      <w:r>
        <w:rPr/>
        <w:t>4. Similarity-search caveats</w:t>
      </w:r>
      <w:bookmarkEnd w:id="107"/>
    </w:p>
    <w:p>
      <w:pPr>
        <w:pStyle w:val="FirstParagraph"/>
        <w:rPr/>
      </w:pPr>
      <w:r>
        <w:rPr/>
        <w:t xml:space="preserve">Similarity search is only as good as its seeds. A handful of unrepresentative seed pixels will produce a misleading map, and mixing distinct targets into one seed set blends them into an average vector that may match neither well. The </w:t>
      </w:r>
      <w:r>
        <w:rPr>
          <w:i/>
        </w:rPr>
        <w:t>mean</w:t>
      </w:r>
      <w:r>
        <w:rPr/>
        <w:t xml:space="preserve"> aggregation is sensitive to outlier seeds; </w:t>
      </w:r>
      <w:r>
        <w:rPr>
          <w:i/>
        </w:rPr>
        <w:t>medoid</w:t>
      </w:r>
      <w:r>
        <w:rPr/>
        <w:t xml:space="preserve"> is more robust but reduces the whole seed set to a single most-representative example. The result is a </w:t>
      </w:r>
      <w:r>
        <w:rPr>
          <w:i/>
        </w:rPr>
        <w:t>relative</w:t>
      </w:r>
      <w:r>
        <w:rPr/>
        <w:t xml:space="preserve"> similarity surface — high values mean “like your seeds”, not any absolute class membership — so the threshold that separates “similar enough” is a judgement call the user makes per task, not a calibrated constant.</w:t>
      </w:r>
    </w:p>
    <w:p>
      <w:pPr>
        <w:pStyle w:val="BodyText"/>
        <w:rPr/>
      </w:pPr>
      <w:r>
        <w:rPr/>
        <w:t>Seed geometries must overlap the embedding raster; polygon seeds are rasterised by pixel-centre containment (with a centroid fallback for sub-pixel features), and a very large polygon seed is capped to protect the run. Similarity is computed in the embedding’s own grid and CRS, so results inherit whatever resolution and projection the loaded embedding has.</w:t>
      </w:r>
    </w:p>
    <w:p>
      <w:pPr>
        <w:pStyle w:val="Heading2"/>
        <w:rPr/>
      </w:pPr>
      <w:bookmarkStart w:id="108" w:name="__RefHeading___Toc7891_3476700982"/>
      <w:bookmarkStart w:id="109" w:name="change-trajectory-caveats"/>
      <w:bookmarkEnd w:id="108"/>
      <w:r>
        <w:rPr/>
        <w:t>5. Change / trajectory caveats</w:t>
      </w:r>
      <w:bookmarkEnd w:id="109"/>
    </w:p>
    <w:p>
      <w:pPr>
        <w:pStyle w:val="FirstParagraph"/>
        <w:rPr/>
      </w:pPr>
      <w:r>
        <w:rPr/>
        <w:t xml:space="preserve">Change analysis compares pixel-for-pixel, so every input year must already sit on exactly the same grid — the same extent, CRS, resolution and pixel alignment. The algorithm enforces this and refuses mismatched inputs rather than silently misregistering them, which means the burden of loading each year identically (with </w:t>
      </w:r>
      <w:r>
        <w:rPr>
          <w:i/>
        </w:rPr>
        <w:t>Load embedding</w:t>
      </w:r>
      <w:r>
        <w:rPr/>
        <w:t xml:space="preserve"> using one area of interest, CRS and resolution) falls on the user. If you would rather skip that manual alignment, </w:t>
      </w:r>
      <w:r>
        <w:rPr>
          <w:i/>
        </w:rPr>
        <w:t>Change over years</w:t>
      </w:r>
      <w:r>
        <w:rPr/>
        <w:t xml:space="preserve"> (</w:t>
      </w:r>
      <w:r>
        <w:rPr>
          <w:rStyle w:val="VerbatimChar"/>
        </w:rPr>
        <w:t>alphaearth:changeyears</w:t>
      </w:r>
      <w:r>
        <w:rPr/>
        <w:t xml:space="preserve">) fetches every ticked year onto one snapped grid and compares them in a single step, so its inputs are aligned by construction and there is no grid check to fail; the raster-based </w:t>
      </w:r>
      <w:r>
        <w:rPr>
          <w:i/>
        </w:rPr>
        <w:t>Change / trajectory</w:t>
      </w:r>
      <w:r>
        <w:rPr/>
        <w:t xml:space="preserve"> remains the tool for years you have already loaded or prepared yourself.</w:t>
      </w:r>
    </w:p>
    <w:p>
      <w:pPr>
        <w:pStyle w:val="BodyText"/>
        <w:rPr/>
      </w:pPr>
      <w:r>
        <w:rPr/>
        <w:t xml:space="preserve">The result is a </w:t>
      </w:r>
      <w:r>
        <w:rPr>
          <w:i/>
        </w:rPr>
        <w:t>relative</w:t>
      </w:r>
      <w:r>
        <w:rPr/>
        <w:t xml:space="preserve"> distance surface, not a labelled “what changed” map. A high value says the embedding moved a lot between years, but not whether that is regrowth, clearing, flooding, a crop rotation or a sensor artefact — attributing a cause needs domain knowledge or reference data. Because the data is annual, change is only ever resolved year-to-year: a disturbance and full recovery inside one calendar year can leave little annual signal, and the exact within-year timing of a change is invisible. A pixel is treated as no-data unless </w:t>
      </w:r>
      <w:r>
        <w:rPr>
          <w:i/>
        </w:rPr>
        <w:t>every</w:t>
      </w:r>
      <w:r>
        <w:rPr/>
        <w:t xml:space="preserve"> input year is valid there, so the change layer is only defined where all years have coverage. The two metrics (cosine, Euclidean) are monotonically related for unit vectors, so they rank pixels almost identically; cosine distance is the bounded (0–2) default.</w:t>
      </w:r>
    </w:p>
    <w:p>
      <w:pPr>
        <w:pStyle w:val="Heading2"/>
        <w:rPr/>
      </w:pPr>
      <w:bookmarkStart w:id="110" w:name="__RefHeading___Toc7893_3476700982"/>
      <w:bookmarkStart w:id="111" w:name="change-report-caveats"/>
      <w:bookmarkEnd w:id="110"/>
      <w:r>
        <w:rPr/>
        <w:t>6. Change-report caveats</w:t>
      </w:r>
      <w:bookmarkEnd w:id="111"/>
    </w:p>
    <w:p>
      <w:pPr>
        <w:pStyle w:val="FirstParagraph"/>
        <w:rPr/>
      </w:pPr>
      <w:r>
        <w:rPr/>
        <w:t xml:space="preserve">The change report summarises a change raster’s </w:t>
      </w:r>
      <w:r>
        <w:rPr>
          <w:i/>
        </w:rPr>
        <w:t>magnitude and extent</w:t>
      </w:r>
      <w:r>
        <w:rPr/>
        <w:t xml:space="preserve">; it does not add information the raster does not already contain, so every </w:t>
      </w:r>
      <w:r>
        <w:rPr>
          <w:i/>
        </w:rPr>
        <w:t>Change / trajectory</w:t>
      </w:r>
      <w:r>
        <w:rPr/>
        <w:t xml:space="preserve"> caveat above flows straight through it. A distribution, a threshold table or a scatter shows how much and how widely the embedding moved, never </w:t>
      </w:r>
      <w:r>
        <w:rPr>
          <w:i/>
        </w:rPr>
        <w:t>why</w:t>
      </w:r>
      <w:r>
        <w:rPr/>
        <w:t xml:space="preserve"> — attributing a cause still needs domain knowledge or reference data. The report reads whatever single-band raster you give it (it does not have to be an AlphaEarth change layer), so its numbers are only as meaningful as that input.</w:t>
      </w:r>
    </w:p>
    <w:p>
      <w:pPr>
        <w:pStyle w:val="BodyText"/>
        <w:rPr/>
      </w:pPr>
      <w:r>
        <w:rPr/>
        <w:t xml:space="preserve">The “percentage of area changed” reports </w:t>
      </w:r>
      <w:r>
        <w:rPr>
          <w:b/>
        </w:rPr>
        <w:t>hectares only when the raster’s CRS is projected (in metres)</w:t>
      </w:r>
      <w:r>
        <w:rPr/>
        <w:t xml:space="preserve">; over a geographic (degrees) CRS a pixel has no constant ground area, so the report gives the fraction of valid pixels but omits hectares. The over-time series is built from the rasters you supply </w:t>
      </w:r>
      <w:r>
        <w:rPr>
          <w:i/>
        </w:rPr>
        <w:t>in order</w:t>
      </w:r>
      <w:r>
        <w:rPr/>
        <w:t xml:space="preserve"> and labels each period with that layer’s name, so a mislabelled or mis-ordered input produces a mislabelled or mis-ordered series; it makes no attempt to parse years from filenames or to check that the periods are contiguous. The scatter needs an embedding raster on the </w:t>
      </w:r>
      <w:r>
        <w:rPr>
          <w:i/>
        </w:rPr>
        <w:t>same grid</w:t>
      </w:r>
      <w:r>
        <w:rPr/>
        <w:t xml:space="preserve"> as the change raster and is omitted (with a warning) if the band or grid does not match. HTML and CSV always work with nothing beyond NumPy, but the </w:t>
      </w:r>
      <w:r>
        <w:rPr>
          <w:b/>
        </w:rPr>
        <w:t>PNG and PDF outputs require matplotlib</w:t>
      </w:r>
      <w:r>
        <w:rPr/>
        <w:t xml:space="preserve"> in the QGIS Python environment: when it is absent those two formats are skipped with a message rather than failing the run, so a report requesting only PNG/PDF on a matplotlib-less install produces no file.</w:t>
      </w:r>
    </w:p>
    <w:p>
      <w:pPr>
        <w:pStyle w:val="Heading2"/>
        <w:rPr/>
      </w:pPr>
      <w:bookmarkStart w:id="112" w:name="__RefHeading___Toc7895_3476700982"/>
      <w:bookmarkStart w:id="113" w:name="extract-samples-caveats"/>
      <w:bookmarkEnd w:id="112"/>
      <w:r>
        <w:rPr/>
        <w:t>7. Extract-samples caveats</w:t>
      </w:r>
      <w:bookmarkEnd w:id="113"/>
    </w:p>
    <w:p>
      <w:pPr>
        <w:pStyle w:val="FirstParagraph"/>
        <w:rPr/>
      </w:pPr>
      <w:r>
        <w:rPr/>
        <w:t xml:space="preserve">Sample extraction writes one output point per covered pixel, so a large polygon over a 10 m grid can produce a very large table; a per-feature safety cap protects the run, and hitting it means splitting the feature or coarsening the resolution. Pixel assignment is by centre containment (with a centroid fallback for sub-pixel features), so a polygon edge that clips a pixel without covering its centre does not sample that pixel — expect slightly fewer rows than a naïve area estimate. Samples are emitted in the embedding’s own grid and CRS at pixel centres, not at the original feature vertices. The band columns carry whatever the loaded embedding holds; if you extract from a raster that was not dequantised (an explicit-URL or raster-layer </w:t>
      </w:r>
      <w:r>
        <w:rPr>
          <w:i/>
        </w:rPr>
        <w:t>Load</w:t>
      </w:r>
      <w:r>
        <w:rPr/>
        <w:t xml:space="preserve"> run), the values are the raw stored units, not unit-length float vectors. With </w:t>
      </w:r>
      <w:r>
        <w:rPr>
          <w:i/>
        </w:rPr>
        <w:t>Skip no-data pixels</w:t>
      </w:r>
      <w:r>
        <w:rPr/>
        <w:t xml:space="preserve"> on, pixels that are no-data in the embedding are dropped, so features lying entirely over ocean or missing tiles yield no rows.</w:t>
      </w:r>
    </w:p>
    <w:p>
      <w:pPr>
        <w:pStyle w:val="Heading2"/>
        <w:rPr/>
      </w:pPr>
      <w:bookmarkStart w:id="114" w:name="__RefHeading___Toc7897_3476700982"/>
      <w:bookmarkStart w:id="115" w:name="scikit-learn-tier-caveats"/>
      <w:bookmarkEnd w:id="114"/>
      <w:r>
        <w:rPr/>
        <w:t>8. scikit-learn tier caveats</w:t>
      </w:r>
      <w:bookmarkEnd w:id="115"/>
    </w:p>
    <w:p>
      <w:pPr>
        <w:pStyle w:val="FirstParagraph"/>
        <w:rPr/>
      </w:pPr>
      <w:r>
        <w:rPr/>
        <w:t xml:space="preserve">Classification, clustering and regression are only as good as their inputs and are easy to over-trust. A classifier or regressor is trained purely on the labelled features you supply, so too few examples, an unbalanced set (most points in one class), or labels that do not actually match what is on the ground will produce a confident-looking but wrong map. The per-pixel </w:t>
      </w:r>
      <w:r>
        <w:rPr>
          <w:b/>
        </w:rPr>
        <w:t>confidence</w:t>
      </w:r>
      <w:r>
        <w:rPr/>
        <w:t xml:space="preserve"> raster is the model’s own probability, not a validated accuracy — a high value means the model is sure, not that it is right — so it should never be read as ground-truth reliability. Clustering is unsupervised: cluster numbers are arbitrary labels with no inherent meaning or order, and the “right” number of clusters is a judgement call, not a result — the optional </w:t>
      </w:r>
      <w:r>
        <w:rPr>
          <w:i/>
        </w:rPr>
        <w:t>Choose k automatically</w:t>
      </w:r>
      <w:r>
        <w:rPr/>
        <w:t xml:space="preserve"> switch picks a k by the best mean silhouette over a range, but that is a heuristic to inform the judgement, not a substitute for it. For speed the cluster fit (and any large training set) uses a subsample, so results can shift slightly between runs. </w:t>
      </w:r>
      <w:r>
        <w:rPr>
          <w:i/>
        </w:rPr>
        <w:t>Classify</w:t>
      </w:r>
      <w:r>
        <w:rPr/>
        <w:t xml:space="preserve"> and </w:t>
      </w:r>
      <w:r>
        <w:rPr>
          <w:i/>
        </w:rPr>
        <w:t>Regress</w:t>
      </w:r>
      <w:r>
        <w:rPr/>
        <w:t xml:space="preserve"> now offer an optional accuracy report — a stratified k-fold cross-validation giving overall accuracy plus per-class precision, recall and F1 and a confusion matrix for classification, and per-fold and overall R² and RMSE for regression, each with a class-balance summary that warns on a heavily imbalanced training set — but it is off unless you set a fold count and a report path, and it reflects only the labelled data you supply (so an unrepresentative training set gives an optimistic score). </w:t>
      </w:r>
      <w:r>
        <w:rPr>
          <w:i/>
        </w:rPr>
        <w:t>Classify</w:t>
      </w:r>
      <w:r>
        <w:rPr/>
        <w:t xml:space="preserve">, </w:t>
      </w:r>
      <w:r>
        <w:rPr>
          <w:i/>
        </w:rPr>
        <w:t>Regress</w:t>
      </w:r>
      <w:r>
        <w:rPr/>
        <w:t xml:space="preserve"> and </w:t>
      </w:r>
      <w:r>
        <w:rPr>
          <w:i/>
        </w:rPr>
        <w:t>Classify over years</w:t>
      </w:r>
      <w:r>
        <w:rPr/>
        <w:t xml:space="preserve"> also offer an opt-in </w:t>
      </w:r>
      <w:r>
        <w:rPr>
          <w:i/>
        </w:rPr>
        <w:t>Tune hyper-parameters</w:t>
      </w:r>
      <w:r>
        <w:rPr/>
        <w:t xml:space="preserve"> switch (a small cross-validated randomized search), but it is off by default, searches only a modest preset grid rather than exhaustively, and falls back to the defaults when the training set is too small; these remain first-pass models best checked against independent reference data. A fitted </w:t>
      </w:r>
      <w:r>
        <w:rPr>
          <w:i/>
        </w:rPr>
        <w:t>Classify</w:t>
      </w:r>
      <w:r>
        <w:rPr/>
        <w:t xml:space="preserve"> or </w:t>
      </w:r>
      <w:r>
        <w:rPr>
          <w:i/>
        </w:rPr>
        <w:t>Regress</w:t>
      </w:r>
      <w:r>
        <w:rPr/>
        <w:t xml:space="preserve"> model can be saved to a </w:t>
      </w:r>
      <w:r>
        <w:rPr>
          <w:rStyle w:val="VerbatimChar"/>
        </w:rPr>
        <w:t>.pkl</w:t>
      </w:r>
      <w:r>
        <w:rPr/>
        <w:t xml:space="preserve"> and reused on another scene without retraining, but a saved model is tied to the 64-band embedding and the scikit-learn version it was trained under: reusing it against a mismatched band count or a different scikit-learn version fails loudly with a clear message rather than producing a quietly wrong map. Finally, these four algorithms (</w:t>
      </w:r>
      <w:r>
        <w:rPr>
          <w:i/>
        </w:rPr>
        <w:t>Classify</w:t>
      </w:r>
      <w:r>
        <w:rPr/>
        <w:t xml:space="preserve">, </w:t>
      </w:r>
      <w:r>
        <w:rPr>
          <w:i/>
        </w:rPr>
        <w:t>Classify over years</w:t>
      </w:r>
      <w:r>
        <w:rPr/>
        <w:t xml:space="preserve">, </w:t>
      </w:r>
      <w:r>
        <w:rPr>
          <w:i/>
        </w:rPr>
        <w:t>Cluster</w:t>
      </w:r>
      <w:r>
        <w:rPr/>
        <w:t xml:space="preserve"> and </w:t>
      </w:r>
      <w:r>
        <w:rPr>
          <w:i/>
        </w:rPr>
        <w:t>Regress</w:t>
      </w:r>
      <w:r>
        <w:rPr/>
        <w:t>) will not run at all until scikit-learn is installed (§1).</w:t>
      </w:r>
    </w:p>
    <w:p>
      <w:pPr>
        <w:pStyle w:val="Heading2"/>
        <w:rPr/>
      </w:pPr>
      <w:bookmarkStart w:id="116" w:name="__RefHeading___Toc7899_3476700982"/>
      <w:bookmarkStart w:id="117" w:name="reproducibility-and-the-cloud-dependency"/>
      <w:bookmarkEnd w:id="116"/>
      <w:r>
        <w:rPr/>
        <w:t>9. Reproducibility and the cloud dependency</w:t>
      </w:r>
      <w:bookmarkEnd w:id="117"/>
    </w:p>
    <w:p>
      <w:pPr>
        <w:pStyle w:val="FirstParagraph"/>
        <w:rPr/>
      </w:pPr>
      <w:r>
        <w:rPr/>
        <w:t xml:space="preserve">Fetch-by-year depends on a live, anonymous connection to the public </w:t>
      </w:r>
      <w:r>
        <w:rPr>
          <w:rStyle w:val="VerbatimChar"/>
        </w:rPr>
        <w:t>gs://alphaearth_foundations</w:t>
      </w:r>
      <w:r>
        <w:rPr/>
        <w:t xml:space="preserve"> bucket. If the bucket is unreachable, throttled, or its object naming changes, fetch-by-year will fail (with retries and a timeout rather than a hang). The tile-selection maths and listing are pure and unit-tested offline, but the </w:t>
      </w:r>
      <w:r>
        <w:rPr>
          <w:i/>
        </w:rPr>
        <w:t>pixels</w:t>
      </w:r>
      <w:r>
        <w:rPr/>
        <w:t xml:space="preserve"> still come over the network, so a fetch-by-year run is only as reproducible as the remote data and your connection. For fully repeatable work, load once and save the clipped embedding GeoTIFF, then operate on that.</w:t>
      </w:r>
    </w:p>
    <w:p>
      <w:pPr>
        <w:pStyle w:val="BodyText"/>
        <w:rPr/>
      </w:pPr>
      <w:r>
        <w:rPr/>
        <w:t>A multi-year fetch (</w:t>
      </w:r>
      <w:r>
        <w:rPr>
          <w:i/>
        </w:rPr>
        <w:t>Load embeddings (multiple years)</w:t>
      </w:r>
      <w:r>
        <w:rPr/>
        <w:t>) inherits every one of these remote-read caveats, once per ticked year: the years are fetched sequentially, not in parallel, so wall-clock time scales with the number of years (each shares the caches, so years or zones already fetched are much faster), and a single unreadable tile degrades that one year’s mosaic exactly as it would a single-year run. It also does no cross-year gap-filling or harmonisation — each year is fetched and de-quantised independently — so a pixel that is no-data in one year is simply no-data in that year’s raster.</w:t>
      </w:r>
    </w:p>
    <w:p>
      <w:pPr>
        <w:pStyle w:val="BodyText"/>
        <w:rPr/>
      </w:pPr>
      <w:r>
        <w:rPr/>
        <w:t xml:space="preserve">There is also an inherent first-run cost, though v0.5.1 cuts it substantially. AlphaEarth tile filenames carry no </w:t>
      </w:r>
      <w:r>
        <w:rPr>
          <w:i/>
        </w:rPr>
        <w:t>global</w:t>
      </w:r>
      <w:r>
        <w:rPr/>
        <w:t xml:space="preserve"> grid position — the two integers in a name are only that scene’s per-tile pixel offsets, and there is no published grid origin — so the toolbox still cannot read a tile’s location from its name alone. What it </w:t>
      </w:r>
      <w:r>
        <w:rPr>
          <w:i/>
        </w:rPr>
        <w:t>can</w:t>
      </w:r>
      <w:r>
        <w:rPr/>
        <w:t xml:space="preserve"> do is group the zone’s tiles by their scene hash, read one “anchor” tile per scene, and from that anchor’s footprint plus the scene’s known pixel offsets compute a deliberately generous over-estimate of the whole scene’s extent; scenes whose over-estimate cannot touch the area of interest are dropped without reading their tiles, and only the surviving scenes are header-scanned tile-by-tile for exact footprints. That turns the slow 0–90 % phase of a first fetch from roughly one remote read per </w:t>
      </w:r>
      <w:r>
        <w:rPr>
          <w:i/>
        </w:rPr>
        <w:t>tile</w:t>
      </w:r>
      <w:r>
        <w:rPr/>
        <w:t xml:space="preserve"> into roughly one per </w:t>
      </w:r>
      <w:r>
        <w:rPr>
          <w:i/>
        </w:rPr>
        <w:t>scene</w:t>
      </w:r>
      <w:r>
        <w:rPr/>
        <w:t xml:space="preserve"> — commonly a few times fewer reads — without changing which tiles are ultimately selected (the over-estimate can only over-include, and the final choice always uses exact scanned footprints). The cost still scales with the </w:t>
      </w:r>
      <w:r>
        <w:rPr>
          <w:i/>
        </w:rPr>
        <w:t>zone</w:t>
      </w:r>
      <w:r>
        <w:rPr/>
        <w:t xml:space="preserve"> rather than the (possibly tiny) area requested, and a first fetch of a new year-and-region combination still pays for the scene anchors; eliminating it entirely would need a published tile index or grid origin that AlphaEarth V1 does not provide. On top of this, the per-</w:t>
      </w:r>
      <w:r>
        <w:rPr>
          <w:rStyle w:val="VerbatimChar"/>
        </w:rPr>
        <w:t>(year, zone)</w:t>
      </w:r>
      <w:r>
        <w:rPr/>
        <w:t xml:space="preserve"> footprint cache removes already-seen tiles on repeat runs, and a listing + anchor cache lets a later run over a </w:t>
      </w:r>
      <w:r>
        <w:rPr>
          <w:i/>
        </w:rPr>
        <w:t>different</w:t>
      </w:r>
      <w:r>
        <w:rPr/>
        <w:t xml:space="preserve"> AOI in the same zone skip re-listing and re-cull its scenes with no new reads. By default these caches live under the OS temp directory, so they are typically discarded between sessions and a fresh QGIS session pays the discovery cost again; an opt-in advanced option (“Remember the tile index across sessions”) instead persists them under the QGIS profile directory so a later session over the same zone reuses that work. A single tile whose header cannot be read is skipped rather than failing the run (see Methodology §3), and the count of such skipped tiles is now reported as a warning, so a flaky tile degrades completeness slightly (and visibly) rather than aborting the fetch.</w:t>
      </w:r>
    </w:p>
    <w:p>
      <w:pPr>
        <w:pStyle w:val="Heading2"/>
        <w:rPr/>
      </w:pPr>
      <w:bookmarkStart w:id="118" w:name="__RefHeading___Toc7901_3476700982"/>
      <w:bookmarkStart w:id="119" w:name="testing-maturity"/>
      <w:bookmarkEnd w:id="118"/>
      <w:r>
        <w:rPr/>
        <w:t>10. Testing maturity</w:t>
      </w:r>
      <w:bookmarkEnd w:id="119"/>
    </w:p>
    <w:p>
      <w:pPr>
        <w:pStyle w:val="FirstParagraph"/>
        <w:rPr/>
      </w:pPr>
      <w:r>
        <w:rPr/>
        <w:t>The pure tiers are well covered — as of v0.9.0, 266 unit tests exercise the NumPy similarity, change, sampling, RGB and ML cores (including the stratified cross-validation, confusion-matrix and class-balance maths, the post-classification transition/changed-mask/label helpers, and the randomized-search and parameter-grid primitives that back the opt-in tuning), the change-report core (summary statistics, histogram, area-fractions with hectares, over-time series, scatter sub-sampling and the standalone HTML/CSV rendering — all with no matplotlib present), the pure model-save/ load round-trip and its version/band-count validation, the preset registries, the scikit-learn detection plumbing (with an injected subprocess runner, so nothing is actually installed in tests), the standard-library tile-discovery helpers (with an injected fetch, so no network) — including scene grouping, the conservative extent over-estimate, the listing/anchor and footprint caches added in v0.5.1, the persistent-cache directory logic, and the v0.6.0 multi-year helpers (the tick-box-index → year mapping with sort/dedup and out-of-range rejection, and the per-year output naming) — and the source-resolution policy. The GDAL layer now has round-trip and rasterio-parity tests (</w:t>
      </w:r>
      <w:r>
        <w:rPr>
          <w:rStyle w:val="VerbatimChar"/>
        </w:rPr>
        <w:t>tests/test_raster_gdal.py</w:t>
      </w:r>
      <w:r>
        <w:rPr/>
        <w:t xml:space="preserve">) for </w:t>
      </w:r>
      <w:r>
        <w:rPr>
          <w:rStyle w:val="VerbatimChar"/>
        </w:rPr>
        <w:t>aecore._raster</w:t>
      </w:r>
      <w:r>
        <w:rPr/>
        <w:t>; these skip automatically where GDAL is absent, so they run in the QGIS/GDAL container job (which now covers both the 3.34 LTR image and a moving Qt6/QGIS 4 image) but not in the pure “checks” job.</w:t>
      </w:r>
    </w:p>
    <w:p>
      <w:pPr>
        <w:pStyle w:val="BodyText"/>
        <w:rPr/>
      </w:pPr>
      <w:r>
        <w:rPr/>
        <w:t xml:space="preserve">Coverage of the QGIS-backed paths has broadened. </w:t>
      </w:r>
      <w:r>
        <w:rPr>
          <w:rStyle w:val="VerbatimChar"/>
        </w:rPr>
        <w:t>tests/test_algorithms_qgis.py</w:t>
      </w:r>
      <w:r>
        <w:rPr/>
        <w:t xml:space="preserve"> now registers the provider in a headless QGIS and runs each offline algorithm (RGB, similarity, change, extract, and classify where scikit-learn is present) end-to-end through </w:t>
      </w:r>
      <w:r>
        <w:rPr>
          <w:rStyle w:val="VerbatimChar"/>
        </w:rPr>
        <w:t>processing.run</w:t>
      </w:r>
      <w:r>
        <w:rPr/>
        <w:t xml:space="preserve"> on synthetic inputs, asserting the provider exposes all twelve algorithm ids; it skips where </w:t>
      </w:r>
      <w:r>
        <w:rPr>
          <w:rStyle w:val="VerbatimChar"/>
        </w:rPr>
        <w:t>qgis.core</w:t>
      </w:r>
      <w:r>
        <w:rPr/>
        <w:t xml:space="preserve"> is absent and so runs for real in the QGIS/GDAL container. Even so, the cloud fetch-by-year path (which needs live network access, and so is not exercised for </w:t>
      </w:r>
      <w:r>
        <w:rPr>
          <w:i/>
        </w:rPr>
        <w:t>Classify over years</w:t>
      </w:r>
      <w:r>
        <w:rPr/>
        <w:t xml:space="preserve"> either), the wizard GUI and the guided scikit-learn install are still only compile-checked and covered by design, not by an automated run, and none of the twelve </w:t>
      </w:r>
      <w:r>
        <w:rPr>
          <w:rStyle w:val="VerbatimChar"/>
        </w:rPr>
        <w:t>processAlgorithm</w:t>
      </w:r>
      <w:r>
        <w:rPr/>
        <w:t xml:space="preserve"> bodies has yet been exercised inside a full, interactive QGIS. A real-QGIS smoke test (installing the ZIP into QGIS 3.34 LTR and a Qt6/QGIS 4.x build and working through fetch-by-year, RGB, similarity, change, extract and the ML tier — see </w:t>
      </w:r>
      <w:r>
        <w:rPr>
          <w:rStyle w:val="VerbatimChar"/>
        </w:rPr>
        <w:t>SMOKE_TEST.md</w:t>
      </w:r>
      <w:r>
        <w:rPr/>
        <w:t>) is the outstanding pre-release step. Until it is signed off, treat the QGIS-backed behaviour as “expected to work” rather than “verified”, which is why the plugin stays flagged experimental.</w:t>
      </w:r>
    </w:p>
    <w:p>
      <w:pPr>
        <w:pStyle w:val="Heading2"/>
        <w:rPr/>
      </w:pPr>
      <w:bookmarkStart w:id="120" w:name="__RefHeading___Toc7903_3476700982"/>
      <w:bookmarkStart w:id="121" w:name="not-a-substitute-for-field-validation"/>
      <w:bookmarkEnd w:id="120"/>
      <w:r>
        <w:rPr/>
        <w:t>11. Not a substitute for field validation</w:t>
      </w:r>
      <w:bookmarkEnd w:id="121"/>
    </w:p>
    <w:p>
      <w:pPr>
        <w:pStyle w:val="FirstParagraph"/>
        <w:rPr/>
      </w:pPr>
      <w:r>
        <w:rPr/>
        <w:t>Finally, the toolbox produces analytical layers, not ground truth. Similarity maps, change surfaces and classifications are hypotheses to be checked against reference data and local knowledge, especially for decisions with real consequences. The plugin’s own metadata says as much: “not a substitute for field validation.”</w:t>
      </w:r>
    </w:p>
    <w:p>
      <w:pPr>
        <w:pStyle w:val="Normal"/>
        <w:rPr/>
      </w:pPr>
      <w:r>
        <w:rPr/>
      </w:r>
      <w:r>
        <w:br w:type="page"/>
      </w:r>
    </w:p>
    <w:p>
      <w:pPr>
        <w:pStyle w:val="Heading1"/>
        <w:spacing w:before="0" w:after="0"/>
        <w:rPr/>
      </w:pPr>
      <w:bookmarkStart w:id="122" w:name="__RefHeading___Toc7905_3476700982"/>
      <w:bookmarkStart w:id="123" w:name="roadmap-future-possibilities"/>
      <w:bookmarkEnd w:id="122"/>
      <w:r>
        <w:rPr/>
        <w:t>Roadmap &amp; Future Possibilities</w:t>
      </w:r>
      <w:bookmarkEnd w:id="123"/>
    </w:p>
    <w:p>
      <w:pPr>
        <w:pStyle w:val="FirstParagraph"/>
        <w:rPr/>
      </w:pPr>
      <w:r>
        <w:rPr>
          <w:i/>
        </w:rPr>
        <w:t>AlphaEarth Toolbox for QGIS — v0.10.0</w:t>
      </w:r>
    </w:p>
    <w:p>
      <w:pPr>
        <w:pStyle w:val="BodyText"/>
        <w:rPr/>
      </w:pPr>
      <w:r>
        <w:rPr/>
        <w:t xml:space="preserve">This document lays out where the toolbox is heading. The scoped feature set from </w:t>
      </w:r>
      <w:r>
        <w:rPr>
          <w:rStyle w:val="VerbatimChar"/>
        </w:rPr>
        <w:t>SCOPE.md</w:t>
      </w:r>
      <w:r>
        <w:rPr/>
        <w:t xml:space="preserve"> was completed at v0.4.0 — the guided wizard and the machine-learning tier are in place — the v0.5.x line adds performance and memory hardening for large areas (v0.5.0 caching and float32; v0.5.1 scene-grouped culling of the first-fetch tile scan), v0.6.0 adds a ninth algorithm, </w:t>
      </w:r>
      <w:r>
        <w:rPr>
          <w:i/>
        </w:rPr>
        <w:t>Load embeddings (multiple years)</w:t>
      </w:r>
      <w:r>
        <w:rPr/>
        <w:t xml:space="preserve">, that fetches several years over one area of interest as aligned per-year rasters, v0.7.0 adds a tenth, </w:t>
      </w:r>
      <w:r>
        <w:rPr>
          <w:i/>
        </w:rPr>
        <w:t>Change over years</w:t>
      </w:r>
      <w:r>
        <w:rPr/>
        <w:t xml:space="preserve"> (a one-step fetch-and-compare), together with model save/reuse and an optional cross-validation accuracy report for the machine-learning tier, a preset library, a durable cross-session tile cache and QGIS-backed regression tests, v0.8.0 adds an eleventh, </w:t>
      </w:r>
      <w:r>
        <w:rPr>
          <w:i/>
        </w:rPr>
        <w:t>Change report</w:t>
      </w:r>
      <w:r>
        <w:rPr/>
        <w:t xml:space="preserve">, that turns any single-band change raster into a distribution, threshold, over-time and scatter report written as HTML, PNG, CSV and/or PDF (with the same report offered as an opt-in extra on both change algorithms and in the wizard), and v0.9.0 adds a twelfth, </w:t>
      </w:r>
      <w:r>
        <w:rPr>
          <w:i/>
        </w:rPr>
        <w:t>Classify over years</w:t>
      </w:r>
      <w:r>
        <w:rPr/>
        <w:t xml:space="preserve"> (a one-step fetch-and-classify across a tick-box set of years, the classification analogue of </w:t>
      </w:r>
      <w:r>
        <w:rPr>
          <w:i/>
        </w:rPr>
        <w:t>Change over years</w:t>
      </w:r>
      <w:r>
        <w:rPr/>
        <w:t>), together with an opt-in hyper-parameter-tuning switch for the supervised tier and an automatic-k option for clustering. The roadmap now centres on the remaining path to a public listing and the longer-horizon possibilities beyond it. It is a plan of intent, not a commitment to dates.</w:t>
      </w:r>
    </w:p>
    <w:p>
      <w:pPr>
        <w:pStyle w:val="Heading2"/>
        <w:rPr/>
      </w:pPr>
      <w:bookmarkStart w:id="124" w:name="__RefHeading___Toc7907_3476700982"/>
      <w:bookmarkStart w:id="125" w:name="where-things-stand"/>
      <w:bookmarkEnd w:id="124"/>
      <w:r>
        <w:rPr/>
        <w:t>1. Where things stand</w:t>
      </w:r>
      <w:bookmarkEnd w:id="125"/>
    </w:p>
    <w:p>
      <w:pPr>
        <w:pStyle w:val="FirstParagraph"/>
        <w:rPr/>
      </w:pPr>
      <w:r>
        <w:rPr/>
        <w:t xml:space="preserve">The no-dependency tier is complete: </w:t>
      </w:r>
      <w:r>
        <w:rPr>
          <w:i/>
        </w:rPr>
        <w:t>Load embedding</w:t>
      </w:r>
      <w:r>
        <w:rPr/>
        <w:t xml:space="preserve"> (including no-sign-in fetch-by-year from the public GCS bucket), </w:t>
      </w:r>
      <w:r>
        <w:rPr>
          <w:i/>
        </w:rPr>
        <w:t>Load embeddings (multiple years)</w:t>
      </w:r>
      <w:r>
        <w:rPr/>
        <w:t xml:space="preserve"> (the same fetch across a tick-box set of years onto one shared grid), </w:t>
      </w:r>
      <w:r>
        <w:rPr>
          <w:i/>
        </w:rPr>
        <w:t>Embedding → RGB</w:t>
      </w:r>
      <w:r>
        <w:rPr/>
        <w:t xml:space="preserve">, </w:t>
      </w:r>
      <w:r>
        <w:rPr>
          <w:i/>
        </w:rPr>
        <w:t>Similarity search</w:t>
      </w:r>
      <w:r>
        <w:rPr/>
        <w:t xml:space="preserve">, </w:t>
      </w:r>
      <w:r>
        <w:rPr>
          <w:i/>
        </w:rPr>
        <w:t>Change / trajectory</w:t>
      </w:r>
      <w:r>
        <w:rPr/>
        <w:t xml:space="preserve">, </w:t>
      </w:r>
      <w:r>
        <w:rPr>
          <w:i/>
        </w:rPr>
        <w:t>Change over years</w:t>
      </w:r>
      <w:r>
        <w:rPr/>
        <w:t xml:space="preserve"> (the one-step fetch-and-compare added in v0.7.0), </w:t>
      </w:r>
      <w:r>
        <w:rPr>
          <w:i/>
        </w:rPr>
        <w:t>Change report</w:t>
      </w:r>
      <w:r>
        <w:rPr/>
        <w:t xml:space="preserve"> (the distribution/threshold/ over-time/scatter report added in v0.8.0, written as HTML, PNG, CSV and/or PDF) and </w:t>
      </w:r>
      <w:r>
        <w:rPr>
          <w:i/>
        </w:rPr>
        <w:t>Extract training samples</w:t>
      </w:r>
      <w:r>
        <w:rPr/>
        <w:t xml:space="preserve">. The scikit-learn tier is complete: </w:t>
      </w:r>
      <w:r>
        <w:rPr>
          <w:i/>
        </w:rPr>
        <w:t>Classify</w:t>
      </w:r>
      <w:r>
        <w:rPr/>
        <w:t xml:space="preserve"> (with a per-pixel confidence output), </w:t>
      </w:r>
      <w:r>
        <w:rPr>
          <w:i/>
        </w:rPr>
        <w:t>Classify over years</w:t>
      </w:r>
      <w:r>
        <w:rPr/>
        <w:t xml:space="preserve"> (the one-step fetch-and-classify added in v0.9.0, writing a folder of per-year class rasters plus an optional transition raster and changed/unchanged mask), </w:t>
      </w:r>
      <w:r>
        <w:rPr>
          <w:i/>
        </w:rPr>
        <w:t>Cluster</w:t>
      </w:r>
      <w:r>
        <w:rPr/>
        <w:t xml:space="preserve"> and </w:t>
      </w:r>
      <w:r>
        <w:rPr>
          <w:i/>
        </w:rPr>
        <w:t>Regress</w:t>
      </w:r>
      <w:r>
        <w:rPr/>
        <w:t xml:space="preserve">, each detecting scikit-learn at runtime and offering a one-click guided install rather than being a hard dependency; </w:t>
      </w:r>
      <w:r>
        <w:rPr>
          <w:i/>
        </w:rPr>
        <w:t>Classify</w:t>
      </w:r>
      <w:r>
        <w:rPr/>
        <w:t xml:space="preserve"> and </w:t>
      </w:r>
      <w:r>
        <w:rPr>
          <w:i/>
        </w:rPr>
        <w:t>Regress</w:t>
      </w:r>
      <w:r>
        <w:rPr/>
        <w:t xml:space="preserve"> also save and reuse a fitted model and can produce an optional cross-validation accuracy report, </w:t>
      </w:r>
      <w:r>
        <w:rPr>
          <w:i/>
        </w:rPr>
        <w:t>Classify</w:t>
      </w:r>
      <w:r>
        <w:rPr/>
        <w:t xml:space="preserve">, </w:t>
      </w:r>
      <w:r>
        <w:rPr>
          <w:i/>
        </w:rPr>
        <w:t>Regress</w:t>
      </w:r>
      <w:r>
        <w:rPr/>
        <w:t xml:space="preserve"> and </w:t>
      </w:r>
      <w:r>
        <w:rPr>
          <w:i/>
        </w:rPr>
        <w:t>Classify over years</w:t>
      </w:r>
      <w:r>
        <w:rPr/>
        <w:t xml:space="preserve"> can opt in to a cross-validated hyper-parameter search, and </w:t>
      </w:r>
      <w:r>
        <w:rPr>
          <w:i/>
        </w:rPr>
        <w:t>Cluster</w:t>
      </w:r>
      <w:r>
        <w:rPr/>
        <w:t xml:space="preserve"> can choose its k automatically by silhouette. The dialog is the guided tabbed wizard with a draw-AOI extent, year and CRS pickers, a multi-year tick-list, preset drop-downs, an RGB preview, an install button and off-GUI-thread execution with progress and Cancel. Four quality gates are green, the pure suite is 266 tests, GDAL round-trip/parity tests and QGIS-backed algorithm regression tests run in the QGIS/GDAL CI container, and the ZIP builder is byte-reproducible. What remains is real-QGIS verification and the mechanics of publishing.</w:t>
      </w:r>
    </w:p>
    <w:p>
      <w:pPr>
        <w:pStyle w:val="Heading2"/>
        <w:rPr/>
      </w:pPr>
      <w:bookmarkStart w:id="126" w:name="__RefHeading___Toc7909_3476700982"/>
      <w:bookmarkStart w:id="127" w:name="milestones-m1m3-delivered"/>
      <w:bookmarkEnd w:id="126"/>
      <w:r>
        <w:rPr/>
        <w:t>2. Milestones M1–M3 — delivered</w:t>
      </w:r>
      <w:bookmarkEnd w:id="127"/>
    </w:p>
    <w:p>
      <w:pPr>
        <w:pStyle w:val="FirstParagraph"/>
        <w:rPr/>
      </w:pPr>
      <w:r>
        <w:rPr/>
        <w:t xml:space="preserve">The no-dependency completion (M1), the scikit-learn tier (M2) and the guided dialog (M3) have all shipped. </w:t>
      </w:r>
      <w:r>
        <w:rPr>
          <w:i/>
        </w:rPr>
        <w:t>Embedding → RGB</w:t>
      </w:r>
      <w:r>
        <w:rPr/>
        <w:t xml:space="preserve"> (</w:t>
      </w:r>
      <w:r>
        <w:rPr>
          <w:rStyle w:val="VerbatimChar"/>
        </w:rPr>
        <w:t>alphaearth:torgb</w:t>
      </w:r>
      <w:r>
        <w:rPr/>
        <w:t xml:space="preserve">) closed out M1 by reducing the 64 bands to a three-band view (PCA-to-3 or a band triplet, with a percentile stretch). M2 added </w:t>
      </w:r>
      <w:r>
        <w:rPr>
          <w:i/>
        </w:rPr>
        <w:t>Classify</w:t>
      </w:r>
      <w:r>
        <w:rPr/>
        <w:t xml:space="preserve">, </w:t>
      </w:r>
      <w:r>
        <w:rPr>
          <w:i/>
        </w:rPr>
        <w:t>Cluster</w:t>
      </w:r>
      <w:r>
        <w:rPr/>
        <w:t xml:space="preserve"> and </w:t>
      </w:r>
      <w:r>
        <w:rPr>
          <w:i/>
        </w:rPr>
        <w:t>Regress</w:t>
      </w:r>
      <w:r>
        <w:rPr/>
        <w:t xml:space="preserve"> on top of a pure-NumPy ML core (</w:t>
      </w:r>
      <w:r>
        <w:rPr>
          <w:rStyle w:val="VerbatimChar"/>
        </w:rPr>
        <w:t>aecore.ml</w:t>
      </w:r>
      <w:r>
        <w:rPr/>
        <w:t>) and a stdlib detect/guided-install helper (</w:t>
      </w:r>
      <w:r>
        <w:rPr>
          <w:rStyle w:val="VerbatimChar"/>
        </w:rPr>
        <w:t>algorithms._sklearn</w:t>
      </w:r>
      <w:r>
        <w:rPr/>
        <w:t xml:space="preserve">), reusing analytics proven in the sibling </w:t>
      </w:r>
      <w:r>
        <w:rPr>
          <w:rStyle w:val="VerbatimChar"/>
        </w:rPr>
        <w:t>alphaearth-classify</w:t>
      </w:r>
      <w:r>
        <w:rPr/>
        <w:t xml:space="preserve">, </w:t>
      </w:r>
      <w:r>
        <w:rPr>
          <w:rStyle w:val="VerbatimChar"/>
        </w:rPr>
        <w:t>alphaearth-lulc</w:t>
      </w:r>
      <w:r>
        <w:rPr/>
        <w:t xml:space="preserve"> and </w:t>
      </w:r>
      <w:r>
        <w:rPr>
          <w:rStyle w:val="VerbatimChar"/>
        </w:rPr>
        <w:t>alphaearth-urban-growth</w:t>
      </w:r>
      <w:r>
        <w:rPr/>
        <w:t xml:space="preserve"> packages. M3 replaced the launcher stub with the tabbed wizard (Load / Visualise, Classify, Similarity, Change), a draw-AOI map tool and off-thread execution via </w:t>
      </w:r>
      <w:r>
        <w:rPr>
          <w:rStyle w:val="VerbatimChar"/>
        </w:rPr>
        <w:t>QgsProcessingAlgRunnerTask</w:t>
      </w:r>
      <w:r>
        <w:rPr/>
        <w:t xml:space="preserve">. Each followed the house pattern — pure maths in </w:t>
      </w:r>
      <w:r>
        <w:rPr>
          <w:rStyle w:val="VerbatimChar"/>
        </w:rPr>
        <w:t>aecore/</w:t>
      </w:r>
      <w:r>
        <w:rPr/>
        <w:t xml:space="preserve"> with unit tests, thin </w:t>
      </w:r>
      <w:r>
        <w:rPr>
          <w:rStyle w:val="VerbatimChar"/>
        </w:rPr>
        <w:t>QgsProcessingAlgorithm</w:t>
      </w:r>
      <w:r>
        <w:rPr/>
        <w:t xml:space="preserve"> wrappers, import-light boundary preserved.</w:t>
      </w:r>
    </w:p>
    <w:p>
      <w:pPr>
        <w:pStyle w:val="Heading2"/>
        <w:rPr/>
      </w:pPr>
      <w:bookmarkStart w:id="128" w:name="__RefHeading___Toc7911_3476700982"/>
      <w:bookmarkStart w:id="129" w:name="X9dd3b7b1262f88aaa89e0471b5be4e0110cc27e"/>
      <w:bookmarkEnd w:id="128"/>
      <w:r>
        <w:rPr/>
        <w:t>3. Milestone M4 — hardening and public release (in progress)</w:t>
      </w:r>
      <w:bookmarkEnd w:id="129"/>
    </w:p>
    <w:p>
      <w:pPr>
        <w:pStyle w:val="FirstParagraph"/>
        <w:rPr/>
      </w:pPr>
      <w:r>
        <w:rPr/>
        <w:t xml:space="preserve">The in-sandbox hardening is done: GDAL round-trip and rasterio-parity tests (gated to skip where GDAL is absent), a CI QGIS/GDAL job that runs over both the 3.34 LTR image (gating) and a moving Qt6/QGIS 4 image (informational), the version bump and changelog, and the release notes and smoke-test checklist. The v0.5.0 release extended this with performance and memory work for large areas — a persistent tile-footprint cache that skips the network scan on repeat runs, a float32-throughout cube that halves working memory, a large-AOI warning with a single-pass GeoTIFF write, and warp progress/cancel with dtype-control tests — and v0.5.1 attacked the one cost the cache could not, the </w:t>
      </w:r>
      <w:r>
        <w:rPr>
          <w:i/>
        </w:rPr>
        <w:t>first</w:t>
      </w:r>
      <w:r>
        <w:rPr/>
        <w:t xml:space="preserve"> fetch: tiles are now grouped by scene, one anchor tile per scene is read, and scenes that cannot touch the AOI are culled before their tiles are scanned (roughly one read per scene instead of one per tile), with the zone listing and scene anchors also cached and unreadable tiles reported as a warning. v0.6.0 then added the </w:t>
      </w:r>
      <w:r>
        <w:rPr>
          <w:i/>
        </w:rPr>
        <w:t>Load embeddings (multiple years)</w:t>
      </w:r>
      <w:r>
        <w:rPr/>
        <w:t xml:space="preserve"> algorithm and its wizard tick-list, reusing that same fetch path per year over a grid sized once so the per-year outputs are pixel-aligned, and v0.7.0 added the tenth algorithm, </w:t>
      </w:r>
      <w:r>
        <w:rPr>
          <w:i/>
        </w:rPr>
        <w:t>Change over years</w:t>
      </w:r>
      <w:r>
        <w:rPr/>
        <w:t>, the model save/reuse and cross-validation accuracy report for the ML tier, the preset library, the durable cross-session tile cache, and a QGIS-backed regression suite (</w:t>
      </w:r>
      <w:r>
        <w:rPr>
          <w:rStyle w:val="VerbatimChar"/>
        </w:rPr>
        <w:t>tests/test_algorithms_qgis.py</w:t>
      </w:r>
      <w:r>
        <w:rPr/>
        <w:t xml:space="preserve">) that runs each offline algorithm end-to-end in the container, and v0.8.0 added the eleventh, </w:t>
      </w:r>
      <w:r>
        <w:rPr>
          <w:i/>
        </w:rPr>
        <w:t>Change report</w:t>
      </w:r>
      <w:r>
        <w:rPr/>
        <w:t>, with a pure-NumPy report core (</w:t>
      </w:r>
      <w:r>
        <w:rPr>
          <w:rStyle w:val="VerbatimChar"/>
        </w:rPr>
        <w:t>aecore.report</w:t>
      </w:r>
      <w:r>
        <w:rPr/>
        <w:t xml:space="preserve">), dependency-free HTML/CSV rendering and matplotlib-gated PNG/PDF, offered both standalone and as an opt-in extra on the two change algorithms. v0.9.0 added the twelfth, </w:t>
      </w:r>
      <w:r>
        <w:rPr>
          <w:i/>
        </w:rPr>
        <w:t>Classify over years</w:t>
      </w:r>
      <w:r>
        <w:rPr/>
        <w:t xml:space="preserve"> — a one-step fetch-and-classify that trains one model on the most recent ticked year and maps every year onto a shared grid, with an optional transition raster and changed/unchanged mask — plus an opt-in cross-validated hyper-parameter search for </w:t>
      </w:r>
      <w:r>
        <w:rPr>
          <w:i/>
        </w:rPr>
        <w:t>Classify</w:t>
      </w:r>
      <w:r>
        <w:rPr/>
        <w:t xml:space="preserve">, </w:t>
      </w:r>
      <w:r>
        <w:rPr>
          <w:i/>
        </w:rPr>
        <w:t>Regress</w:t>
      </w:r>
      <w:r>
        <w:rPr/>
        <w:t xml:space="preserve"> and </w:t>
      </w:r>
      <w:r>
        <w:rPr>
          <w:i/>
        </w:rPr>
        <w:t>Classify over years</w:t>
      </w:r>
      <w:r>
        <w:rPr/>
        <w:t xml:space="preserve"> and an automatic-k option for </w:t>
      </w:r>
      <w:r>
        <w:rPr>
          <w:i/>
        </w:rPr>
        <w:t>Cluster</w:t>
      </w:r>
      <w:r>
        <w:rPr/>
        <w:t xml:space="preserve">, all default-off and backed by a pure-NumPy search driver. The remaining steps need a real QGIS and a maintainer’s machine: work through </w:t>
      </w:r>
      <w:r>
        <w:rPr>
          <w:rStyle w:val="VerbatimChar"/>
        </w:rPr>
        <w:t>docs/SMOKE_TEST.md</w:t>
      </w:r>
      <w:r>
        <w:rPr/>
        <w:t xml:space="preserve"> in QGIS 3.34 LTR (Qt5) and a Qt6/QGIS 4.x build — an actual fetch-by-year, a multi-year tick-box fetch, RGB, similarity, change, the one-step change-over-years, the change report, extract and an ML run with the guided install — then push the repository, cut a GitHub Release with the ZIP as an asset, submit to plugins.qgis.org, and clear the </w:t>
      </w:r>
      <w:r>
        <w:rPr>
          <w:rStyle w:val="VerbatimChar"/>
        </w:rPr>
        <w:t>experimental</w:t>
      </w:r>
      <w:r>
        <w:rPr/>
        <w:t xml:space="preserve"> flag once that coverage justifies it.</w:t>
      </w:r>
    </w:p>
    <w:p>
      <w:pPr>
        <w:pStyle w:val="Heading2"/>
        <w:rPr/>
      </w:pPr>
      <w:bookmarkStart w:id="130" w:name="__RefHeading___Toc7913_3476700982"/>
      <w:bookmarkStart w:id="131" w:name="longer-horizon-possibilities"/>
      <w:bookmarkEnd w:id="130"/>
      <w:r>
        <w:rPr/>
        <w:t>4. Longer-horizon possibilities</w:t>
      </w:r>
      <w:bookmarkEnd w:id="131"/>
    </w:p>
    <w:p>
      <w:pPr>
        <w:pStyle w:val="FirstParagraph"/>
        <w:rPr/>
      </w:pPr>
      <w:r>
        <w:rPr/>
        <w:t>Beyond the scoped milestones, several directions would deepen the toolbox. Pluggable embedding backends would let the same algorithms run over Clay, Prithvi or SatlasPretrain embeddings alongside AlphaEarth, turning the plugin into a general embedding workbench rather than an AlphaEarth-only tool. Model persistence and reuse — delivered in v0.7.0 — now lets a classifier or regressor trained on one area be saved and applied to another without retraining. An active-learning labelling loop would let users iteratively refine seeds or training data against the model’s current predictions. Cloud-native COG outputs and time-series dashboards would suit operational monitoring. And the preset library, also delivered in v0.7.0, gives domain users a running start with named starting points for RGB, similarity, clustering and change; extending it to targeted profiles — fuel and land cover for the wildland-urban interface, built-up fraction, canopy — is the natural next step.</w:t>
      </w:r>
    </w:p>
    <w:p>
      <w:pPr>
        <w:pStyle w:val="Heading2"/>
        <w:rPr/>
      </w:pPr>
      <w:bookmarkStart w:id="132" w:name="__RefHeading___Toc7915_3476700982"/>
      <w:bookmarkStart w:id="133" w:name="Xe0ce2b820a0845f82625b7e3e749f5632ed77b6"/>
      <w:bookmarkEnd w:id="132"/>
      <w:r>
        <w:rPr/>
        <w:t>5. Known follow-ups carried into future releases</w:t>
      </w:r>
      <w:bookmarkEnd w:id="133"/>
    </w:p>
    <w:p>
      <w:pPr>
        <w:pStyle w:val="FirstParagraph"/>
        <w:spacing w:before="180" w:after="180"/>
        <w:rPr/>
      </w:pPr>
      <w:r>
        <w:rPr/>
        <w:t xml:space="preserve">Several items once queued here have since shipped. In v0.7.0: built-in accuracy assessment via a stratified cross-validation report moved the ML tier from “first-pass model” toward “defensible result”; </w:t>
      </w:r>
      <w:r>
        <w:rPr>
          <w:i/>
        </w:rPr>
        <w:t>Change over years</w:t>
      </w:r>
      <w:r>
        <w:rPr/>
        <w:t xml:space="preserve"> added the one-step fetch-and-align-and-compare convenience so </w:t>
      </w:r>
      <w:r>
        <w:rPr>
          <w:i/>
        </w:rPr>
        <w:t>Change</w:t>
      </w:r>
      <w:r>
        <w:rPr/>
        <w:t xml:space="preserve"> no longer always needs its years pre-loaded onto a shared grid; and container-run regression tests (</w:t>
      </w:r>
      <w:r>
        <w:rPr>
          <w:rStyle w:val="VerbatimChar"/>
        </w:rPr>
        <w:t>tests/test_algorithms_qgis.py</w:t>
      </w:r>
      <w:r>
        <w:rPr/>
        <w:t xml:space="preserve">) now exercise the QGIS-backed </w:t>
      </w:r>
      <w:r>
        <w:rPr>
          <w:rStyle w:val="VerbatimChar"/>
        </w:rPr>
        <w:t>processAlgorithm</w:t>
      </w:r>
      <w:r>
        <w:rPr/>
        <w:t xml:space="preserve"> paths end-to-end in CI rather than waiting on the manual smoke test. The two items that remained open in this vein both shipped in v0.9.0: the matching one-step “fetch years and classify” flow arrived as </w:t>
      </w:r>
      <w:r>
        <w:rPr>
          <w:i/>
        </w:rPr>
        <w:t>Classify over years</w:t>
      </w:r>
      <w:r>
        <w:rPr/>
        <w:t xml:space="preserve"> (</w:t>
      </w:r>
      <w:r>
        <w:rPr>
          <w:rStyle w:val="VerbatimChar"/>
        </w:rPr>
        <w:t>alphaearth:classifyyears</w:t>
      </w:r>
      <w:r>
        <w:rPr/>
        <w:t xml:space="preserve">), and the ML tier gained opt-in hyper-parameter tuning (a cross-validated randomized search for </w:t>
      </w:r>
      <w:r>
        <w:rPr>
          <w:i/>
        </w:rPr>
        <w:t>Classify</w:t>
      </w:r>
      <w:r>
        <w:rPr/>
        <w:t xml:space="preserve">, </w:t>
      </w:r>
      <w:r>
        <w:rPr>
          <w:i/>
        </w:rPr>
        <w:t>Regress</w:t>
      </w:r>
      <w:r>
        <w:rPr/>
        <w:t xml:space="preserve"> and </w:t>
      </w:r>
      <w:r>
        <w:rPr>
          <w:i/>
        </w:rPr>
        <w:t>Classify over years</w:t>
      </w:r>
      <w:r>
        <w:rPr/>
        <w:t xml:space="preserve">, and an automatic-k choice for </w:t>
      </w:r>
      <w:r>
        <w:rPr>
          <w:i/>
        </w:rPr>
        <w:t>Cluster</w:t>
      </w:r>
      <w:r>
        <w:rPr/>
        <w:t>) beyond the fixed defaults. Both are default-off and fall back to the defaults with a warning when the training data is too small to search safely. With those delivered, the near-term work is now the real-QGIS smoke test and the publishing mechanics rather than new algorithms.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ARCHITECTURE.md" TargetMode="External"/><Relationship Id="rId3" Type="http://schemas.openxmlformats.org/officeDocument/2006/relationships/hyperlink" Target="METHODOLOGY.md" TargetMode="External"/><Relationship Id="rId4" Type="http://schemas.openxmlformats.org/officeDocument/2006/relationships/hyperlink" Target="USER_GUIDE.md" TargetMode="External"/><Relationship Id="rId5" Type="http://schemas.openxmlformats.org/officeDocument/2006/relationships/hyperlink" Target="LIMITATIONS.md" TargetMode="External"/><Relationship Id="rId6" Type="http://schemas.openxmlformats.org/officeDocument/2006/relationships/hyperlink" Target="ROADMAP.md" TargetMode="External"/><Relationship Id="rId7" Type="http://schemas.openxmlformats.org/officeDocument/2006/relationships/hyperlink" Target="RELEASE_NOTES.md" TargetMode="External"/><Relationship Id="rId8" Type="http://schemas.openxmlformats.org/officeDocument/2006/relationships/hyperlink" Target="SMOKE_TEST.md" TargetMode="External"/><Relationship Id="rId9" Type="http://schemas.openxmlformats.org/officeDocument/2006/relationships/hyperlink" Target="../README.md" TargetMode="External"/><Relationship Id="rId10" Type="http://schemas.openxmlformats.org/officeDocument/2006/relationships/hyperlink" Target="../SCOPE.md"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48</Pages>
  <Words>21718</Words>
  <Characters>118766</Characters>
  <CharactersWithSpaces>141175</CharactersWithSpaces>
  <Paragraphs>357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2026-09-28T03:32:46Z</dcterms:created>
  <dc:creator/>
  <dc:description/>
  <dc:language>en-US</dc:language>
  <cp:lastModifiedBy/>
  <dcterms:modified xsi:type="dcterms:W3CDTF">2026-09-28T13:32:49Z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