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2"/>
        </w:rPr>
        <w:t>评估对象为虚构华辰资产有限公司接收的供配电资产，涉及6家客户，范围为全部供配电资产。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zh-CN</dc:language>
  <cp:version/>
</cp:coreProperties>
</file>