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评估结论</w:t>
      </w:r>
    </w:p>
    <w:p>
      <w:r>
        <w:rPr>
          <w:rFonts w:ascii="Calibri" w:hAnsi="Calibri" w:eastAsia="Microsoft YaHei"/>
          <w:sz w:val="22"/>
        </w:rPr>
        <w:t>本项目评估价值为9,982,200元。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AssetAppraisalChecker V2 Golden Case</dc:title>
  <dc:subject>AssessmentValue synthetic test fixture</dc:subject>
  <dc:creator>AssetAppraisalChecker</dc:creator>
  <cp:keywords>synthetic;golden-case;assessment-value</cp:keywords>
  <dc:description>全部内容均为合成测试数据，不包含真实客户信息。</dc:description>
  <cp:lastModifiedBy>AssetAppraisalChecker</cp:lastModifiedBy>
  <cp:revision>1</cp:revision>
  <dcterms:created xsi:type="dcterms:W3CDTF">2026-01-01T00:00:00Z</dcterms:created>
  <dcterms:modified xsi:type="dcterms:W3CDTF">2026-01-01T00:00:00Z</dcterms:modified>
  <cp:category/>
</cp:coreProperties>
</file>