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Calibri" w:hAnsi="Calibri" w:eastAsia="Microsoft YaHei"/>
          <w:b/>
          <w:color w:val="2E74B5"/>
          <w:sz w:val="32"/>
        </w:rPr>
        <w:t>资产评估报告（合成测试）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一、基本事项</w:t>
      </w:r>
    </w:p>
    <w:p>
      <w:r>
        <w:rPr>
          <w:rFonts w:ascii="Calibri" w:hAnsi="Calibri" w:eastAsia="Microsoft YaHei"/>
          <w:b w:val="0"/>
          <w:color w:val="000000"/>
          <w:sz w:val="22"/>
        </w:rPr>
        <w:t>评估基准日：2026/07/31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本文件仅用于 AssetAppraisalChecker V2 自动化测试，内容全部为合成数据，不对应任何真实客户或评估项目。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资产评估报告（合成测试）</dc:title>
  <dc:subject>BenchmarkDate Golden Case synthetic fixture</dc:subject>
  <dc:creator>AssetAppraisalChecker Test Fixture</dc:creator>
  <cp:keywords>synthetic,test,benchmark-date</cp:keywords>
  <dc:description>Synthetic data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