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V2-GT-505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整体资产组采用市场法及成本法。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