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V2-GT-505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评估报告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整体资产组采用成本法和市场法。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