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V2-GT-506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评估说明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整体资产组采用成本法和市场法。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