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V2-GT-508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评估报告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房屋建筑物采用成本法；机器设备采用市场法。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