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V2-GT-511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评估报告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房屋建筑物采用重置成本法。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