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合成资产评估说明</w:t>
      </w:r>
    </w:p>
    <w:p>
      <w:pPr>
        <w:spacing w:after="180" w:line="324" w:lineRule="auto"/>
      </w:pPr>
      <w:r>
        <w:t>报告编号：云合成评报字[2026]第902号。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评估基准日为2026-07-31。</w:t>
      </w:r>
    </w:p>
    <w:p>
      <w:pPr>
        <w:spacing w:after="180" w:line="324" w:lineRule="auto"/>
      </w:pPr>
      <w:r>
        <w:t>评估价值为1000万元。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合成资产评估说明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