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黑体"/>
          <w:b/>
          <w:sz w:val="36"/>
        </w:rPr>
        <w:t>合成资产评估报告</w:t>
      </w:r>
    </w:p>
    <w:p>
      <w:pPr>
        <w:spacing w:after="180" w:line="324" w:lineRule="auto"/>
      </w:pPr>
      <w:r>
        <w:t>报告编号：云合成评报字（2026）第902号。</w:t>
      </w:r>
    </w:p>
    <w:p>
      <w:pPr>
        <w:spacing w:after="180" w:line="324" w:lineRule="auto"/>
      </w:pPr>
      <w:r>
        <w:t>评估对象为虚构华辰资产有限公司接收的供配电资产，涉及6家客户，范围为本次列明的全部资产。</w:t>
      </w:r>
    </w:p>
    <w:p>
      <w:pPr>
        <w:spacing w:after="180" w:line="324" w:lineRule="auto"/>
      </w:pPr>
      <w:r>
        <w:t>评估基准日为2026年7月31日。</w:t>
      </w:r>
    </w:p>
    <w:p>
      <w:pPr>
        <w:spacing w:after="180" w:line="324" w:lineRule="auto"/>
      </w:pPr>
      <w:r>
        <w:t>评估价值为998.22万元。</w:t>
      </w:r>
    </w:p>
    <w:sectPr w:rsidR="00FC693F" w:rsidRPr="0006063C" w:rsidSect="00034616">
      <w:pgSz w:w="12240" w:h="15840"/>
      <w:pgMar w:top="1080" w:right="1280" w:bottom="10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合成资产评估报告</dc:title>
  <dc:subject>AssetAppraisalChecker V2 integrated Golden Case</dc:subject>
  <dc:creator>AssetAppraisalChecker Synthetic Test</dc:creator>
  <cp:keywords>synthetic, golden case, multi-checker</cp:keywords>
  <dc:description>完全合成测试数据，不对应任何真实客户、企业或项目。</dc:description>
  <cp:lastModifiedBy>AssetAppraisalChecker Synthetic Test</cp:lastModifiedBy>
  <cp:revision>1</cp:revision>
  <dcterms:created xsi:type="dcterms:W3CDTF">2026-01-01T00:00:00Z</dcterms:created>
  <dcterms:modified xsi:type="dcterms:W3CDTF">2026-01-01T00:00:00Z</dcterms:modified>
  <cp:category/>
</cp:coreProperties>
</file>