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BAEB" w14:textId="0F828B39" w:rsidR="00591166" w:rsidRDefault="00DE0A9A" w:rsidP="00DE0A9A">
      <w:pPr>
        <w:pStyle w:val="Heading1"/>
      </w:pPr>
      <w:r>
        <w:t>Common Libraries for Deployment in SICCARV3</w:t>
      </w:r>
    </w:p>
    <w:p w14:paraId="1A645CB6" w14:textId="294FAD59" w:rsidR="00302383" w:rsidRDefault="00302383" w:rsidP="00302383">
      <w:pPr>
        <w:pStyle w:val="Heading2"/>
      </w:pPr>
      <w:r>
        <w:t>Approach</w:t>
      </w:r>
    </w:p>
    <w:p w14:paraId="6D2ED953" w14:textId="77777777" w:rsidR="00D35468" w:rsidRDefault="00602956" w:rsidP="00DE0A9A">
      <w:pPr>
        <w:jc w:val="both"/>
      </w:pPr>
      <w:r>
        <w:t>I’ve put this paper together as it turned out not to be as straight forward as first thought.</w:t>
      </w:r>
    </w:p>
    <w:p w14:paraId="2CAE555F" w14:textId="6FE988B7" w:rsidR="00DE0A9A" w:rsidRDefault="00DE0A9A" w:rsidP="00DE0A9A">
      <w:pPr>
        <w:jc w:val="both"/>
      </w:pPr>
      <w:r>
        <w:t xml:space="preserve">Common libraries are libraries that are required by more than one project – typically definitions of data required at each end of a messaging communication. </w:t>
      </w:r>
    </w:p>
    <w:p w14:paraId="2863A166" w14:textId="3276FF9C" w:rsidR="00DE0A9A" w:rsidRDefault="00DE0A9A" w:rsidP="00DE0A9A">
      <w:pPr>
        <w:jc w:val="both"/>
      </w:pPr>
      <w:r>
        <w:t xml:space="preserve">Note: After much thought, I’ve included the Wallet Library </w:t>
      </w:r>
      <w:r w:rsidR="00417D08">
        <w:t xml:space="preserve">(and one other wallet library) </w:t>
      </w:r>
      <w:r>
        <w:t xml:space="preserve">although its currently only used by the wallet service. It’s possible in future it may be needed for use by another component (E.G., a browser wallet) so for consistency with our other libraries and </w:t>
      </w:r>
      <w:r w:rsidR="00417D08">
        <w:t xml:space="preserve">for </w:t>
      </w:r>
      <w:r>
        <w:t xml:space="preserve">possible sharing </w:t>
      </w:r>
      <w:r w:rsidR="00417D08">
        <w:t xml:space="preserve">in the </w:t>
      </w:r>
      <w:r>
        <w:t>future, I have included it as a shared library.</w:t>
      </w:r>
    </w:p>
    <w:p w14:paraId="13141432" w14:textId="3D0BFA7F" w:rsidR="0034735E" w:rsidRDefault="00302383" w:rsidP="00302383">
      <w:pPr>
        <w:pStyle w:val="Heading2"/>
      </w:pPr>
      <w:r>
        <w:t>Siccar Libraries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74"/>
        <w:gridCol w:w="2024"/>
        <w:gridCol w:w="3918"/>
      </w:tblGrid>
      <w:tr w:rsidR="0034735E" w14:paraId="41F7E27B" w14:textId="77777777" w:rsidTr="00585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1478C11B" w14:textId="03B2DD11" w:rsidR="0034735E" w:rsidRDefault="003540CD" w:rsidP="00DE0A9A">
            <w:pPr>
              <w:jc w:val="both"/>
            </w:pPr>
            <w:r>
              <w:t>Library</w:t>
            </w:r>
          </w:p>
        </w:tc>
        <w:tc>
          <w:tcPr>
            <w:tcW w:w="2024" w:type="dxa"/>
          </w:tcPr>
          <w:p w14:paraId="7794ED37" w14:textId="4E2E3D9F" w:rsidR="0034735E" w:rsidRDefault="003540CD" w:rsidP="00DE0A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Consumer Services</w:t>
            </w:r>
          </w:p>
        </w:tc>
        <w:tc>
          <w:tcPr>
            <w:tcW w:w="3918" w:type="dxa"/>
          </w:tcPr>
          <w:p w14:paraId="275D50F7" w14:textId="2E5AA81E" w:rsidR="0034735E" w:rsidRDefault="00E56DAD" w:rsidP="00DE0A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735E" w14:paraId="12967E49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5DB85EDA" w14:textId="77777777" w:rsidR="0034735E" w:rsidRDefault="0034735E" w:rsidP="00DE0A9A">
            <w:pPr>
              <w:jc w:val="both"/>
            </w:pPr>
          </w:p>
        </w:tc>
        <w:tc>
          <w:tcPr>
            <w:tcW w:w="2024" w:type="dxa"/>
          </w:tcPr>
          <w:p w14:paraId="051BA6B1" w14:textId="77777777" w:rsidR="0034735E" w:rsidRDefault="0034735E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14:paraId="10D69172" w14:textId="77777777" w:rsidR="0034735E" w:rsidRDefault="0034735E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735E" w14:paraId="4B77832A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32776F04" w14:textId="3FCCF7A1" w:rsidR="0034735E" w:rsidRDefault="0034735E" w:rsidP="00DE0A9A">
            <w:pPr>
              <w:jc w:val="both"/>
            </w:pPr>
            <w:r>
              <w:t>SiccarPlatformCommon</w:t>
            </w:r>
            <w:r w:rsidR="003540CD">
              <w:t>.dll</w:t>
            </w:r>
          </w:p>
        </w:tc>
        <w:tc>
          <w:tcPr>
            <w:tcW w:w="2024" w:type="dxa"/>
          </w:tcPr>
          <w:p w14:paraId="2AEAC4A5" w14:textId="4B45A646" w:rsidR="0034735E" w:rsidRDefault="00E56DAD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Service</w:t>
            </w:r>
          </w:p>
        </w:tc>
        <w:tc>
          <w:tcPr>
            <w:tcW w:w="3918" w:type="dxa"/>
          </w:tcPr>
          <w:p w14:paraId="0B86BFC4" w14:textId="0FA66F52" w:rsidR="0034735E" w:rsidRDefault="008C492D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think we can do away with this library</w:t>
            </w:r>
            <w:r w:rsidR="00BD2459">
              <w:t xml:space="preserve"> with a little effort</w:t>
            </w:r>
          </w:p>
        </w:tc>
      </w:tr>
      <w:tr w:rsidR="00E56DAD" w14:paraId="42F6A260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055A5566" w14:textId="77777777" w:rsidR="00E56DAD" w:rsidRDefault="00E56DAD" w:rsidP="00DE0A9A">
            <w:pPr>
              <w:jc w:val="both"/>
            </w:pPr>
          </w:p>
        </w:tc>
        <w:tc>
          <w:tcPr>
            <w:tcW w:w="2024" w:type="dxa"/>
          </w:tcPr>
          <w:p w14:paraId="758AE5FF" w14:textId="28359F82" w:rsidR="00E56DAD" w:rsidRDefault="00E56DAD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Peer Service</w:t>
            </w:r>
          </w:p>
        </w:tc>
        <w:tc>
          <w:tcPr>
            <w:tcW w:w="3918" w:type="dxa"/>
          </w:tcPr>
          <w:p w14:paraId="6CA64D76" w14:textId="77777777" w:rsidR="00E56DAD" w:rsidRDefault="00E56DAD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DAD" w14:paraId="1376EEE2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501F238D" w14:textId="77777777" w:rsidR="00E56DAD" w:rsidRDefault="00E56DAD" w:rsidP="00DE0A9A">
            <w:pPr>
              <w:jc w:val="both"/>
            </w:pPr>
          </w:p>
        </w:tc>
        <w:tc>
          <w:tcPr>
            <w:tcW w:w="2024" w:type="dxa"/>
          </w:tcPr>
          <w:p w14:paraId="55A3C026" w14:textId="38C5CB4B" w:rsidR="00E56DAD" w:rsidRDefault="00E56DAD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Service</w:t>
            </w:r>
          </w:p>
        </w:tc>
        <w:tc>
          <w:tcPr>
            <w:tcW w:w="3918" w:type="dxa"/>
          </w:tcPr>
          <w:p w14:paraId="060F492D" w14:textId="77777777" w:rsidR="00E56DAD" w:rsidRDefault="00E56DAD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DAD" w14:paraId="0C88AAD4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3FB089E0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72A62007" w14:textId="45CD962A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Wallet Service</w:t>
            </w:r>
          </w:p>
        </w:tc>
        <w:tc>
          <w:tcPr>
            <w:tcW w:w="3918" w:type="dxa"/>
          </w:tcPr>
          <w:p w14:paraId="6A279B96" w14:textId="77777777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DAD" w14:paraId="5893AE64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5019741F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7B88AF9D" w14:textId="50D07ED2" w:rsidR="00E56DAD" w:rsidRDefault="003E59D0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Validator Service</w:t>
            </w:r>
          </w:p>
        </w:tc>
        <w:tc>
          <w:tcPr>
            <w:tcW w:w="3918" w:type="dxa"/>
          </w:tcPr>
          <w:p w14:paraId="45C603FC" w14:textId="77777777" w:rsidR="00E56DAD" w:rsidRDefault="00E56DAD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122" w14:paraId="6904F669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19A93DB5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0CB11363" w14:textId="4192B47F" w:rsidR="00E56DAD" w:rsidRDefault="00581B86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Blueprint Service</w:t>
            </w:r>
          </w:p>
        </w:tc>
        <w:tc>
          <w:tcPr>
            <w:tcW w:w="3918" w:type="dxa"/>
          </w:tcPr>
          <w:p w14:paraId="00416D26" w14:textId="77777777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DAD" w14:paraId="33B7E013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2DF34F54" w14:textId="77777777" w:rsidR="00E56DAD" w:rsidRDefault="00E56DAD" w:rsidP="00DE0A9A">
            <w:pPr>
              <w:jc w:val="both"/>
            </w:pPr>
          </w:p>
        </w:tc>
        <w:tc>
          <w:tcPr>
            <w:tcW w:w="2024" w:type="dxa"/>
          </w:tcPr>
          <w:p w14:paraId="6A372227" w14:textId="2DF1FD91" w:rsidR="00E56DAD" w:rsidRDefault="00581B86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Service?</w:t>
            </w:r>
          </w:p>
        </w:tc>
        <w:tc>
          <w:tcPr>
            <w:tcW w:w="3918" w:type="dxa"/>
          </w:tcPr>
          <w:p w14:paraId="60262DCC" w14:textId="77777777" w:rsidR="00E56DAD" w:rsidRDefault="00E56DAD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122" w14:paraId="4616BF85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71A8A7DA" w14:textId="77777777" w:rsidR="00CF3122" w:rsidRDefault="00CF3122" w:rsidP="00DE0A9A">
            <w:pPr>
              <w:jc w:val="both"/>
            </w:pPr>
          </w:p>
        </w:tc>
        <w:tc>
          <w:tcPr>
            <w:tcW w:w="2024" w:type="dxa"/>
          </w:tcPr>
          <w:p w14:paraId="6E3C416A" w14:textId="77777777" w:rsidR="00CF3122" w:rsidRDefault="00CF3122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14:paraId="18A67D04" w14:textId="77777777" w:rsidR="00CF3122" w:rsidRDefault="00CF3122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DAD" w14:paraId="530BD22C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42EFCE9B" w14:textId="5ECBBDB0" w:rsidR="0034735E" w:rsidRDefault="0034735E" w:rsidP="00DE0A9A">
            <w:pPr>
              <w:jc w:val="both"/>
            </w:pPr>
            <w:r>
              <w:t>SiccarPlatformRegisters</w:t>
            </w:r>
            <w:r w:rsidR="003540CD">
              <w:t>.dll</w:t>
            </w:r>
          </w:p>
        </w:tc>
        <w:tc>
          <w:tcPr>
            <w:tcW w:w="2024" w:type="dxa"/>
          </w:tcPr>
          <w:p w14:paraId="04D5DCD0" w14:textId="2226F156" w:rsidR="0034735E" w:rsidRDefault="00E56DAD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Service</w:t>
            </w:r>
          </w:p>
        </w:tc>
        <w:tc>
          <w:tcPr>
            <w:tcW w:w="3918" w:type="dxa"/>
          </w:tcPr>
          <w:p w14:paraId="1B84DC80" w14:textId="5B241A68" w:rsidR="0034735E" w:rsidRDefault="00BD2459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I’d remove the Transaction model as it’s the only one that’s required by everything. The rest are all used together, I think. This minimises dependencies.</w:t>
            </w:r>
          </w:p>
        </w:tc>
      </w:tr>
      <w:tr w:rsidR="00CF3122" w14:paraId="54046771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46AFB2FB" w14:textId="77777777" w:rsidR="00E56DAD" w:rsidRDefault="00E56DAD" w:rsidP="00DE0A9A">
            <w:pPr>
              <w:jc w:val="both"/>
            </w:pPr>
          </w:p>
        </w:tc>
        <w:tc>
          <w:tcPr>
            <w:tcW w:w="2024" w:type="dxa"/>
          </w:tcPr>
          <w:p w14:paraId="5D721AF4" w14:textId="381C2DEF" w:rsidR="00E56DAD" w:rsidRDefault="00E56DAD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Peer Service</w:t>
            </w:r>
          </w:p>
        </w:tc>
        <w:tc>
          <w:tcPr>
            <w:tcW w:w="3918" w:type="dxa"/>
          </w:tcPr>
          <w:p w14:paraId="7D80DF53" w14:textId="77777777" w:rsidR="00E56DAD" w:rsidRDefault="00E56DAD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122" w14:paraId="4E5C6571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2E3EF106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3FB12FCC" w14:textId="7DE95718" w:rsidR="00E56DAD" w:rsidRDefault="00E56DAD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Validator Service</w:t>
            </w:r>
          </w:p>
        </w:tc>
        <w:tc>
          <w:tcPr>
            <w:tcW w:w="3918" w:type="dxa"/>
          </w:tcPr>
          <w:p w14:paraId="0B837CEE" w14:textId="77777777" w:rsidR="00E56DAD" w:rsidRDefault="00E56DAD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122" w14:paraId="0C324288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608942BE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0CD260A6" w14:textId="207E7B76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Wallet Service</w:t>
            </w:r>
          </w:p>
        </w:tc>
        <w:tc>
          <w:tcPr>
            <w:tcW w:w="3918" w:type="dxa"/>
          </w:tcPr>
          <w:p w14:paraId="7DD269D0" w14:textId="77777777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122" w14:paraId="5D17DB79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2D4B4800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3C15F447" w14:textId="335433A3" w:rsidR="00E56DAD" w:rsidRDefault="00E56DAD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UI Client</w:t>
            </w:r>
          </w:p>
        </w:tc>
        <w:tc>
          <w:tcPr>
            <w:tcW w:w="3918" w:type="dxa"/>
          </w:tcPr>
          <w:p w14:paraId="31491E30" w14:textId="77777777" w:rsidR="00E56DAD" w:rsidRDefault="00E56DAD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122" w14:paraId="226D705E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2FAE5E4F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4F64D304" w14:textId="77777777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14:paraId="6A0023E1" w14:textId="77777777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DAD" w14:paraId="4C462A76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078ABA41" w14:textId="5A698910" w:rsidR="0034735E" w:rsidRDefault="00E56DAD" w:rsidP="00DE0A9A">
            <w:pPr>
              <w:jc w:val="both"/>
            </w:pPr>
            <w:r>
              <w:t>SiccarPlatformCryptography</w:t>
            </w:r>
            <w:r w:rsidR="003E2863">
              <w:t>.dll</w:t>
            </w:r>
          </w:p>
        </w:tc>
        <w:tc>
          <w:tcPr>
            <w:tcW w:w="2024" w:type="dxa"/>
          </w:tcPr>
          <w:p w14:paraId="7018020A" w14:textId="2A49DEBD" w:rsidR="0034735E" w:rsidRDefault="00E56DAD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Wallet Service</w:t>
            </w:r>
          </w:p>
        </w:tc>
        <w:tc>
          <w:tcPr>
            <w:tcW w:w="3918" w:type="dxa"/>
          </w:tcPr>
          <w:p w14:paraId="64131CD6" w14:textId="612FBCDA" w:rsidR="0034735E" w:rsidRDefault="003256F8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shared to date!</w:t>
            </w:r>
          </w:p>
        </w:tc>
      </w:tr>
      <w:tr w:rsidR="00E56DAD" w14:paraId="547E8354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3AD7E036" w14:textId="77777777" w:rsidR="0034735E" w:rsidRDefault="0034735E" w:rsidP="00DE0A9A">
            <w:pPr>
              <w:jc w:val="both"/>
            </w:pPr>
          </w:p>
        </w:tc>
        <w:tc>
          <w:tcPr>
            <w:tcW w:w="2024" w:type="dxa"/>
          </w:tcPr>
          <w:p w14:paraId="06C14E50" w14:textId="77777777" w:rsidR="0034735E" w:rsidRDefault="0034735E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14:paraId="40E60C9C" w14:textId="77777777" w:rsidR="0034735E" w:rsidRDefault="0034735E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122" w14:paraId="765F79B1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107EE330" w14:textId="013C76DA" w:rsidR="00E56DAD" w:rsidRDefault="003E2863" w:rsidP="00572BD2">
            <w:pPr>
              <w:jc w:val="both"/>
            </w:pPr>
            <w:r>
              <w:t>SiccarPlatformWallets.dll</w:t>
            </w:r>
          </w:p>
        </w:tc>
        <w:tc>
          <w:tcPr>
            <w:tcW w:w="2024" w:type="dxa"/>
          </w:tcPr>
          <w:p w14:paraId="6EDE6C65" w14:textId="4881A23C" w:rsidR="00E56DAD" w:rsidRDefault="003E2863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Wallet Service</w:t>
            </w:r>
          </w:p>
        </w:tc>
        <w:tc>
          <w:tcPr>
            <w:tcW w:w="3918" w:type="dxa"/>
          </w:tcPr>
          <w:p w14:paraId="65F1553A" w14:textId="5A5C0D37" w:rsidR="00E56DAD" w:rsidRDefault="003256F8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shared to date!</w:t>
            </w:r>
          </w:p>
        </w:tc>
      </w:tr>
      <w:tr w:rsidR="00CF3122" w14:paraId="69C659FF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78469D23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48073855" w14:textId="77777777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14:paraId="5808EF04" w14:textId="77777777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122" w14:paraId="79F27AB8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1D598350" w14:textId="65D71AC2" w:rsidR="00E56DAD" w:rsidRDefault="00E56DAD" w:rsidP="00572BD2">
            <w:pPr>
              <w:jc w:val="both"/>
            </w:pPr>
            <w:r>
              <w:t>PeersCore.dll</w:t>
            </w:r>
          </w:p>
        </w:tc>
        <w:tc>
          <w:tcPr>
            <w:tcW w:w="2024" w:type="dxa"/>
          </w:tcPr>
          <w:p w14:paraId="0E0F613E" w14:textId="2AE7443D" w:rsidR="00E56DAD" w:rsidRDefault="00E56DAD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Service</w:t>
            </w:r>
          </w:p>
        </w:tc>
        <w:tc>
          <w:tcPr>
            <w:tcW w:w="3918" w:type="dxa"/>
          </w:tcPr>
          <w:p w14:paraId="7F123E71" w14:textId="1BA70093" w:rsidR="00E56DAD" w:rsidRDefault="00585D98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PeersCore</w:t>
            </w:r>
            <w:proofErr w:type="spellEnd"/>
            <w:r>
              <w:t xml:space="preserve"> should be only deployed with the Peer Service</w:t>
            </w:r>
          </w:p>
        </w:tc>
      </w:tr>
      <w:tr w:rsidR="00CF3122" w14:paraId="419E0AB5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2768290B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61FB5CBE" w14:textId="075BBFBB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UI Client</w:t>
            </w:r>
          </w:p>
        </w:tc>
        <w:tc>
          <w:tcPr>
            <w:tcW w:w="3918" w:type="dxa"/>
          </w:tcPr>
          <w:p w14:paraId="0321C563" w14:textId="6F30B579" w:rsidR="00E56DAD" w:rsidRDefault="003E2863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</w:t>
            </w:r>
            <w:r w:rsidR="00CF3122">
              <w:t xml:space="preserve">dependency </w:t>
            </w:r>
            <w:r>
              <w:t>look</w:t>
            </w:r>
            <w:r w:rsidR="00CF3122">
              <w:t>s</w:t>
            </w:r>
            <w:r>
              <w:t xml:space="preserve"> bad</w:t>
            </w:r>
          </w:p>
        </w:tc>
      </w:tr>
      <w:tr w:rsidR="00CF3122" w14:paraId="7DF279F4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2EAACD31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698E973B" w14:textId="77777777" w:rsidR="00E56DAD" w:rsidRDefault="00E56DAD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14:paraId="1E4CA8BF" w14:textId="77777777" w:rsidR="00E56DAD" w:rsidRDefault="00E56DAD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122" w14:paraId="194FB1A5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420710CE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241C85FB" w14:textId="77777777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14:paraId="754CAB2C" w14:textId="77777777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122" w14:paraId="3BE4D072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0FFF61F0" w14:textId="373FBDF6" w:rsidR="00E56DAD" w:rsidRDefault="00581B86" w:rsidP="00572BD2">
            <w:pPr>
              <w:jc w:val="both"/>
            </w:pPr>
            <w:r>
              <w:t>Blueprint DTO</w:t>
            </w:r>
            <w:r w:rsidR="003E2863">
              <w:t xml:space="preserve"> </w:t>
            </w:r>
            <w:proofErr w:type="spellStart"/>
            <w:r w:rsidR="003E2863">
              <w:t>dll</w:t>
            </w:r>
            <w:proofErr w:type="spellEnd"/>
          </w:p>
        </w:tc>
        <w:tc>
          <w:tcPr>
            <w:tcW w:w="2024" w:type="dxa"/>
          </w:tcPr>
          <w:p w14:paraId="535CE6EA" w14:textId="2BD923E9" w:rsidR="00E56DAD" w:rsidRDefault="00581B86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Blueprint Service</w:t>
            </w:r>
          </w:p>
        </w:tc>
        <w:tc>
          <w:tcPr>
            <w:tcW w:w="3918" w:type="dxa"/>
          </w:tcPr>
          <w:p w14:paraId="2E1377B9" w14:textId="6004FD97" w:rsidR="00E56DAD" w:rsidRDefault="008C492D" w:rsidP="00572B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CF3122" w14:paraId="5307B6FB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4074E983" w14:textId="77777777" w:rsidR="00E56DAD" w:rsidRDefault="00E56DAD" w:rsidP="00572BD2">
            <w:pPr>
              <w:jc w:val="both"/>
            </w:pPr>
          </w:p>
        </w:tc>
        <w:tc>
          <w:tcPr>
            <w:tcW w:w="2024" w:type="dxa"/>
          </w:tcPr>
          <w:p w14:paraId="602F0C0C" w14:textId="10D43303" w:rsidR="00E56DAD" w:rsidRDefault="00581B86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 Service</w:t>
            </w:r>
          </w:p>
        </w:tc>
        <w:tc>
          <w:tcPr>
            <w:tcW w:w="3918" w:type="dxa"/>
          </w:tcPr>
          <w:p w14:paraId="07EE10D0" w14:textId="77777777" w:rsidR="00E56DAD" w:rsidRDefault="00E56DAD" w:rsidP="0057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863" w14:paraId="4344862F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1481125F" w14:textId="77777777" w:rsidR="0034735E" w:rsidRDefault="0034735E" w:rsidP="00DE0A9A">
            <w:pPr>
              <w:jc w:val="both"/>
            </w:pPr>
          </w:p>
        </w:tc>
        <w:tc>
          <w:tcPr>
            <w:tcW w:w="2024" w:type="dxa"/>
          </w:tcPr>
          <w:p w14:paraId="36AA8CB8" w14:textId="77777777" w:rsidR="0034735E" w:rsidRDefault="0034735E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14:paraId="47E55040" w14:textId="77777777" w:rsidR="0034735E" w:rsidRDefault="0034735E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92D" w14:paraId="58FF728C" w14:textId="77777777" w:rsidTr="0058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5F74E223" w14:textId="23466E5F" w:rsidR="008C492D" w:rsidRDefault="008C492D" w:rsidP="00DE0A9A">
            <w:pPr>
              <w:jc w:val="both"/>
            </w:pPr>
            <w:r>
              <w:t>Transaction DTO .</w:t>
            </w:r>
            <w:proofErr w:type="spellStart"/>
            <w:r>
              <w:t>dll</w:t>
            </w:r>
            <w:proofErr w:type="spellEnd"/>
          </w:p>
        </w:tc>
        <w:tc>
          <w:tcPr>
            <w:tcW w:w="2024" w:type="dxa"/>
          </w:tcPr>
          <w:p w14:paraId="2214485C" w14:textId="77777777" w:rsidR="008C492D" w:rsidRDefault="008C492D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14:paraId="7F28BD9F" w14:textId="3A8163D8" w:rsidR="008C492D" w:rsidRDefault="008C492D" w:rsidP="00DE0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8C492D" w14:paraId="4772C25B" w14:textId="77777777" w:rsidTr="0058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14:paraId="3D3BC50F" w14:textId="77777777" w:rsidR="008C492D" w:rsidRDefault="008C492D" w:rsidP="00DE0A9A">
            <w:pPr>
              <w:jc w:val="both"/>
            </w:pPr>
          </w:p>
        </w:tc>
        <w:tc>
          <w:tcPr>
            <w:tcW w:w="2024" w:type="dxa"/>
          </w:tcPr>
          <w:p w14:paraId="3903B5AE" w14:textId="77777777" w:rsidR="008C492D" w:rsidRDefault="008C492D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14:paraId="5E5D96E5" w14:textId="77777777" w:rsidR="008C492D" w:rsidRDefault="008C492D" w:rsidP="00DE0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2BA988" w14:textId="13F3821A" w:rsidR="00053827" w:rsidRDefault="00053827" w:rsidP="00053827">
      <w:pPr>
        <w:pStyle w:val="Heading2"/>
      </w:pPr>
      <w:r>
        <w:lastRenderedPageBreak/>
        <w:t>Library Pipeline</w:t>
      </w:r>
    </w:p>
    <w:p w14:paraId="7FD2EA12" w14:textId="5B35B72D" w:rsidR="00053827" w:rsidRDefault="00053827" w:rsidP="00DE0A9A">
      <w:pPr>
        <w:jc w:val="both"/>
      </w:pPr>
      <w:r>
        <w:t>Each library has its own CI pipeline defined in Azure DevOps</w:t>
      </w:r>
      <w:r w:rsidR="00777EE0">
        <w:t xml:space="preserve"> as a .</w:t>
      </w:r>
      <w:proofErr w:type="spellStart"/>
      <w:r w:rsidR="00777EE0">
        <w:t>yml</w:t>
      </w:r>
      <w:proofErr w:type="spellEnd"/>
      <w:r w:rsidR="00777EE0">
        <w:t xml:space="preserve"> file</w:t>
      </w:r>
      <w:r>
        <w:t xml:space="preserve">. </w:t>
      </w:r>
      <w:r w:rsidR="00777EE0">
        <w:t xml:space="preserve">This file is also git controlled and by convention is placed at the same level as the .csproj file – </w:t>
      </w:r>
      <w:r w:rsidR="00777EE0" w:rsidRPr="00777EE0">
        <w:rPr>
          <w:i/>
          <w:iCs/>
        </w:rPr>
        <w:t xml:space="preserve">No Touch </w:t>
      </w:r>
      <w:proofErr w:type="gramStart"/>
      <w:r w:rsidR="00777EE0" w:rsidRPr="00777EE0">
        <w:rPr>
          <w:i/>
          <w:iCs/>
        </w:rPr>
        <w:t>Please!.</w:t>
      </w:r>
      <w:proofErr w:type="gramEnd"/>
      <w:r w:rsidR="00777EE0">
        <w:t xml:space="preserve"> </w:t>
      </w:r>
      <w:r>
        <w:t xml:space="preserve">This </w:t>
      </w:r>
      <w:r w:rsidR="000E187C">
        <w:t xml:space="preserve">pipeline </w:t>
      </w:r>
      <w:r>
        <w:t>create</w:t>
      </w:r>
      <w:r w:rsidR="000E187C">
        <w:t>s</w:t>
      </w:r>
      <w:r>
        <w:t xml:space="preserve"> </w:t>
      </w:r>
      <w:proofErr w:type="gramStart"/>
      <w:r>
        <w:t xml:space="preserve">and </w:t>
      </w:r>
      <w:r w:rsidR="000E187C">
        <w:t>also</w:t>
      </w:r>
      <w:proofErr w:type="gramEnd"/>
      <w:r w:rsidR="000E187C">
        <w:t xml:space="preserve"> </w:t>
      </w:r>
      <w:r>
        <w:t>publish</w:t>
      </w:r>
      <w:r w:rsidR="000E187C">
        <w:t>es</w:t>
      </w:r>
      <w:r>
        <w:t xml:space="preserve"> the </w:t>
      </w:r>
      <w:r w:rsidR="00E233E6">
        <w:t xml:space="preserve">NuGet </w:t>
      </w:r>
      <w:r>
        <w:t xml:space="preserve">library package to an Azure DevOps </w:t>
      </w:r>
      <w:r w:rsidR="007247E6">
        <w:t xml:space="preserve">Artifacts </w:t>
      </w:r>
      <w:r>
        <w:t>Feed.</w:t>
      </w:r>
      <w:r w:rsidR="00CB354C">
        <w:t xml:space="preserve"> Each time the main branch is updated via a merge from a PR, the pipeline will be </w:t>
      </w:r>
      <w:r w:rsidR="000E187C">
        <w:t>triggered,</w:t>
      </w:r>
      <w:r w:rsidR="00CB354C">
        <w:t xml:space="preserve"> and a new version of the package will be </w:t>
      </w:r>
      <w:r w:rsidR="007247E6">
        <w:t xml:space="preserve">created, </w:t>
      </w:r>
      <w:proofErr w:type="gramStart"/>
      <w:r w:rsidR="007247E6">
        <w:t>packed</w:t>
      </w:r>
      <w:proofErr w:type="gramEnd"/>
      <w:r w:rsidR="007247E6">
        <w:t xml:space="preserve"> and then </w:t>
      </w:r>
      <w:r w:rsidR="00CB354C">
        <w:t xml:space="preserve">published to the </w:t>
      </w:r>
      <w:r w:rsidR="00777EE0">
        <w:t>Azure DevOps Artifact Feed</w:t>
      </w:r>
      <w:r w:rsidR="00CB354C">
        <w:t>.</w:t>
      </w:r>
    </w:p>
    <w:p w14:paraId="4ACAD36E" w14:textId="614DEBF5" w:rsidR="00BD2459" w:rsidRDefault="00716DF8" w:rsidP="00DE0A9A">
      <w:pPr>
        <w:jc w:val="both"/>
      </w:pPr>
      <w:r w:rsidRPr="00716DF8">
        <w:rPr>
          <w:b/>
          <w:bCs/>
        </w:rPr>
        <w:t>Important</w:t>
      </w:r>
      <w:r w:rsidR="00BD2459">
        <w:t>: the trigger for the pipeline fires from a branch naming convention in this format:</w:t>
      </w:r>
    </w:p>
    <w:p w14:paraId="422E0565" w14:textId="0561F398" w:rsidR="00BD2459" w:rsidRPr="00716DF8" w:rsidRDefault="00BD2459" w:rsidP="00DE0A9A">
      <w:pPr>
        <w:jc w:val="both"/>
        <w:rPr>
          <w:rFonts w:ascii="Consolas" w:hAnsi="Consolas"/>
        </w:rPr>
      </w:pPr>
      <w:r w:rsidRPr="00716DF8">
        <w:rPr>
          <w:rFonts w:ascii="Consolas" w:hAnsi="Consolas"/>
        </w:rPr>
        <w:t>feature/&lt;name-of-library&gt;library/*</w:t>
      </w:r>
    </w:p>
    <w:p w14:paraId="19CABCAD" w14:textId="79739CF7" w:rsidR="00716DF8" w:rsidRDefault="00716DF8" w:rsidP="00DE0A9A">
      <w:pPr>
        <w:jc w:val="both"/>
      </w:pPr>
      <w:r>
        <w:t xml:space="preserve">You must use this format when creating your branch otherwise the pipeline will not </w:t>
      </w:r>
      <w:r w:rsidR="00DF6555">
        <w:t>trigger,</w:t>
      </w:r>
      <w:r w:rsidR="00777EE0">
        <w:t xml:space="preserve"> and your package will not be published</w:t>
      </w:r>
      <w:r>
        <w:t>.</w:t>
      </w:r>
    </w:p>
    <w:p w14:paraId="0014F2B0" w14:textId="3AF034C7" w:rsidR="00BD2459" w:rsidRDefault="00BD2459" w:rsidP="00DE0A9A">
      <w:pPr>
        <w:jc w:val="both"/>
      </w:pPr>
      <w:r>
        <w:t>e.g.</w:t>
      </w:r>
    </w:p>
    <w:p w14:paraId="2C258724" w14:textId="63599AF3" w:rsidR="00BD2459" w:rsidRDefault="00BD2459" w:rsidP="00DE0A9A">
      <w:pPr>
        <w:jc w:val="both"/>
        <w:rPr>
          <w:rFonts w:ascii="Consolas" w:hAnsi="Consolas"/>
        </w:rPr>
      </w:pPr>
      <w:r w:rsidRPr="00716DF8">
        <w:rPr>
          <w:rFonts w:ascii="Consolas" w:hAnsi="Consolas"/>
        </w:rPr>
        <w:t>feature/</w:t>
      </w:r>
      <w:proofErr w:type="spellStart"/>
      <w:r w:rsidRPr="00716DF8">
        <w:rPr>
          <w:rFonts w:ascii="Consolas" w:hAnsi="Consolas"/>
        </w:rPr>
        <w:t>blueprintlibrary</w:t>
      </w:r>
      <w:proofErr w:type="spellEnd"/>
      <w:r w:rsidRPr="00716DF8">
        <w:rPr>
          <w:rFonts w:ascii="Consolas" w:hAnsi="Consolas"/>
        </w:rPr>
        <w:t>/1234-my-work-item</w:t>
      </w:r>
    </w:p>
    <w:p w14:paraId="7F9A59C7" w14:textId="54EB5E3D" w:rsidR="00DF6555" w:rsidRPr="007C16C9" w:rsidRDefault="007C16C9" w:rsidP="00DE0A9A">
      <w:pPr>
        <w:jc w:val="both"/>
      </w:pPr>
      <w:r w:rsidRPr="007C16C9">
        <w:t xml:space="preserve">This is deliberately </w:t>
      </w:r>
      <w:proofErr w:type="gramStart"/>
      <w:r w:rsidRPr="007C16C9">
        <w:t>similar to</w:t>
      </w:r>
      <w:proofErr w:type="gramEnd"/>
      <w:r w:rsidR="00CD29AE">
        <w:t xml:space="preserve"> the naming convention for our microservices</w:t>
      </w:r>
      <w:r w:rsidRPr="007C16C9">
        <w:t>:</w:t>
      </w:r>
    </w:p>
    <w:p w14:paraId="1FBA3A95" w14:textId="0D76D815" w:rsidR="007C16C9" w:rsidRDefault="007C16C9" w:rsidP="00DE0A9A">
      <w:pPr>
        <w:jc w:val="both"/>
        <w:rPr>
          <w:rFonts w:ascii="Consolas" w:hAnsi="Consolas"/>
        </w:rPr>
      </w:pPr>
      <w:r>
        <w:rPr>
          <w:rFonts w:ascii="Consolas" w:hAnsi="Consolas"/>
        </w:rPr>
        <w:t>feature/</w:t>
      </w:r>
      <w:proofErr w:type="spellStart"/>
      <w:r>
        <w:rPr>
          <w:rFonts w:ascii="Consolas" w:hAnsi="Consolas"/>
        </w:rPr>
        <w:t>peerservice</w:t>
      </w:r>
      <w:proofErr w:type="spellEnd"/>
      <w:r>
        <w:rPr>
          <w:rFonts w:ascii="Consolas" w:hAnsi="Consolas"/>
        </w:rPr>
        <w:t>/1234-my-work-item</w:t>
      </w:r>
    </w:p>
    <w:p w14:paraId="234C62A4" w14:textId="482B8806" w:rsidR="009757B9" w:rsidRPr="009757B9" w:rsidRDefault="009757B9" w:rsidP="00DE0A9A">
      <w:pPr>
        <w:jc w:val="both"/>
      </w:pPr>
    </w:p>
    <w:p w14:paraId="6486FDC8" w14:textId="47DC5E18" w:rsidR="00DE0A9A" w:rsidRDefault="00302383" w:rsidP="00302383">
      <w:pPr>
        <w:pStyle w:val="Heading2"/>
      </w:pPr>
      <w:r w:rsidRPr="00302383">
        <w:t xml:space="preserve">Importing a NuGet </w:t>
      </w:r>
      <w:r w:rsidR="00053827">
        <w:t>P</w:t>
      </w:r>
      <w:r w:rsidRPr="00302383">
        <w:t>ackage</w:t>
      </w:r>
      <w:r w:rsidR="00403BE4">
        <w:t xml:space="preserve"> from Azure Artifiacts Feeds</w:t>
      </w:r>
    </w:p>
    <w:p w14:paraId="2B7E673E" w14:textId="3F3A6DC1" w:rsidR="00B92205" w:rsidRDefault="00A138A4" w:rsidP="00302383">
      <w:pPr>
        <w:jc w:val="both"/>
      </w:pPr>
      <w:r>
        <w:t xml:space="preserve">These instructions are for the consuming project – the project that needs a reference to the shared library. </w:t>
      </w:r>
      <w:r w:rsidR="00302383">
        <w:t>Once the CI is setup for each shared library you</w:t>
      </w:r>
      <w:r w:rsidR="00A905D3">
        <w:t xml:space="preserve"> should </w:t>
      </w:r>
      <w:r w:rsidR="00A905D3" w:rsidRPr="00A905D3">
        <w:rPr>
          <w:b/>
          <w:bCs/>
          <w:i/>
          <w:iCs/>
        </w:rPr>
        <w:t>remove</w:t>
      </w:r>
      <w:r w:rsidR="00A905D3" w:rsidRPr="009D366D">
        <w:t xml:space="preserve"> the reference</w:t>
      </w:r>
      <w:r w:rsidR="00A905D3">
        <w:t xml:space="preserve"> to the shared library project</w:t>
      </w:r>
      <w:r w:rsidR="00A905D3" w:rsidRPr="009D366D">
        <w:t xml:space="preserve"> in </w:t>
      </w:r>
      <w:r w:rsidR="00967543">
        <w:t xml:space="preserve">your calling project’s </w:t>
      </w:r>
      <w:r w:rsidR="00A905D3" w:rsidRPr="009D366D">
        <w:t>.csproj</w:t>
      </w:r>
      <w:r w:rsidR="00AB60B3">
        <w:t xml:space="preserve"> file</w:t>
      </w:r>
      <w:r w:rsidR="00A905D3">
        <w:t xml:space="preserve">. The shared library should </w:t>
      </w:r>
      <w:r w:rsidR="004A6DE7">
        <w:t xml:space="preserve">then be added as a </w:t>
      </w:r>
      <w:r w:rsidR="00E22FEE">
        <w:t>NuGet</w:t>
      </w:r>
      <w:r w:rsidR="004A6DE7">
        <w:t xml:space="preserve"> reference. </w:t>
      </w:r>
      <w:r w:rsidR="00302383">
        <w:t xml:space="preserve">The </w:t>
      </w:r>
      <w:r w:rsidR="009D366D">
        <w:t xml:space="preserve">main </w:t>
      </w:r>
      <w:r w:rsidR="00302383">
        <w:t xml:space="preserve">difference </w:t>
      </w:r>
      <w:r w:rsidR="004A6DE7">
        <w:t xml:space="preserve">being that </w:t>
      </w:r>
      <w:r w:rsidR="00AB60B3">
        <w:t xml:space="preserve">you </w:t>
      </w:r>
      <w:r w:rsidR="00C135EB">
        <w:t xml:space="preserve">now use our private </w:t>
      </w:r>
      <w:r w:rsidR="00302383">
        <w:t xml:space="preserve">Azure Artifact Feed </w:t>
      </w:r>
      <w:r w:rsidR="009D366D">
        <w:t xml:space="preserve">as the </w:t>
      </w:r>
      <w:r w:rsidR="00E22FEE">
        <w:t>NuGet</w:t>
      </w:r>
      <w:r w:rsidR="009D366D">
        <w:t xml:space="preserve"> source </w:t>
      </w:r>
      <w:r w:rsidR="00302383">
        <w:t>and not Nuget.org</w:t>
      </w:r>
      <w:r w:rsidR="004A6DE7">
        <w:t xml:space="preserve"> (</w:t>
      </w:r>
      <w:r w:rsidR="00555982">
        <w:t xml:space="preserve">the </w:t>
      </w:r>
      <w:r w:rsidR="004A6DE7">
        <w:t>default</w:t>
      </w:r>
      <w:r w:rsidR="00C135EB">
        <w:t xml:space="preserve"> </w:t>
      </w:r>
      <w:proofErr w:type="gramStart"/>
      <w:r w:rsidR="00C135EB">
        <w:t>and</w:t>
      </w:r>
      <w:r w:rsidR="00555982">
        <w:t xml:space="preserve"> also</w:t>
      </w:r>
      <w:proofErr w:type="gramEnd"/>
      <w:r w:rsidR="00C135EB">
        <w:t xml:space="preserve"> public</w:t>
      </w:r>
      <w:r w:rsidR="004A6DE7">
        <w:t>)</w:t>
      </w:r>
      <w:r w:rsidR="00302383">
        <w:t xml:space="preserve">. </w:t>
      </w:r>
    </w:p>
    <w:p w14:paraId="556C4133" w14:textId="622B202E" w:rsidR="00302383" w:rsidRDefault="00A905D3" w:rsidP="00302383">
      <w:pPr>
        <w:jc w:val="both"/>
      </w:pPr>
      <w:r>
        <w:t>Additionally, h</w:t>
      </w:r>
      <w:r w:rsidR="009D366D">
        <w:t xml:space="preserve">ow you reference the library is </w:t>
      </w:r>
      <w:r w:rsidR="00302383">
        <w:t>also different depending on what IDE you use.</w:t>
      </w:r>
    </w:p>
    <w:p w14:paraId="6231478A" w14:textId="77777777" w:rsidR="000E187C" w:rsidRDefault="000E187C" w:rsidP="000E187C">
      <w:pPr>
        <w:pStyle w:val="Heading3"/>
      </w:pPr>
      <w:r>
        <w:t>Visual Studio</w:t>
      </w:r>
    </w:p>
    <w:p w14:paraId="179263FC" w14:textId="1AE9880C" w:rsidR="000E187C" w:rsidRPr="00403BE4" w:rsidRDefault="000E187C" w:rsidP="00403BE4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E187C">
        <w:t xml:space="preserve">In Solution Explorer, right-click the </w:t>
      </w:r>
      <w:r w:rsidRPr="00403BE4">
        <w:rPr>
          <w:i/>
          <w:iCs/>
        </w:rPr>
        <w:t>References</w:t>
      </w:r>
      <w:r w:rsidRPr="000E187C">
        <w:t xml:space="preserve"> node </w:t>
      </w:r>
      <w:r w:rsidR="004A6DE7">
        <w:t xml:space="preserve">on </w:t>
      </w:r>
      <w:r w:rsidRPr="004A6DE7">
        <w:t>your project</w:t>
      </w:r>
      <w:r>
        <w:t xml:space="preserve"> (not solution)</w:t>
      </w:r>
      <w:r w:rsidRPr="000E187C">
        <w:t xml:space="preserve"> and select </w:t>
      </w:r>
      <w:r w:rsidRPr="00403BE4">
        <w:rPr>
          <w:i/>
          <w:iCs/>
        </w:rPr>
        <w:t>Manage NuGet Packages</w:t>
      </w:r>
      <w:r w:rsidR="006775BC" w:rsidRPr="00403BE4">
        <w:rPr>
          <w:i/>
          <w:iCs/>
        </w:rPr>
        <w:t>.</w:t>
      </w:r>
    </w:p>
    <w:p w14:paraId="3B3E5627" w14:textId="1A181D21" w:rsidR="00302383" w:rsidRDefault="006775BC" w:rsidP="00403BE4">
      <w:pPr>
        <w:pStyle w:val="ListParagraph"/>
        <w:numPr>
          <w:ilvl w:val="0"/>
          <w:numId w:val="2"/>
        </w:numPr>
        <w:jc w:val="both"/>
      </w:pPr>
      <w:r w:rsidRPr="006775BC">
        <w:t xml:space="preserve">Click the </w:t>
      </w:r>
      <w:r w:rsidRPr="00403BE4">
        <w:rPr>
          <w:i/>
          <w:iCs/>
        </w:rPr>
        <w:t>Browse</w:t>
      </w:r>
      <w:r w:rsidRPr="006775BC">
        <w:t xml:space="preserve"> tab and change the Package source to </w:t>
      </w:r>
      <w:r w:rsidRPr="00403BE4">
        <w:rPr>
          <w:b/>
          <w:bCs/>
        </w:rPr>
        <w:t>siccarv3feed</w:t>
      </w:r>
      <w:r w:rsidRPr="006775BC">
        <w:t xml:space="preserve">. </w:t>
      </w:r>
      <w:r>
        <w:t xml:space="preserve">Select the </w:t>
      </w:r>
      <w:r w:rsidRPr="006775BC">
        <w:t xml:space="preserve">package </w:t>
      </w:r>
      <w:r>
        <w:t xml:space="preserve">you want from the list and </w:t>
      </w:r>
      <w:r w:rsidRPr="006775BC">
        <w:t xml:space="preserve">click </w:t>
      </w:r>
      <w:r w:rsidRPr="00403BE4">
        <w:rPr>
          <w:i/>
          <w:iCs/>
        </w:rPr>
        <w:t>Install</w:t>
      </w:r>
      <w:r w:rsidRPr="006775BC">
        <w:t xml:space="preserve"> to add it to the project.</w:t>
      </w:r>
    </w:p>
    <w:p w14:paraId="46021DCC" w14:textId="0B361CBF" w:rsidR="000E187C" w:rsidRDefault="00302383" w:rsidP="00403BE4">
      <w:pPr>
        <w:pStyle w:val="Heading3"/>
        <w:tabs>
          <w:tab w:val="left" w:pos="2120"/>
        </w:tabs>
      </w:pPr>
      <w:r>
        <w:t>VS Code</w:t>
      </w:r>
      <w:r w:rsidR="00403BE4">
        <w:t xml:space="preserve"> / </w:t>
      </w:r>
      <w:r w:rsidR="000E187C">
        <w:t>Dotnet CLI</w:t>
      </w:r>
    </w:p>
    <w:p w14:paraId="5475E5CC" w14:textId="177B5900" w:rsidR="00403BE4" w:rsidRDefault="00403BE4" w:rsidP="00403BE4">
      <w:pPr>
        <w:pStyle w:val="ListParagraph"/>
        <w:numPr>
          <w:ilvl w:val="0"/>
          <w:numId w:val="6"/>
        </w:numPr>
      </w:pPr>
      <w:r w:rsidRPr="00403BE4">
        <w:t xml:space="preserve">Ensure you have installed the latest version of the Azure Artifacts </w:t>
      </w:r>
      <w:r w:rsidR="00DE10A6">
        <w:t>C</w:t>
      </w:r>
      <w:r w:rsidRPr="00403BE4">
        <w:t xml:space="preserve">redential </w:t>
      </w:r>
      <w:r w:rsidR="00DE10A6">
        <w:t>P</w:t>
      </w:r>
      <w:r w:rsidRPr="00403BE4">
        <w:t>rovider</w:t>
      </w:r>
      <w:r>
        <w:t xml:space="preserve"> (</w:t>
      </w:r>
      <w:hyperlink r:id="rId5" w:history="1">
        <w:r w:rsidRPr="00403BE4">
          <w:rPr>
            <w:rStyle w:val="Hyperlink"/>
          </w:rPr>
          <w:t>Download and install the credential provider</w:t>
        </w:r>
      </w:hyperlink>
      <w:r>
        <w:t>)</w:t>
      </w:r>
    </w:p>
    <w:p w14:paraId="3DE44D2A" w14:textId="46965517" w:rsidR="00403BE4" w:rsidRDefault="00403BE4" w:rsidP="00403BE4">
      <w:pPr>
        <w:pStyle w:val="ListParagraph"/>
        <w:numPr>
          <w:ilvl w:val="0"/>
          <w:numId w:val="6"/>
        </w:numPr>
      </w:pPr>
      <w:r w:rsidRPr="00403BE4">
        <w:t xml:space="preserve">Add a </w:t>
      </w:r>
      <w:proofErr w:type="spellStart"/>
      <w:r w:rsidRPr="00403BE4">
        <w:t>nuget.config</w:t>
      </w:r>
      <w:proofErr w:type="spellEnd"/>
      <w:r w:rsidRPr="00403BE4">
        <w:t xml:space="preserve"> file to your project, in the same folder as </w:t>
      </w:r>
      <w:r>
        <w:t xml:space="preserve">the </w:t>
      </w:r>
      <w:r w:rsidRPr="00403BE4">
        <w:t>.csproj file</w:t>
      </w:r>
      <w:r w:rsidR="00E22FEE">
        <w:t xml:space="preserve"> (or .</w:t>
      </w:r>
      <w:proofErr w:type="spellStart"/>
      <w:r w:rsidR="00E22FEE">
        <w:t>sln</w:t>
      </w:r>
      <w:proofErr w:type="spellEnd"/>
      <w:r w:rsidR="00E22FEE">
        <w:t>).</w:t>
      </w:r>
    </w:p>
    <w:p w14:paraId="5AC7CE5B" w14:textId="77777777" w:rsidR="00403BE4" w:rsidRPr="00403BE4" w:rsidRDefault="00403BE4" w:rsidP="004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&lt;?</w:t>
      </w:r>
      <w:r w:rsidRPr="00403B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xml</w:t>
      </w:r>
      <w:r w:rsidRPr="00403B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version</w:t>
      </w: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03B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"1.0"</w:t>
      </w:r>
      <w:r w:rsidRPr="00403B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encoding</w:t>
      </w: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03B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?&gt;</w:t>
      </w:r>
    </w:p>
    <w:p w14:paraId="3E44658E" w14:textId="77777777" w:rsidR="00403BE4" w:rsidRPr="00403BE4" w:rsidRDefault="00403BE4" w:rsidP="004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03B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configuration</w:t>
      </w: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F8D306" w14:textId="77777777" w:rsidR="00403BE4" w:rsidRPr="00403BE4" w:rsidRDefault="00403BE4" w:rsidP="004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403B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packageSources</w:t>
      </w:r>
      <w:proofErr w:type="spellEnd"/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C4703C" w14:textId="77777777" w:rsidR="00403BE4" w:rsidRPr="00403BE4" w:rsidRDefault="00403BE4" w:rsidP="004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03B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clear</w:t>
      </w: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F128C95" w14:textId="77777777" w:rsidR="00403BE4" w:rsidRPr="00403BE4" w:rsidRDefault="00403BE4" w:rsidP="004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03B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add</w:t>
      </w: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03B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03B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"siccarv3feed"</w:t>
      </w: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03B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03B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"https://projectbob.pkgs.visualstudio.com/SICCARV3/_packaging/siccarv3feed/nuget/v3/index.json"</w:t>
      </w: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5A8015A" w14:textId="77777777" w:rsidR="00403BE4" w:rsidRPr="00403BE4" w:rsidRDefault="00403BE4" w:rsidP="004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3B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403B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packageSources</w:t>
      </w:r>
      <w:proofErr w:type="spellEnd"/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48AFA3" w14:textId="77777777" w:rsidR="00403BE4" w:rsidRPr="00403BE4" w:rsidRDefault="00403BE4" w:rsidP="004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03B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configuration</w:t>
      </w:r>
      <w:r w:rsidRPr="00403B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A2523C" w14:textId="3DCE0A49" w:rsidR="00403BE4" w:rsidRDefault="00403BE4" w:rsidP="0034735E"/>
    <w:p w14:paraId="246D72CE" w14:textId="480D30CF" w:rsidR="009E5CD9" w:rsidRDefault="009E5CD9" w:rsidP="009E5CD9">
      <w:pPr>
        <w:pStyle w:val="ListParagraph"/>
        <w:numPr>
          <w:ilvl w:val="0"/>
          <w:numId w:val="6"/>
        </w:numPr>
      </w:pPr>
      <w:r>
        <w:lastRenderedPageBreak/>
        <w:t xml:space="preserve">Add a reference to the library </w:t>
      </w:r>
      <w:r w:rsidR="00602956">
        <w:t xml:space="preserve">package (and version) that you want </w:t>
      </w:r>
      <w:r w:rsidR="00E233E6">
        <w:t xml:space="preserve">to use </w:t>
      </w:r>
      <w:r>
        <w:t>(in the .csproj file)</w:t>
      </w:r>
    </w:p>
    <w:p w14:paraId="4626A4D4" w14:textId="77777777" w:rsidR="009E5CD9" w:rsidRPr="009E5CD9" w:rsidRDefault="009E5CD9" w:rsidP="009E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5C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E5CD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E5C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PackageReference</w:t>
      </w:r>
      <w:r w:rsidRPr="009E5C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E5C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Include</w:t>
      </w:r>
      <w:r w:rsidRPr="009E5C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E5C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9E5C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Siccar.Platform.Registers</w:t>
      </w:r>
      <w:proofErr w:type="gramEnd"/>
      <w:r w:rsidRPr="009E5C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E5C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E5C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Version</w:t>
      </w:r>
      <w:r w:rsidRPr="009E5C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E5C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"1.0.2"</w:t>
      </w:r>
      <w:r w:rsidRPr="009E5CD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B652237" w14:textId="77777777" w:rsidR="009E5CD9" w:rsidRDefault="009E5CD9" w:rsidP="0034735E"/>
    <w:p w14:paraId="251CE073" w14:textId="77777777" w:rsidR="004D4B8B" w:rsidRDefault="004D4B8B" w:rsidP="004D4B8B">
      <w:pPr>
        <w:pStyle w:val="ListParagraph"/>
        <w:numPr>
          <w:ilvl w:val="0"/>
          <w:numId w:val="6"/>
        </w:numPr>
      </w:pPr>
      <w:r>
        <w:t>Restore packages (using the interactive flag, which allows dotnet to prompt you for credentials)</w:t>
      </w:r>
    </w:p>
    <w:p w14:paraId="59A8BFBD" w14:textId="7C11BB8F" w:rsidR="00403BE4" w:rsidRPr="004D4B8B" w:rsidRDefault="004D4B8B" w:rsidP="004D4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 w:rsidRPr="004D4B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dotnet restore --interactive</w:t>
      </w:r>
    </w:p>
    <w:p w14:paraId="134E79F5" w14:textId="44A9610E" w:rsidR="00403BE4" w:rsidRDefault="00403BE4" w:rsidP="0034735E"/>
    <w:p w14:paraId="2F9FCF9D" w14:textId="14883836" w:rsidR="00B834BC" w:rsidRDefault="0041491D" w:rsidP="0041491D">
      <w:pPr>
        <w:jc w:val="both"/>
      </w:pPr>
      <w:r>
        <w:t xml:space="preserve">Note: </w:t>
      </w:r>
      <w:r w:rsidR="00B834BC">
        <w:t xml:space="preserve">If you have problems accessing the package in Azure DevOps Feeds, then </w:t>
      </w:r>
      <w:r>
        <w:t xml:space="preserve">you </w:t>
      </w:r>
      <w:r w:rsidR="00B834BC">
        <w:t>probably</w:t>
      </w:r>
      <w:r>
        <w:t xml:space="preserve"> need to check </w:t>
      </w:r>
      <w:r w:rsidR="00B834BC">
        <w:t>the Azure DevOps permissions</w:t>
      </w:r>
      <w:r>
        <w:t>.</w:t>
      </w:r>
      <w:r w:rsidR="00BE4DB8">
        <w:t xml:space="preserve"> See </w:t>
      </w:r>
      <w:hyperlink r:id="rId6" w:history="1">
        <w:r w:rsidR="00BE4DB8" w:rsidRPr="00BE4DB8">
          <w:rPr>
            <w:rStyle w:val="Hyperlink"/>
          </w:rPr>
          <w:t>feed permissions</w:t>
        </w:r>
      </w:hyperlink>
      <w:r w:rsidR="00BE4DB8">
        <w:t>.</w:t>
      </w:r>
    </w:p>
    <w:p w14:paraId="2A4155E2" w14:textId="15733CD0" w:rsidR="00302383" w:rsidRDefault="00302383" w:rsidP="009D366D">
      <w:pPr>
        <w:pStyle w:val="Heading2"/>
      </w:pPr>
      <w:r>
        <w:t>Versioning and Updating a Library</w:t>
      </w:r>
    </w:p>
    <w:p w14:paraId="4B6C032D" w14:textId="23665DD2" w:rsidR="00E47E63" w:rsidRDefault="00B8304E" w:rsidP="0034735E">
      <w:r>
        <w:t xml:space="preserve">Versioning is obviously </w:t>
      </w:r>
      <w:r w:rsidR="00716DF8">
        <w:t xml:space="preserve">from the perspective of the library author. The version </w:t>
      </w:r>
      <w:r w:rsidR="00DF6555">
        <w:t xml:space="preserve">number </w:t>
      </w:r>
      <w:r w:rsidR="00716DF8">
        <w:t xml:space="preserve">will auto increment using the </w:t>
      </w:r>
      <w:r w:rsidR="00DF6555">
        <w:t xml:space="preserve">Azure </w:t>
      </w:r>
      <w:r w:rsidR="00716DF8">
        <w:t xml:space="preserve">DevOps </w:t>
      </w:r>
      <w:r w:rsidR="00DF6555">
        <w:t xml:space="preserve">Pipeline </w:t>
      </w:r>
      <w:proofErr w:type="spellStart"/>
      <w:r w:rsidR="00DF6555">
        <w:t>B</w:t>
      </w:r>
      <w:r w:rsidR="00716DF8">
        <w:t>uild</w:t>
      </w:r>
      <w:r w:rsidR="00DF6555">
        <w:t>Id</w:t>
      </w:r>
      <w:proofErr w:type="spellEnd"/>
      <w:r w:rsidR="00716DF8">
        <w:t>. We can change this behaviour later if we want to.</w:t>
      </w:r>
    </w:p>
    <w:sectPr w:rsidR="00E4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B9C"/>
    <w:multiLevelType w:val="hybridMultilevel"/>
    <w:tmpl w:val="5C42A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37D44"/>
    <w:multiLevelType w:val="hybridMultilevel"/>
    <w:tmpl w:val="951CB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8655D"/>
    <w:multiLevelType w:val="hybridMultilevel"/>
    <w:tmpl w:val="EFE26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B2360"/>
    <w:multiLevelType w:val="hybridMultilevel"/>
    <w:tmpl w:val="B776E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41573"/>
    <w:multiLevelType w:val="hybridMultilevel"/>
    <w:tmpl w:val="312257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A5533"/>
    <w:multiLevelType w:val="hybridMultilevel"/>
    <w:tmpl w:val="B30207AC"/>
    <w:lvl w:ilvl="0" w:tplc="F31874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F4D88"/>
    <w:multiLevelType w:val="hybridMultilevel"/>
    <w:tmpl w:val="1B8C0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81785"/>
    <w:multiLevelType w:val="hybridMultilevel"/>
    <w:tmpl w:val="D9D43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9A"/>
    <w:rsid w:val="00053827"/>
    <w:rsid w:val="000E187C"/>
    <w:rsid w:val="00302383"/>
    <w:rsid w:val="003256F8"/>
    <w:rsid w:val="0034735E"/>
    <w:rsid w:val="003540CD"/>
    <w:rsid w:val="003E2863"/>
    <w:rsid w:val="003E59D0"/>
    <w:rsid w:val="00403BE4"/>
    <w:rsid w:val="0041491D"/>
    <w:rsid w:val="00417D08"/>
    <w:rsid w:val="00485D14"/>
    <w:rsid w:val="004A6DE7"/>
    <w:rsid w:val="004D4B8B"/>
    <w:rsid w:val="00555982"/>
    <w:rsid w:val="00581B86"/>
    <w:rsid w:val="00585D98"/>
    <w:rsid w:val="00591166"/>
    <w:rsid w:val="00602956"/>
    <w:rsid w:val="006775BC"/>
    <w:rsid w:val="00716DF8"/>
    <w:rsid w:val="007247E6"/>
    <w:rsid w:val="00777EE0"/>
    <w:rsid w:val="007C16C9"/>
    <w:rsid w:val="00820C1A"/>
    <w:rsid w:val="008C492D"/>
    <w:rsid w:val="00946D31"/>
    <w:rsid w:val="00967543"/>
    <w:rsid w:val="009757B9"/>
    <w:rsid w:val="009D366D"/>
    <w:rsid w:val="009E5CD9"/>
    <w:rsid w:val="00A138A4"/>
    <w:rsid w:val="00A905D3"/>
    <w:rsid w:val="00AB60B3"/>
    <w:rsid w:val="00B8304E"/>
    <w:rsid w:val="00B834BC"/>
    <w:rsid w:val="00B92205"/>
    <w:rsid w:val="00BD1F8D"/>
    <w:rsid w:val="00BD2459"/>
    <w:rsid w:val="00BE4DB8"/>
    <w:rsid w:val="00C135EB"/>
    <w:rsid w:val="00CB354C"/>
    <w:rsid w:val="00CD29AE"/>
    <w:rsid w:val="00CF3122"/>
    <w:rsid w:val="00D35468"/>
    <w:rsid w:val="00DE0A9A"/>
    <w:rsid w:val="00DE10A6"/>
    <w:rsid w:val="00DF6555"/>
    <w:rsid w:val="00E22FEE"/>
    <w:rsid w:val="00E233E6"/>
    <w:rsid w:val="00E47E63"/>
    <w:rsid w:val="00E5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9159"/>
  <w15:chartTrackingRefBased/>
  <w15:docId w15:val="{D0834DAA-6FD8-4ADB-B154-07208543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4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02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3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18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devops/artifacts/feeds/feed-permissions?view=azure-devops" TargetMode="External"/><Relationship Id="rId5" Type="http://schemas.openxmlformats.org/officeDocument/2006/relationships/hyperlink" Target="https://go.microsoft.com/fwlink/?linkid=20996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47</cp:revision>
  <dcterms:created xsi:type="dcterms:W3CDTF">2021-09-06T13:56:00Z</dcterms:created>
  <dcterms:modified xsi:type="dcterms:W3CDTF">2021-09-10T16:19:00Z</dcterms:modified>
</cp:coreProperties>
</file>