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1516E3" wp14:paraId="2C39551B" wp14:textId="7BBD8CB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641516E3" w:rsidR="64151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Given the provided data, what are three conclusions that we can draw about crowdfunding campaigns?</w:t>
      </w:r>
    </w:p>
    <w:p xmlns:wp14="http://schemas.microsoft.com/office/word/2010/wordml" w:rsidP="641516E3" wp14:paraId="21187A11" wp14:textId="3C26FA7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We can conclude</w:t>
      </w:r>
    </w:p>
    <w:p xmlns:wp14="http://schemas.microsoft.com/office/word/2010/wordml" w:rsidP="641516E3" wp14:paraId="0C887233" wp14:textId="68B08AC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-That crowdfunding campaigns are most likely to succeed in July and least likely to succeed in August,</w:t>
      </w:r>
    </w:p>
    <w:p xmlns:wp14="http://schemas.microsoft.com/office/word/2010/wordml" w:rsidP="641516E3" wp14:paraId="1539AA2B" wp14:textId="284A59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-That crowdfunding is 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relatively obscure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outside the United States, and</w:t>
      </w:r>
    </w:p>
    <w:p xmlns:wp14="http://schemas.microsoft.com/office/word/2010/wordml" w:rsidP="641516E3" wp14:paraId="04E2F76D" wp14:textId="7D55948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-That food-related 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campaign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s are the least popular types.</w:t>
      </w:r>
    </w:p>
    <w:p xmlns:wp14="http://schemas.microsoft.com/office/word/2010/wordml" w:rsidP="641516E3" wp14:paraId="65B3AEA9" wp14:textId="4596C367">
      <w:pPr>
        <w:pStyle w:val="Normal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641516E3" wp14:paraId="28C96AF8" wp14:textId="690215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641516E3" w:rsidR="64151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What are some limitations of this dataset?</w:t>
      </w:r>
    </w:p>
    <w:p xmlns:wp14="http://schemas.microsoft.com/office/word/2010/wordml" w:rsidP="641516E3" wp14:paraId="3712CB7C" wp14:textId="00B0674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It cannot be used to predict the success of crowdfunded campaigns in these same categories from the 2020s, and it 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misses out on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certain categories such as political and philanthropic work.</w:t>
      </w:r>
    </w:p>
    <w:p xmlns:wp14="http://schemas.microsoft.com/office/word/2010/wordml" w:rsidP="641516E3" wp14:paraId="51AA38AC" wp14:textId="43CDAB15">
      <w:pPr>
        <w:pStyle w:val="Normal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641516E3" wp14:paraId="34C3128A" wp14:textId="6A39135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641516E3" w:rsidR="64151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What are some other </w:t>
      </w:r>
      <w:r w:rsidRPr="641516E3" w:rsidR="64151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possible tables</w:t>
      </w:r>
      <w:r w:rsidRPr="641516E3" w:rsidR="64151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and/or graphs that we could create, and what </w:t>
      </w:r>
      <w:r w:rsidRPr="641516E3" w:rsidR="64151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additional</w:t>
      </w:r>
      <w:r w:rsidRPr="641516E3" w:rsidR="64151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value would they provide?</w:t>
      </w:r>
    </w:p>
    <w:p xmlns:wp14="http://schemas.microsoft.com/office/word/2010/wordml" w:rsidP="641516E3" wp14:paraId="7F982DAC" wp14:textId="0659F6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We could use a line chart to compare the number of backers in particular categories or subcategories with the success rate of campaigns in those categories. While more backers would 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generally indicate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a higher rate of success for a campaign, the correlation 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demonstrated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in such a chart will effectively convey the “sweet spot” 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crowdfunders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should consider in their campaigns.</w:t>
      </w:r>
    </w:p>
    <w:p xmlns:wp14="http://schemas.microsoft.com/office/word/2010/wordml" w:rsidP="641516E3" wp14:paraId="0B60DF23" wp14:textId="039B6E6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p xmlns:wp14="http://schemas.microsoft.com/office/word/2010/wordml" w:rsidP="641516E3" wp14:paraId="5184D1AD" wp14:textId="3FEDB5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The mean better summarizes this data set because in a data set as skewed as this one is, it better 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represents</w:t>
      </w: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mass crowdfunding campaigns than the median does. The lower value of the median, for both successful and failed campaigns, makes it less ideal for predicting the outcome of, say, a campaign with over 5000 backers.</w:t>
      </w:r>
    </w:p>
    <w:p xmlns:wp14="http://schemas.microsoft.com/office/word/2010/wordml" w:rsidP="641516E3" wp14:paraId="3525E177" wp14:textId="385F007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p xmlns:wp14="http://schemas.microsoft.com/office/word/2010/wordml" w:rsidP="641516E3" wp14:paraId="26B17CB1" wp14:textId="780971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641516E3" w:rsidR="64151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It makes more sense for successful outcomes to have more variability because there are more of them, and the maximum and variance are higher.</w:t>
      </w:r>
    </w:p>
    <w:p xmlns:wp14="http://schemas.microsoft.com/office/word/2010/wordml" w:rsidP="641516E3" wp14:paraId="0FDCA69F" wp14:textId="511848E8">
      <w:pPr>
        <w:pStyle w:val="Normal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xmlns:wp14="http://schemas.microsoft.com/office/word/2010/wordml" w:rsidP="641516E3" wp14:paraId="2C078E63" wp14:textId="346D82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b2a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5CB40"/>
    <w:rsid w:val="1295CB40"/>
    <w:rsid w:val="6415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1DF8"/>
  <w15:chartTrackingRefBased/>
  <w15:docId w15:val="{C1E62894-00BB-41EA-B908-B30759B30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250eba6d6643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2023-08-31T23:29:01.3433036Z</dcterms:created>
  <dcterms:modified xsi:type="dcterms:W3CDTF">2023-09-03T16:46:46.6112641Z</dcterms:modified>
  <dc:creator>Stuart Brown</dc:creator>
  <lastModifiedBy>Stuart Brown</lastModifiedBy>
</coreProperties>
</file>