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A4818" w14:textId="77777777" w:rsidR="007B0AB7" w:rsidRDefault="007B0AB7" w:rsidP="007B0AB7">
      <w:pPr>
        <w:ind w:left="-284" w:right="-279"/>
        <w:jc w:val="center"/>
        <w:rPr>
          <w:b/>
          <w:bCs/>
        </w:rPr>
      </w:pPr>
      <w:commentRangeStart w:id="0"/>
      <w:r w:rsidRPr="00820A6A">
        <w:rPr>
          <w:b/>
          <w:bCs/>
        </w:rPr>
        <w:t xml:space="preserve">Time from Diagnosis to Treatment as a Prognostic Factor in </w:t>
      </w:r>
      <w:r w:rsidR="008C5A7D">
        <w:rPr>
          <w:b/>
          <w:bCs/>
        </w:rPr>
        <w:t xml:space="preserve">Adult Patient Newly-Diagnosed </w:t>
      </w:r>
      <w:r w:rsidRPr="00820A6A">
        <w:rPr>
          <w:b/>
          <w:bCs/>
        </w:rPr>
        <w:t>with Acute Myeloid Leukemia:  A 5-Year</w:t>
      </w:r>
      <w:r>
        <w:rPr>
          <w:b/>
          <w:bCs/>
        </w:rPr>
        <w:t xml:space="preserve"> Retrospective</w:t>
      </w:r>
      <w:r w:rsidRPr="00820A6A">
        <w:rPr>
          <w:b/>
          <w:bCs/>
        </w:rPr>
        <w:t xml:space="preserve"> Study</w:t>
      </w:r>
      <w:r w:rsidR="008C5A7D">
        <w:rPr>
          <w:b/>
          <w:bCs/>
        </w:rPr>
        <w:t xml:space="preserve"> in a Tertiary Institution </w:t>
      </w:r>
      <w:commentRangeEnd w:id="0"/>
      <w:r w:rsidR="008C5A7D">
        <w:rPr>
          <w:rStyle w:val="CommentReference"/>
        </w:rPr>
        <w:commentReference w:id="0"/>
      </w:r>
    </w:p>
    <w:p w14:paraId="093CA0DB" w14:textId="77777777" w:rsidR="007B0AB7" w:rsidRDefault="007B0AB7" w:rsidP="00204C99">
      <w:pPr>
        <w:ind w:right="-279"/>
        <w:rPr>
          <w:b/>
          <w:bCs/>
        </w:rPr>
      </w:pPr>
    </w:p>
    <w:p w14:paraId="75F3A6C1" w14:textId="77777777" w:rsidR="007B0AB7" w:rsidRPr="00820A6A" w:rsidRDefault="007B0AB7" w:rsidP="007B0AB7">
      <w:pPr>
        <w:ind w:left="-284" w:right="-279"/>
        <w:jc w:val="center"/>
        <w:rPr>
          <w:b/>
          <w:bCs/>
        </w:rPr>
      </w:pPr>
    </w:p>
    <w:p w14:paraId="1F5138F8" w14:textId="77777777" w:rsidR="007B0AB7" w:rsidRPr="00820A6A" w:rsidRDefault="007B0AB7" w:rsidP="007B0AB7">
      <w:pPr>
        <w:spacing w:before="53"/>
        <w:ind w:right="4"/>
        <w:jc w:val="center"/>
      </w:pPr>
      <w:r w:rsidRPr="00820A6A">
        <w:rPr>
          <w:color w:val="0D0D0D"/>
        </w:rPr>
        <w:t xml:space="preserve">Ana Margarita R. Natividad </w:t>
      </w:r>
      <w:r w:rsidRPr="00820A6A">
        <w:rPr>
          <w:color w:val="0D0D0D"/>
          <w:spacing w:val="-5"/>
        </w:rPr>
        <w:t>MD</w:t>
      </w:r>
      <w:r w:rsidRPr="00820A6A">
        <w:t xml:space="preserve"> and </w:t>
      </w:r>
      <w:r w:rsidRPr="00820A6A">
        <w:rPr>
          <w:color w:val="0D0D0D"/>
        </w:rPr>
        <w:t xml:space="preserve">Anne Kristine H. </w:t>
      </w:r>
      <w:proofErr w:type="spellStart"/>
      <w:r w:rsidRPr="00820A6A">
        <w:rPr>
          <w:color w:val="0D0D0D"/>
        </w:rPr>
        <w:t>Quero-Taggaoa</w:t>
      </w:r>
      <w:proofErr w:type="spellEnd"/>
      <w:r w:rsidRPr="00820A6A">
        <w:rPr>
          <w:color w:val="0D0D0D"/>
        </w:rPr>
        <w:t xml:space="preserve"> </w:t>
      </w:r>
      <w:r w:rsidRPr="00820A6A">
        <w:rPr>
          <w:color w:val="0D0D0D"/>
          <w:spacing w:val="-5"/>
        </w:rPr>
        <w:t>MD</w:t>
      </w:r>
    </w:p>
    <w:p w14:paraId="0A034981" w14:textId="77777777" w:rsidR="007B0AB7" w:rsidRDefault="007B0AB7" w:rsidP="007B0AB7">
      <w:pPr>
        <w:pStyle w:val="BodyText"/>
        <w:spacing w:before="1"/>
        <w:ind w:right="4"/>
        <w:jc w:val="center"/>
        <w:rPr>
          <w:color w:val="0D0D0D"/>
          <w:sz w:val="21"/>
          <w:szCs w:val="21"/>
        </w:rPr>
      </w:pPr>
    </w:p>
    <w:p w14:paraId="77FE6D6C" w14:textId="7ECDA330" w:rsidR="007B0AB7" w:rsidRPr="007A423D" w:rsidRDefault="007B0AB7" w:rsidP="007A423D">
      <w:pPr>
        <w:pStyle w:val="BodyText"/>
        <w:spacing w:before="1"/>
        <w:ind w:right="4"/>
        <w:jc w:val="center"/>
        <w:rPr>
          <w:sz w:val="21"/>
          <w:szCs w:val="21"/>
        </w:rPr>
      </w:pPr>
      <w:r w:rsidRPr="00820A6A">
        <w:rPr>
          <w:color w:val="0D0D0D"/>
          <w:sz w:val="21"/>
          <w:szCs w:val="21"/>
        </w:rPr>
        <w:t>Division</w:t>
      </w:r>
      <w:r w:rsidRPr="00820A6A">
        <w:rPr>
          <w:color w:val="0D0D0D"/>
          <w:spacing w:val="-6"/>
          <w:sz w:val="21"/>
          <w:szCs w:val="21"/>
        </w:rPr>
        <w:t xml:space="preserve"> </w:t>
      </w:r>
      <w:r w:rsidRPr="00820A6A">
        <w:rPr>
          <w:color w:val="0D0D0D"/>
          <w:sz w:val="21"/>
          <w:szCs w:val="21"/>
        </w:rPr>
        <w:t>of</w:t>
      </w:r>
      <w:r w:rsidRPr="00820A6A">
        <w:rPr>
          <w:color w:val="0D0D0D"/>
          <w:spacing w:val="-6"/>
          <w:sz w:val="21"/>
          <w:szCs w:val="21"/>
        </w:rPr>
        <w:t xml:space="preserve"> </w:t>
      </w:r>
      <w:r w:rsidRPr="00820A6A">
        <w:rPr>
          <w:color w:val="0D0D0D"/>
          <w:sz w:val="21"/>
          <w:szCs w:val="21"/>
        </w:rPr>
        <w:t>Hematology,</w:t>
      </w:r>
      <w:r w:rsidRPr="00820A6A">
        <w:rPr>
          <w:color w:val="0D0D0D"/>
          <w:spacing w:val="-6"/>
          <w:sz w:val="21"/>
          <w:szCs w:val="21"/>
        </w:rPr>
        <w:t xml:space="preserve"> </w:t>
      </w:r>
      <w:r w:rsidRPr="00820A6A">
        <w:rPr>
          <w:color w:val="0D0D0D"/>
          <w:sz w:val="21"/>
          <w:szCs w:val="21"/>
        </w:rPr>
        <w:t>Department</w:t>
      </w:r>
      <w:r w:rsidRPr="00820A6A">
        <w:rPr>
          <w:color w:val="0D0D0D"/>
          <w:spacing w:val="-6"/>
          <w:sz w:val="21"/>
          <w:szCs w:val="21"/>
        </w:rPr>
        <w:t xml:space="preserve"> </w:t>
      </w:r>
      <w:r w:rsidRPr="00820A6A">
        <w:rPr>
          <w:color w:val="0D0D0D"/>
          <w:sz w:val="21"/>
          <w:szCs w:val="21"/>
        </w:rPr>
        <w:t>of</w:t>
      </w:r>
      <w:r w:rsidRPr="00820A6A">
        <w:rPr>
          <w:color w:val="0D0D0D"/>
          <w:spacing w:val="-6"/>
          <w:sz w:val="21"/>
          <w:szCs w:val="21"/>
        </w:rPr>
        <w:t xml:space="preserve"> </w:t>
      </w:r>
      <w:r w:rsidRPr="00820A6A">
        <w:rPr>
          <w:color w:val="0D0D0D"/>
          <w:sz w:val="21"/>
          <w:szCs w:val="21"/>
        </w:rPr>
        <w:t>Medicine,</w:t>
      </w:r>
      <w:r w:rsidRPr="00820A6A">
        <w:rPr>
          <w:color w:val="0D0D0D"/>
          <w:spacing w:val="-6"/>
          <w:sz w:val="21"/>
          <w:szCs w:val="21"/>
        </w:rPr>
        <w:t xml:space="preserve"> </w:t>
      </w:r>
      <w:r w:rsidRPr="00820A6A">
        <w:rPr>
          <w:color w:val="0D0D0D"/>
          <w:sz w:val="21"/>
          <w:szCs w:val="21"/>
        </w:rPr>
        <w:t>University</w:t>
      </w:r>
      <w:r w:rsidRPr="00820A6A">
        <w:rPr>
          <w:color w:val="0D0D0D"/>
          <w:spacing w:val="-6"/>
          <w:sz w:val="21"/>
          <w:szCs w:val="21"/>
        </w:rPr>
        <w:t xml:space="preserve"> </w:t>
      </w:r>
      <w:r w:rsidRPr="00820A6A">
        <w:rPr>
          <w:color w:val="0D0D0D"/>
          <w:sz w:val="21"/>
          <w:szCs w:val="21"/>
        </w:rPr>
        <w:t>of</w:t>
      </w:r>
      <w:r w:rsidRPr="00820A6A">
        <w:rPr>
          <w:color w:val="0D0D0D"/>
          <w:spacing w:val="-6"/>
          <w:sz w:val="21"/>
          <w:szCs w:val="21"/>
        </w:rPr>
        <w:t xml:space="preserve"> </w:t>
      </w:r>
      <w:r w:rsidRPr="00820A6A">
        <w:rPr>
          <w:color w:val="0D0D0D"/>
          <w:sz w:val="21"/>
          <w:szCs w:val="21"/>
        </w:rPr>
        <w:t>the</w:t>
      </w:r>
      <w:r w:rsidRPr="00820A6A">
        <w:rPr>
          <w:color w:val="0D0D0D"/>
          <w:spacing w:val="-6"/>
          <w:sz w:val="21"/>
          <w:szCs w:val="21"/>
        </w:rPr>
        <w:t xml:space="preserve"> </w:t>
      </w:r>
      <w:r w:rsidRPr="00820A6A">
        <w:rPr>
          <w:color w:val="0D0D0D"/>
          <w:sz w:val="21"/>
          <w:szCs w:val="21"/>
        </w:rPr>
        <w:t>Philippines</w:t>
      </w:r>
      <w:r w:rsidRPr="00820A6A">
        <w:rPr>
          <w:color w:val="0D0D0D"/>
          <w:spacing w:val="-6"/>
          <w:sz w:val="21"/>
          <w:szCs w:val="21"/>
        </w:rPr>
        <w:t xml:space="preserve"> </w:t>
      </w:r>
      <w:r w:rsidRPr="00820A6A">
        <w:rPr>
          <w:color w:val="0D0D0D"/>
          <w:sz w:val="21"/>
          <w:szCs w:val="21"/>
        </w:rPr>
        <w:t>–</w:t>
      </w:r>
      <w:r w:rsidRPr="00820A6A">
        <w:rPr>
          <w:color w:val="0D0D0D"/>
          <w:spacing w:val="-6"/>
          <w:sz w:val="21"/>
          <w:szCs w:val="21"/>
        </w:rPr>
        <w:t xml:space="preserve"> </w:t>
      </w:r>
      <w:r w:rsidRPr="00820A6A">
        <w:rPr>
          <w:color w:val="0D0D0D"/>
          <w:sz w:val="21"/>
          <w:szCs w:val="21"/>
        </w:rPr>
        <w:t>Philippine General Hospital</w:t>
      </w:r>
    </w:p>
    <w:p w14:paraId="76B8AD62" w14:textId="77777777" w:rsidR="007B0AB7" w:rsidRDefault="007B0AB7" w:rsidP="007B0AB7">
      <w:pPr>
        <w:pStyle w:val="BodyText"/>
        <w:spacing w:line="480" w:lineRule="auto"/>
        <w:ind w:right="4"/>
        <w:jc w:val="both"/>
        <w:rPr>
          <w:color w:val="0D0D0D"/>
        </w:rPr>
      </w:pPr>
    </w:p>
    <w:p w14:paraId="6DBE36A2" w14:textId="77777777" w:rsidR="007A423D" w:rsidRPr="00820A6A" w:rsidRDefault="007A423D" w:rsidP="007B0AB7">
      <w:pPr>
        <w:pStyle w:val="BodyText"/>
        <w:spacing w:line="480" w:lineRule="auto"/>
        <w:ind w:right="4"/>
        <w:jc w:val="both"/>
        <w:rPr>
          <w:color w:val="0D0D0D"/>
        </w:rPr>
      </w:pPr>
    </w:p>
    <w:p w14:paraId="25E0910C" w14:textId="77777777" w:rsidR="007B0AB7" w:rsidRPr="00820A6A" w:rsidRDefault="007B0AB7" w:rsidP="007B0AB7">
      <w:pPr>
        <w:pStyle w:val="BodyText"/>
        <w:spacing w:line="480" w:lineRule="auto"/>
        <w:ind w:right="4"/>
        <w:jc w:val="both"/>
        <w:rPr>
          <w:b/>
          <w:bCs/>
          <w:color w:val="0D0D0D"/>
        </w:rPr>
      </w:pPr>
      <w:r w:rsidRPr="00820A6A">
        <w:rPr>
          <w:b/>
          <w:bCs/>
          <w:color w:val="0D0D0D"/>
        </w:rPr>
        <w:t xml:space="preserve">INTRODUCTION </w:t>
      </w:r>
    </w:p>
    <w:p w14:paraId="33294A5C" w14:textId="77777777" w:rsidR="007B0AB7" w:rsidRPr="00820A6A" w:rsidRDefault="007B0AB7" w:rsidP="007B0AB7">
      <w:pPr>
        <w:pStyle w:val="BodyText"/>
        <w:spacing w:line="480" w:lineRule="auto"/>
        <w:ind w:right="4"/>
        <w:jc w:val="both"/>
        <w:rPr>
          <w:b/>
          <w:bCs/>
          <w:color w:val="0D0D0D"/>
        </w:rPr>
      </w:pPr>
      <w:r w:rsidRPr="00820A6A">
        <w:rPr>
          <w:b/>
          <w:bCs/>
          <w:color w:val="0D0D0D"/>
        </w:rPr>
        <w:t>Background of the Study</w:t>
      </w:r>
    </w:p>
    <w:p w14:paraId="52166C75" w14:textId="77777777" w:rsidR="007B0AB7" w:rsidRPr="00FF1475" w:rsidRDefault="007B0AB7" w:rsidP="007B0AB7">
      <w:pPr>
        <w:pStyle w:val="BodyText"/>
        <w:spacing w:line="480" w:lineRule="auto"/>
        <w:ind w:right="4" w:firstLine="360"/>
        <w:jc w:val="both"/>
        <w:rPr>
          <w:i/>
          <w:iCs/>
          <w:color w:val="0D0D0D"/>
        </w:rPr>
      </w:pPr>
      <w:r w:rsidRPr="00820A6A">
        <w:rPr>
          <w:color w:val="0D0D0D"/>
        </w:rPr>
        <w:t>Acute Myeloid Leukemia (AML) is a rare bone marrow cancer resulting from an accumulation of immature</w:t>
      </w:r>
      <w:r>
        <w:rPr>
          <w:color w:val="0D0D0D"/>
        </w:rPr>
        <w:t>, nonfunctional</w:t>
      </w:r>
      <w:r w:rsidRPr="00820A6A">
        <w:rPr>
          <w:color w:val="0D0D0D"/>
        </w:rPr>
        <w:t xml:space="preserve"> blood cells (myeloblast) in the bone marrow and blood leading to </w:t>
      </w:r>
      <w:r>
        <w:rPr>
          <w:color w:val="0D0D0D"/>
        </w:rPr>
        <w:t>ab</w:t>
      </w:r>
      <w:r w:rsidRPr="00820A6A">
        <w:rPr>
          <w:color w:val="0D0D0D"/>
        </w:rPr>
        <w:t>normal hematopoiesis. The resultant anemia leads to weakness and pallor; neutropenia leads to increase risk of infection and poor wound healing; and thrombocytopenia leads to spontaneous bleeding.</w:t>
      </w:r>
      <w:r>
        <w:rPr>
          <w:color w:val="0D0D0D"/>
        </w:rPr>
        <w:t xml:space="preserve"> </w:t>
      </w:r>
      <w:r w:rsidRPr="003632C6">
        <w:rPr>
          <w:color w:val="0D0D0D"/>
          <w:vertAlign w:val="superscript"/>
        </w:rPr>
        <w:t>1,2</w:t>
      </w:r>
    </w:p>
    <w:p w14:paraId="414BB7D2" w14:textId="77777777" w:rsidR="007B0AB7" w:rsidRPr="00FF1475" w:rsidRDefault="007B0AB7" w:rsidP="007B0AB7">
      <w:pPr>
        <w:pStyle w:val="BodyText"/>
        <w:spacing w:line="480" w:lineRule="auto"/>
        <w:ind w:right="4" w:firstLine="360"/>
        <w:jc w:val="both"/>
        <w:rPr>
          <w:i/>
          <w:iCs/>
          <w:color w:val="0D0D0D"/>
        </w:rPr>
      </w:pPr>
      <w:r w:rsidRPr="00820A6A">
        <w:rPr>
          <w:color w:val="0D0D0D"/>
        </w:rPr>
        <w:t>Leukemia accounts for 2.5% of all new cancer incidence and 3.1% of cancer related mortality.</w:t>
      </w:r>
      <w:r w:rsidRPr="003632C6">
        <w:rPr>
          <w:color w:val="0D0D0D"/>
          <w:vertAlign w:val="superscript"/>
        </w:rPr>
        <w:t>3</w:t>
      </w:r>
      <w:r>
        <w:rPr>
          <w:i/>
          <w:iCs/>
          <w:color w:val="0D0D0D"/>
        </w:rPr>
        <w:t xml:space="preserve"> </w:t>
      </w:r>
      <w:r w:rsidRPr="00820A6A">
        <w:rPr>
          <w:color w:val="0D0D0D"/>
        </w:rPr>
        <w:t>AML is the most common form of acute leukemia among adults in the United States, as well as the largest reports of annual death from leukemias.</w:t>
      </w:r>
      <w:r w:rsidRPr="003632C6">
        <w:rPr>
          <w:color w:val="0D0D0D"/>
          <w:vertAlign w:val="superscript"/>
        </w:rPr>
        <w:t>4</w:t>
      </w:r>
      <w:r>
        <w:rPr>
          <w:color w:val="0D0D0D"/>
        </w:rPr>
        <w:t xml:space="preserve"> </w:t>
      </w:r>
      <w:r w:rsidRPr="003632C6">
        <w:rPr>
          <w:color w:val="0D0D0D"/>
        </w:rPr>
        <w:t>In</w:t>
      </w:r>
      <w:r w:rsidRPr="00820A6A">
        <w:rPr>
          <w:color w:val="0D0D0D"/>
        </w:rPr>
        <w:t xml:space="preserve"> the Philippines, leukemia is among the top 5 causes of cancer mortality, with increasing incidence from 5</w:t>
      </w:r>
      <w:r>
        <w:rPr>
          <w:color w:val="0D0D0D"/>
        </w:rPr>
        <w:t>,</w:t>
      </w:r>
      <w:r w:rsidRPr="00820A6A">
        <w:rPr>
          <w:color w:val="0D0D0D"/>
        </w:rPr>
        <w:t>795 in 2020 to 7,026 in 2022</w:t>
      </w:r>
      <w:r>
        <w:rPr>
          <w:color w:val="0D0D0D"/>
        </w:rPr>
        <w:t>.</w:t>
      </w:r>
      <w:r w:rsidRPr="003632C6">
        <w:rPr>
          <w:color w:val="0D0D0D"/>
          <w:vertAlign w:val="superscript"/>
        </w:rPr>
        <w:t>5</w:t>
      </w:r>
    </w:p>
    <w:p w14:paraId="10D7BBAC" w14:textId="77777777" w:rsidR="007B0AB7" w:rsidRDefault="007B0AB7" w:rsidP="007B0AB7">
      <w:pPr>
        <w:pStyle w:val="BodyText"/>
        <w:spacing w:line="480" w:lineRule="auto"/>
        <w:ind w:right="4" w:firstLine="360"/>
        <w:jc w:val="both"/>
        <w:rPr>
          <w:color w:val="0D0D0D"/>
        </w:rPr>
      </w:pPr>
      <w:r>
        <w:rPr>
          <w:color w:val="0D0D0D"/>
        </w:rPr>
        <w:t>Historically, AML is defined by the French American British (FAB) system using morphology and immunohistochemical stains to differentiate it from acute lymphoblastic leukemia (ALL).</w:t>
      </w:r>
      <w:r w:rsidRPr="003632C6">
        <w:rPr>
          <w:color w:val="0D0D0D"/>
          <w:vertAlign w:val="superscript"/>
        </w:rPr>
        <w:t>6</w:t>
      </w:r>
      <w:r>
        <w:rPr>
          <w:color w:val="0D0D0D"/>
        </w:rPr>
        <w:t xml:space="preserve"> In the latest World Health Organization (WHO) Classification, AML is divided into 2 separate groups: AML defined by differentiation, and AML with defining genetic abnormalities with the later confirming the diagnosis regardless of blast percentage. The 20% blast cutoff is maintained to differentiate Myelodysplastic Syndrome (MDS) from AML. Classification of AML requires morphologic, immunophenotyping and molecular genetic analysis.</w:t>
      </w:r>
      <w:r w:rsidRPr="003632C6">
        <w:rPr>
          <w:color w:val="0D0D0D"/>
          <w:vertAlign w:val="superscript"/>
        </w:rPr>
        <w:t>7</w:t>
      </w:r>
    </w:p>
    <w:p w14:paraId="3F477ACB" w14:textId="77777777" w:rsidR="007B0AB7" w:rsidRDefault="007B0AB7" w:rsidP="007B0AB7">
      <w:pPr>
        <w:pStyle w:val="BodyText"/>
        <w:spacing w:line="480" w:lineRule="auto"/>
        <w:ind w:right="4"/>
        <w:rPr>
          <w:b/>
          <w:bCs/>
          <w:color w:val="0D0D0D"/>
          <w:spacing w:val="-2"/>
        </w:rPr>
      </w:pPr>
      <w:r w:rsidRPr="00593602">
        <w:rPr>
          <w:b/>
          <w:bCs/>
          <w:color w:val="0D0D0D"/>
          <w:spacing w:val="-2"/>
        </w:rPr>
        <w:lastRenderedPageBreak/>
        <w:t>Table 1. 2022 WHO classification of Acute Myeloid Leukemia</w:t>
      </w:r>
      <w:r w:rsidRPr="00E11D8E">
        <w:rPr>
          <w:b/>
          <w:bCs/>
          <w:color w:val="0D0D0D"/>
          <w:spacing w:val="-2"/>
          <w:vertAlign w:val="superscript"/>
        </w:rPr>
        <w:t>7</w:t>
      </w:r>
    </w:p>
    <w:tbl>
      <w:tblPr>
        <w:tblStyle w:val="TableGrid"/>
        <w:tblW w:w="0" w:type="auto"/>
        <w:tblInd w:w="-5" w:type="dxa"/>
        <w:tblLook w:val="04A0" w:firstRow="1" w:lastRow="0" w:firstColumn="1" w:lastColumn="0" w:noHBand="0" w:noVBand="1"/>
      </w:tblPr>
      <w:tblGrid>
        <w:gridCol w:w="4253"/>
        <w:gridCol w:w="4393"/>
      </w:tblGrid>
      <w:tr w:rsidR="007B0AB7" w:rsidRPr="00187E59" w14:paraId="784708A9" w14:textId="77777777" w:rsidTr="007D412A">
        <w:tc>
          <w:tcPr>
            <w:tcW w:w="4253" w:type="dxa"/>
          </w:tcPr>
          <w:p w14:paraId="343E9843" w14:textId="77777777" w:rsidR="007B0AB7" w:rsidRPr="00751479" w:rsidRDefault="007B0AB7" w:rsidP="007D412A">
            <w:r w:rsidRPr="00751479">
              <w:t>AML with defining genetic abnormalities</w:t>
            </w:r>
          </w:p>
        </w:tc>
        <w:tc>
          <w:tcPr>
            <w:tcW w:w="4393" w:type="dxa"/>
          </w:tcPr>
          <w:p w14:paraId="60640600" w14:textId="77777777" w:rsidR="007B0AB7" w:rsidRPr="00751479" w:rsidRDefault="007B0AB7" w:rsidP="007D412A">
            <w:r w:rsidRPr="00751479">
              <w:t>AML defined by differentiation</w:t>
            </w:r>
          </w:p>
        </w:tc>
      </w:tr>
      <w:tr w:rsidR="007B0AB7" w:rsidRPr="00187E59" w14:paraId="55FC871C" w14:textId="77777777" w:rsidTr="007D412A">
        <w:tc>
          <w:tcPr>
            <w:tcW w:w="4253" w:type="dxa"/>
          </w:tcPr>
          <w:p w14:paraId="5824335B"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 xml:space="preserve">APL with </w:t>
            </w:r>
            <w:proofErr w:type="gramStart"/>
            <w:r w:rsidRPr="00751479">
              <w:rPr>
                <w:rFonts w:eastAsiaTheme="minorHAnsi"/>
                <w:lang w:val="en-US"/>
                <w14:ligatures w14:val="standardContextual"/>
              </w:rPr>
              <w:t>PML::</w:t>
            </w:r>
            <w:proofErr w:type="gramEnd"/>
            <w:r w:rsidRPr="00751479">
              <w:rPr>
                <w:rFonts w:eastAsiaTheme="minorHAnsi"/>
                <w:lang w:val="en-US"/>
                <w14:ligatures w14:val="standardContextual"/>
              </w:rPr>
              <w:t>RARA fusion</w:t>
            </w:r>
          </w:p>
          <w:p w14:paraId="7FD2FC8D"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 RUNX</w:t>
            </w:r>
            <w:proofErr w:type="gramStart"/>
            <w:r w:rsidRPr="00751479">
              <w:rPr>
                <w:rFonts w:eastAsiaTheme="minorHAnsi"/>
                <w:lang w:val="en-US"/>
                <w14:ligatures w14:val="standardContextual"/>
              </w:rPr>
              <w:t>1::</w:t>
            </w:r>
            <w:proofErr w:type="gramEnd"/>
            <w:r w:rsidRPr="00751479">
              <w:rPr>
                <w:rFonts w:eastAsiaTheme="minorHAnsi"/>
                <w:lang w:val="en-US"/>
                <w14:ligatures w14:val="standardContextual"/>
              </w:rPr>
              <w:t>RUNX1T1 fusion</w:t>
            </w:r>
          </w:p>
          <w:p w14:paraId="5C2FACE6"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 xml:space="preserve">AML with </w:t>
            </w:r>
            <w:proofErr w:type="gramStart"/>
            <w:r w:rsidRPr="00751479">
              <w:rPr>
                <w:rFonts w:eastAsiaTheme="minorHAnsi"/>
                <w:lang w:val="en-US"/>
                <w14:ligatures w14:val="standardContextual"/>
              </w:rPr>
              <w:t>CBFB::</w:t>
            </w:r>
            <w:proofErr w:type="gramEnd"/>
            <w:r w:rsidRPr="00751479">
              <w:rPr>
                <w:rFonts w:eastAsiaTheme="minorHAnsi"/>
                <w:lang w:val="en-US"/>
                <w14:ligatures w14:val="standardContextual"/>
              </w:rPr>
              <w:t>MYH11 fusion</w:t>
            </w:r>
          </w:p>
          <w:p w14:paraId="2C08E12D"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 xml:space="preserve">AML with </w:t>
            </w:r>
            <w:proofErr w:type="gramStart"/>
            <w:r w:rsidRPr="00751479">
              <w:rPr>
                <w:rFonts w:eastAsiaTheme="minorHAnsi"/>
                <w:lang w:val="en-US"/>
                <w14:ligatures w14:val="standardContextual"/>
              </w:rPr>
              <w:t>DEK::</w:t>
            </w:r>
            <w:proofErr w:type="gramEnd"/>
            <w:r w:rsidRPr="00751479">
              <w:rPr>
                <w:rFonts w:eastAsiaTheme="minorHAnsi"/>
                <w:lang w:val="en-US"/>
                <w14:ligatures w14:val="standardContextual"/>
              </w:rPr>
              <w:t>NUP214 fusion</w:t>
            </w:r>
          </w:p>
          <w:p w14:paraId="6BB34B38"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 RBM</w:t>
            </w:r>
            <w:proofErr w:type="gramStart"/>
            <w:r w:rsidRPr="00751479">
              <w:rPr>
                <w:rFonts w:eastAsiaTheme="minorHAnsi"/>
                <w:lang w:val="en-US"/>
                <w14:ligatures w14:val="standardContextual"/>
              </w:rPr>
              <w:t>15::</w:t>
            </w:r>
            <w:proofErr w:type="gramEnd"/>
            <w:r w:rsidRPr="00751479">
              <w:rPr>
                <w:rFonts w:eastAsiaTheme="minorHAnsi"/>
                <w:lang w:val="en-US"/>
                <w14:ligatures w14:val="standardContextual"/>
              </w:rPr>
              <w:t>MRTFA fusion</w:t>
            </w:r>
          </w:p>
          <w:p w14:paraId="5859954F"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 xml:space="preserve">AML with </w:t>
            </w:r>
            <w:proofErr w:type="gramStart"/>
            <w:r w:rsidRPr="00751479">
              <w:rPr>
                <w:rFonts w:eastAsiaTheme="minorHAnsi"/>
                <w:lang w:val="en-US"/>
                <w14:ligatures w14:val="standardContextual"/>
              </w:rPr>
              <w:t>BCR::</w:t>
            </w:r>
            <w:proofErr w:type="gramEnd"/>
            <w:r w:rsidRPr="00751479">
              <w:rPr>
                <w:rFonts w:eastAsiaTheme="minorHAnsi"/>
                <w:lang w:val="en-US"/>
                <w14:ligatures w14:val="standardContextual"/>
              </w:rPr>
              <w:t>ABL1 fusion</w:t>
            </w:r>
          </w:p>
          <w:p w14:paraId="7FC1DC2D"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 KMT2A rearrangement</w:t>
            </w:r>
          </w:p>
          <w:p w14:paraId="4B289A71"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 MECOM rearrangement</w:t>
            </w:r>
          </w:p>
          <w:p w14:paraId="6FB9B0B2"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 NUP98 rearrangement</w:t>
            </w:r>
          </w:p>
          <w:p w14:paraId="41BCA017"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 NPM1 mutation</w:t>
            </w:r>
          </w:p>
          <w:p w14:paraId="7C565CC2"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 CEBPA mutation</w:t>
            </w:r>
          </w:p>
          <w:p w14:paraId="1831667B"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myelodysplasia-related</w:t>
            </w:r>
          </w:p>
          <w:p w14:paraId="3A3534A8"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 other defined genetic alterations</w:t>
            </w:r>
          </w:p>
        </w:tc>
        <w:tc>
          <w:tcPr>
            <w:tcW w:w="4393" w:type="dxa"/>
          </w:tcPr>
          <w:p w14:paraId="2631DECF"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 minimal differentiation</w:t>
            </w:r>
          </w:p>
          <w:p w14:paraId="623D7381"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without maturation</w:t>
            </w:r>
          </w:p>
          <w:p w14:paraId="6A850091"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AML with maturation</w:t>
            </w:r>
          </w:p>
          <w:p w14:paraId="0B739950"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Acute basophilic leukemia</w:t>
            </w:r>
          </w:p>
          <w:p w14:paraId="6CCD5558"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Acute myelomonocytic leukemia</w:t>
            </w:r>
          </w:p>
          <w:p w14:paraId="1C501585"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Acute monocytic leukemia</w:t>
            </w:r>
          </w:p>
          <w:p w14:paraId="47564F3B" w14:textId="77777777" w:rsidR="007B0AB7" w:rsidRPr="00751479" w:rsidRDefault="007B0AB7" w:rsidP="007D4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inorHAnsi"/>
                <w:lang w:val="en-US"/>
                <w14:ligatures w14:val="standardContextual"/>
              </w:rPr>
            </w:pPr>
            <w:r w:rsidRPr="00751479">
              <w:rPr>
                <w:rFonts w:eastAsiaTheme="minorHAnsi"/>
                <w:lang w:val="en-US"/>
                <w14:ligatures w14:val="standardContextual"/>
              </w:rPr>
              <w:t>Acute erythroid leukemia</w:t>
            </w:r>
          </w:p>
          <w:p w14:paraId="552A61F3" w14:textId="77777777" w:rsidR="007B0AB7" w:rsidRPr="00751479" w:rsidRDefault="007B0AB7" w:rsidP="007D412A">
            <w:r w:rsidRPr="00751479">
              <w:rPr>
                <w:rFonts w:eastAsiaTheme="minorHAnsi"/>
                <w:lang w:val="en-US"/>
                <w14:ligatures w14:val="standardContextual"/>
              </w:rPr>
              <w:t xml:space="preserve">Acute </w:t>
            </w:r>
            <w:proofErr w:type="spellStart"/>
            <w:r w:rsidRPr="00751479">
              <w:rPr>
                <w:rFonts w:eastAsiaTheme="minorHAnsi"/>
                <w:lang w:val="en-US"/>
                <w14:ligatures w14:val="standardContextual"/>
              </w:rPr>
              <w:t>megakaryoblastic</w:t>
            </w:r>
            <w:proofErr w:type="spellEnd"/>
            <w:r w:rsidRPr="00751479">
              <w:rPr>
                <w:rFonts w:eastAsiaTheme="minorHAnsi"/>
                <w:lang w:val="en-US"/>
                <w14:ligatures w14:val="standardContextual"/>
              </w:rPr>
              <w:t xml:space="preserve"> leukemia</w:t>
            </w:r>
          </w:p>
        </w:tc>
      </w:tr>
    </w:tbl>
    <w:p w14:paraId="53D82339" w14:textId="77777777" w:rsidR="007B0AB7" w:rsidRDefault="007B0AB7" w:rsidP="007B0AB7">
      <w:pPr>
        <w:pStyle w:val="BodyText"/>
        <w:spacing w:line="480" w:lineRule="auto"/>
        <w:ind w:right="6" w:firstLine="360"/>
        <w:jc w:val="both"/>
        <w:rPr>
          <w:spacing w:val="-2"/>
        </w:rPr>
      </w:pPr>
    </w:p>
    <w:p w14:paraId="25CC2AAF" w14:textId="77777777" w:rsidR="007B0AB7" w:rsidRPr="003632C6" w:rsidRDefault="007B0AB7" w:rsidP="007B0AB7">
      <w:pPr>
        <w:pStyle w:val="BodyText"/>
        <w:spacing w:line="480" w:lineRule="auto"/>
        <w:ind w:right="6" w:firstLine="360"/>
        <w:jc w:val="both"/>
        <w:rPr>
          <w:i/>
          <w:iCs/>
          <w:spacing w:val="-2"/>
        </w:rPr>
      </w:pPr>
      <w:r>
        <w:rPr>
          <w:spacing w:val="-2"/>
        </w:rPr>
        <w:t>Typical treatment of AML involves two main phases, remission induction, followed by consolidation treatment. Induction chemotherapy usually includes cytarabine and an anthracycline, with a possible addition of a third drug if with noted targetable mutations. Consolidation treatment may involve several cycles of high-dose cytarabine or allogeneic stem cell transplantation.</w:t>
      </w:r>
      <w:r w:rsidRPr="003632C6">
        <w:rPr>
          <w:spacing w:val="-2"/>
          <w:vertAlign w:val="superscript"/>
        </w:rPr>
        <w:t>8</w:t>
      </w:r>
      <w:r>
        <w:rPr>
          <w:i/>
          <w:iCs/>
          <w:spacing w:val="-2"/>
        </w:rPr>
        <w:t xml:space="preserve"> </w:t>
      </w:r>
      <w:r>
        <w:rPr>
          <w:spacing w:val="-2"/>
        </w:rPr>
        <w:t xml:space="preserve">Treatment strategy depends on the patient’s functional capacity and complications from pre-existing comorbidity. Patients who cannot tolerate intensive treatment strategies may be given hypomethylating agent (HMAs) or </w:t>
      </w:r>
      <w:proofErr w:type="spellStart"/>
      <w:r>
        <w:rPr>
          <w:spacing w:val="-2"/>
        </w:rPr>
        <w:t>venetoclax</w:t>
      </w:r>
      <w:proofErr w:type="spellEnd"/>
      <w:r>
        <w:rPr>
          <w:spacing w:val="-2"/>
        </w:rPr>
        <w:t>-containing regimens as their treatment regimen with good outcomes.</w:t>
      </w:r>
      <w:r w:rsidRPr="003632C6">
        <w:rPr>
          <w:spacing w:val="-2"/>
          <w:vertAlign w:val="superscript"/>
        </w:rPr>
        <w:t>9</w:t>
      </w:r>
      <w:r>
        <w:rPr>
          <w:spacing w:val="-2"/>
          <w:vertAlign w:val="superscript"/>
        </w:rPr>
        <w:t>-</w:t>
      </w:r>
      <w:r w:rsidRPr="003632C6">
        <w:rPr>
          <w:spacing w:val="-2"/>
          <w:vertAlign w:val="superscript"/>
        </w:rPr>
        <w:t>11</w:t>
      </w:r>
      <w:r>
        <w:rPr>
          <w:i/>
          <w:iCs/>
          <w:spacing w:val="-2"/>
        </w:rPr>
        <w:t xml:space="preserve"> </w:t>
      </w:r>
      <w:r>
        <w:rPr>
          <w:spacing w:val="-2"/>
        </w:rPr>
        <w:t>The availability of novel agents against targetable mutation further improves the survival rates. However, the results of tests for these targetable mutations usually only become available in 7 days or more.</w:t>
      </w:r>
      <w:r w:rsidRPr="003632C6">
        <w:rPr>
          <w:spacing w:val="-2"/>
          <w:vertAlign w:val="superscript"/>
        </w:rPr>
        <w:t>12</w:t>
      </w:r>
    </w:p>
    <w:p w14:paraId="248E4169" w14:textId="77777777" w:rsidR="007B0AB7" w:rsidRPr="003632C6" w:rsidRDefault="007B0AB7" w:rsidP="007B0AB7">
      <w:pPr>
        <w:pStyle w:val="BodyText"/>
        <w:spacing w:line="480" w:lineRule="auto"/>
        <w:ind w:right="6" w:firstLine="720"/>
        <w:jc w:val="both"/>
        <w:rPr>
          <w:spacing w:val="-2"/>
          <w:vertAlign w:val="superscript"/>
        </w:rPr>
      </w:pPr>
      <w:r w:rsidRPr="00223611">
        <w:rPr>
          <w:spacing w:val="-2"/>
        </w:rPr>
        <w:t xml:space="preserve">The severity and onset of </w:t>
      </w:r>
      <w:r>
        <w:rPr>
          <w:spacing w:val="-2"/>
        </w:rPr>
        <w:t>AML</w:t>
      </w:r>
      <w:r w:rsidRPr="00223611">
        <w:rPr>
          <w:spacing w:val="-2"/>
        </w:rPr>
        <w:t xml:space="preserve"> vary from person to person however, it is advised that diagnosis and treatment is started </w:t>
      </w:r>
      <w:r>
        <w:rPr>
          <w:spacing w:val="-2"/>
        </w:rPr>
        <w:t xml:space="preserve">in a timely manner. Identified barriers of treatment includes, but not limited to, clinical delays (infection or optimization of clinical status), high costs of treatment, </w:t>
      </w:r>
      <w:r>
        <w:rPr>
          <w:spacing w:val="-2"/>
        </w:rPr>
        <w:lastRenderedPageBreak/>
        <w:t xml:space="preserve">lack of access to treatment/facilities, unfamiliarity to novel agents, and challenges in treatment of relapse/refractory cases. </w:t>
      </w:r>
      <w:r w:rsidRPr="003632C6">
        <w:rPr>
          <w:spacing w:val="-2"/>
          <w:vertAlign w:val="superscript"/>
        </w:rPr>
        <w:t>13, 14</w:t>
      </w:r>
    </w:p>
    <w:p w14:paraId="007017B7" w14:textId="77777777" w:rsidR="007B0AB7" w:rsidRPr="003632C6" w:rsidRDefault="007B0AB7" w:rsidP="007B0AB7">
      <w:pPr>
        <w:pStyle w:val="BodyText"/>
        <w:spacing w:line="480" w:lineRule="auto"/>
        <w:ind w:right="6" w:firstLine="720"/>
        <w:jc w:val="both"/>
        <w:rPr>
          <w:i/>
          <w:iCs/>
          <w:spacing w:val="-2"/>
        </w:rPr>
      </w:pPr>
      <w:r>
        <w:rPr>
          <w:spacing w:val="-2"/>
        </w:rPr>
        <w:t xml:space="preserve">While various international papers investigating the impact of time delays in AML reveals contradicting results, there are no local studies about the prognostic effect of time from diagnosis to treatment (TDT). </w:t>
      </w:r>
      <w:r w:rsidRPr="003632C6">
        <w:rPr>
          <w:spacing w:val="-2"/>
          <w:vertAlign w:val="superscript"/>
        </w:rPr>
        <w:t>16-2</w:t>
      </w:r>
      <w:r>
        <w:rPr>
          <w:spacing w:val="-2"/>
          <w:vertAlign w:val="superscript"/>
        </w:rPr>
        <w:t xml:space="preserve">2 </w:t>
      </w:r>
      <w:r>
        <w:rPr>
          <w:spacing w:val="-2"/>
        </w:rPr>
        <w:t>In this study, we aim to evaluate the relationship between TDT and prognosis of patients newly diagnosed with AML.</w:t>
      </w:r>
    </w:p>
    <w:p w14:paraId="674A6E4B" w14:textId="77777777" w:rsidR="007B0AB7" w:rsidRPr="008314BE" w:rsidRDefault="007B0AB7" w:rsidP="007B0AB7">
      <w:pPr>
        <w:pStyle w:val="BodyText"/>
        <w:spacing w:line="480" w:lineRule="auto"/>
        <w:ind w:left="360" w:right="6"/>
        <w:jc w:val="both"/>
        <w:rPr>
          <w:spacing w:val="-2"/>
        </w:rPr>
      </w:pPr>
    </w:p>
    <w:p w14:paraId="2D761089" w14:textId="77777777" w:rsidR="007B0AB7" w:rsidRPr="00820A6A" w:rsidRDefault="007B0AB7" w:rsidP="007B0AB7">
      <w:pPr>
        <w:pStyle w:val="BodyText"/>
        <w:spacing w:line="480" w:lineRule="auto"/>
        <w:ind w:right="4"/>
        <w:jc w:val="both"/>
        <w:rPr>
          <w:b/>
          <w:bCs/>
          <w:color w:val="0D0D0D"/>
        </w:rPr>
      </w:pPr>
      <w:r w:rsidRPr="00820A6A">
        <w:rPr>
          <w:b/>
          <w:bCs/>
          <w:color w:val="0D0D0D"/>
        </w:rPr>
        <w:t>Research Question</w:t>
      </w:r>
    </w:p>
    <w:p w14:paraId="25651C2E" w14:textId="77777777" w:rsidR="007B0AB7" w:rsidRPr="00820A6A" w:rsidRDefault="007B0AB7" w:rsidP="007B0AB7">
      <w:pPr>
        <w:pStyle w:val="BodyText"/>
        <w:spacing w:line="480" w:lineRule="auto"/>
        <w:ind w:right="6" w:firstLine="720"/>
        <w:jc w:val="both"/>
      </w:pPr>
      <w:r w:rsidRPr="00820A6A">
        <w:t xml:space="preserve">Does </w:t>
      </w:r>
      <w:r>
        <w:t>TDT</w:t>
      </w:r>
      <w:r w:rsidRPr="00820A6A">
        <w:t xml:space="preserve"> affect the prognosis of patients with newly diagnosed acute myeloid leukemia</w:t>
      </w:r>
      <w:r>
        <w:t xml:space="preserve"> undergoing intensive chemotherapy</w:t>
      </w:r>
      <w:r w:rsidRPr="00820A6A">
        <w:t>?</w:t>
      </w:r>
    </w:p>
    <w:p w14:paraId="32F6E455" w14:textId="77777777" w:rsidR="007B0AB7" w:rsidRPr="00820A6A" w:rsidRDefault="007B0AB7" w:rsidP="007B0AB7">
      <w:pPr>
        <w:pStyle w:val="BodyText"/>
        <w:spacing w:line="480" w:lineRule="auto"/>
        <w:ind w:right="4"/>
        <w:jc w:val="both"/>
        <w:rPr>
          <w:color w:val="0D0D0D"/>
          <w:spacing w:val="-2"/>
        </w:rPr>
      </w:pPr>
    </w:p>
    <w:p w14:paraId="44A25FA1" w14:textId="77777777" w:rsidR="007B0AB7" w:rsidRPr="00820A6A" w:rsidRDefault="007B0AB7" w:rsidP="007B0AB7">
      <w:pPr>
        <w:pStyle w:val="BodyText"/>
        <w:spacing w:line="480" w:lineRule="auto"/>
        <w:ind w:right="4"/>
        <w:jc w:val="both"/>
        <w:rPr>
          <w:b/>
          <w:bCs/>
          <w:color w:val="0D0D0D"/>
          <w:spacing w:val="-2"/>
        </w:rPr>
      </w:pPr>
      <w:commentRangeStart w:id="1"/>
      <w:r w:rsidRPr="008C5A7D">
        <w:rPr>
          <w:b/>
          <w:bCs/>
          <w:color w:val="0D0D0D"/>
          <w:spacing w:val="-2"/>
        </w:rPr>
        <w:t>Objectives</w:t>
      </w:r>
      <w:commentRangeEnd w:id="1"/>
      <w:r w:rsidR="008C5A7D" w:rsidRPr="008C5A7D">
        <w:rPr>
          <w:rStyle w:val="CommentReference"/>
        </w:rPr>
        <w:commentReference w:id="1"/>
      </w:r>
    </w:p>
    <w:p w14:paraId="243B79A8" w14:textId="03135FF0" w:rsidR="007B0AB7" w:rsidRDefault="007B0AB7" w:rsidP="007B0AB7">
      <w:pPr>
        <w:pStyle w:val="BodyText"/>
        <w:spacing w:line="480" w:lineRule="auto"/>
        <w:ind w:right="6" w:firstLine="709"/>
        <w:jc w:val="both"/>
      </w:pPr>
      <w:r w:rsidRPr="00820A6A">
        <w:t xml:space="preserve">The main objective of this study is to determine if </w:t>
      </w:r>
      <w:r>
        <w:t>TDT</w:t>
      </w:r>
      <w:r w:rsidRPr="00820A6A">
        <w:t xml:space="preserve"> affects the prognosis of patients with newly diagnosed </w:t>
      </w:r>
      <w:r>
        <w:t>AML</w:t>
      </w:r>
      <w:r w:rsidRPr="00820A6A">
        <w:t xml:space="preserve">. </w:t>
      </w:r>
      <w:r w:rsidR="008C5A7D">
        <w:t xml:space="preserve">The specific objectives are as follows: </w:t>
      </w:r>
    </w:p>
    <w:p w14:paraId="46AB09F4" w14:textId="71A9469F" w:rsidR="008C5A7D" w:rsidRDefault="008C5A7D" w:rsidP="008C5A7D">
      <w:pPr>
        <w:pStyle w:val="BodyText"/>
        <w:numPr>
          <w:ilvl w:val="0"/>
          <w:numId w:val="10"/>
        </w:numPr>
        <w:spacing w:line="480" w:lineRule="auto"/>
        <w:ind w:right="6"/>
        <w:jc w:val="both"/>
      </w:pPr>
      <w:r>
        <w:t xml:space="preserve">Determine the baseline demographic, clinical, and hematologic profile of newly-diagnosed AML patients, including: </w:t>
      </w:r>
    </w:p>
    <w:p w14:paraId="4C05CCE9" w14:textId="77777777" w:rsidR="008C5A7D" w:rsidRDefault="008C5A7D" w:rsidP="008C5A7D">
      <w:pPr>
        <w:pStyle w:val="BodyText"/>
        <w:numPr>
          <w:ilvl w:val="0"/>
          <w:numId w:val="28"/>
        </w:numPr>
        <w:spacing w:line="480" w:lineRule="auto"/>
        <w:ind w:right="6"/>
        <w:jc w:val="both"/>
      </w:pPr>
      <w:r>
        <w:t>A</w:t>
      </w:r>
      <w:r w:rsidRPr="00D47196">
        <w:t>ge at diagnosis</w:t>
      </w:r>
    </w:p>
    <w:p w14:paraId="7DD57372" w14:textId="77777777" w:rsidR="008C5A7D" w:rsidRDefault="008C5A7D" w:rsidP="008C5A7D">
      <w:pPr>
        <w:pStyle w:val="BodyText"/>
        <w:numPr>
          <w:ilvl w:val="0"/>
          <w:numId w:val="28"/>
        </w:numPr>
        <w:spacing w:line="480" w:lineRule="auto"/>
        <w:ind w:right="6"/>
        <w:jc w:val="both"/>
      </w:pPr>
      <w:r>
        <w:t>S</w:t>
      </w:r>
      <w:r w:rsidRPr="00D47196">
        <w:t>ex</w:t>
      </w:r>
    </w:p>
    <w:p w14:paraId="51FA33A9" w14:textId="77777777" w:rsidR="008C5A7D" w:rsidRDefault="008C5A7D" w:rsidP="008C5A7D">
      <w:pPr>
        <w:pStyle w:val="BodyText"/>
        <w:numPr>
          <w:ilvl w:val="0"/>
          <w:numId w:val="28"/>
        </w:numPr>
        <w:spacing w:line="480" w:lineRule="auto"/>
        <w:ind w:right="6"/>
        <w:jc w:val="both"/>
      </w:pPr>
      <w:r w:rsidRPr="00D47196">
        <w:t>ECOG statu</w:t>
      </w:r>
      <w:r>
        <w:t>s</w:t>
      </w:r>
    </w:p>
    <w:p w14:paraId="5C5721A3" w14:textId="77777777" w:rsidR="008C5A7D" w:rsidRDefault="008C5A7D" w:rsidP="008C5A7D">
      <w:pPr>
        <w:pStyle w:val="BodyText"/>
        <w:numPr>
          <w:ilvl w:val="0"/>
          <w:numId w:val="28"/>
        </w:numPr>
        <w:spacing w:line="480" w:lineRule="auto"/>
        <w:ind w:right="6"/>
        <w:jc w:val="both"/>
      </w:pPr>
      <w:r w:rsidRPr="00D47196">
        <w:t>HCT-CI</w:t>
      </w:r>
    </w:p>
    <w:p w14:paraId="7D28546A" w14:textId="77777777" w:rsidR="008C5A7D" w:rsidRDefault="008C5A7D" w:rsidP="008C5A7D">
      <w:pPr>
        <w:pStyle w:val="BodyText"/>
        <w:numPr>
          <w:ilvl w:val="0"/>
          <w:numId w:val="28"/>
        </w:numPr>
        <w:spacing w:line="480" w:lineRule="auto"/>
        <w:ind w:right="6"/>
        <w:jc w:val="both"/>
      </w:pPr>
      <w:r>
        <w:t>T</w:t>
      </w:r>
      <w:r w:rsidRPr="00D47196">
        <w:t>ime from diagnosis to treatment</w:t>
      </w:r>
    </w:p>
    <w:p w14:paraId="79700463" w14:textId="77777777" w:rsidR="008C5A7D" w:rsidRDefault="008C5A7D" w:rsidP="008C5A7D">
      <w:pPr>
        <w:pStyle w:val="BodyText"/>
        <w:numPr>
          <w:ilvl w:val="0"/>
          <w:numId w:val="28"/>
        </w:numPr>
        <w:spacing w:line="480" w:lineRule="auto"/>
        <w:ind w:right="6"/>
        <w:jc w:val="both"/>
      </w:pPr>
      <w:r w:rsidRPr="00D47196">
        <w:t>AML type</w:t>
      </w:r>
    </w:p>
    <w:p w14:paraId="6A030468" w14:textId="77777777" w:rsidR="008C5A7D" w:rsidRDefault="008C5A7D" w:rsidP="008C5A7D">
      <w:pPr>
        <w:pStyle w:val="BodyText"/>
        <w:numPr>
          <w:ilvl w:val="0"/>
          <w:numId w:val="28"/>
        </w:numPr>
        <w:spacing w:line="480" w:lineRule="auto"/>
        <w:ind w:right="6"/>
        <w:jc w:val="both"/>
      </w:pPr>
      <w:r w:rsidRPr="00D47196">
        <w:t>ENL risk 2017 group</w:t>
      </w:r>
    </w:p>
    <w:p w14:paraId="57242CC0" w14:textId="77777777" w:rsidR="008C5A7D" w:rsidRDefault="008C5A7D" w:rsidP="008C5A7D">
      <w:pPr>
        <w:pStyle w:val="BodyText"/>
        <w:numPr>
          <w:ilvl w:val="0"/>
          <w:numId w:val="28"/>
        </w:numPr>
        <w:spacing w:line="480" w:lineRule="auto"/>
        <w:ind w:right="6"/>
        <w:jc w:val="both"/>
      </w:pPr>
      <w:r>
        <w:lastRenderedPageBreak/>
        <w:t>U</w:t>
      </w:r>
      <w:r w:rsidRPr="00D47196">
        <w:t xml:space="preserve">se of hydroxyurea </w:t>
      </w:r>
      <w:r>
        <w:t xml:space="preserve">and cytarabine </w:t>
      </w:r>
      <w:r w:rsidRPr="00D47196">
        <w:t>pretreatment as cytoreductive agent</w:t>
      </w:r>
    </w:p>
    <w:p w14:paraId="4C480586" w14:textId="77777777" w:rsidR="008C5A7D" w:rsidRDefault="008C5A7D" w:rsidP="008C5A7D">
      <w:pPr>
        <w:pStyle w:val="BodyText"/>
        <w:numPr>
          <w:ilvl w:val="0"/>
          <w:numId w:val="28"/>
        </w:numPr>
        <w:spacing w:line="480" w:lineRule="auto"/>
        <w:ind w:right="6"/>
        <w:jc w:val="both"/>
      </w:pPr>
      <w:r>
        <w:t>B</w:t>
      </w:r>
      <w:r w:rsidRPr="00820A6A">
        <w:t>aseline WBC (x10</w:t>
      </w:r>
      <w:r w:rsidRPr="00820A6A">
        <w:rPr>
          <w:vertAlign w:val="superscript"/>
        </w:rPr>
        <w:t>9</w:t>
      </w:r>
      <w:r w:rsidRPr="00820A6A">
        <w:t>/L)</w:t>
      </w:r>
    </w:p>
    <w:p w14:paraId="0A0E7DF0" w14:textId="77777777" w:rsidR="008C5A7D" w:rsidRDefault="008C5A7D" w:rsidP="008C5A7D">
      <w:pPr>
        <w:pStyle w:val="BodyText"/>
        <w:numPr>
          <w:ilvl w:val="0"/>
          <w:numId w:val="28"/>
        </w:numPr>
        <w:spacing w:line="480" w:lineRule="auto"/>
        <w:ind w:right="6"/>
        <w:jc w:val="both"/>
      </w:pPr>
      <w:r w:rsidRPr="00820A6A">
        <w:t>LDH</w:t>
      </w:r>
    </w:p>
    <w:p w14:paraId="02958BFF" w14:textId="77777777" w:rsidR="008C5A7D" w:rsidRDefault="008C5A7D" w:rsidP="008C5A7D">
      <w:pPr>
        <w:pStyle w:val="BodyText"/>
        <w:numPr>
          <w:ilvl w:val="0"/>
          <w:numId w:val="28"/>
        </w:numPr>
        <w:spacing w:line="480" w:lineRule="auto"/>
        <w:ind w:right="6"/>
        <w:jc w:val="both"/>
      </w:pPr>
      <w:r>
        <w:t>B</w:t>
      </w:r>
      <w:r w:rsidRPr="00820A6A">
        <w:t>one marrow blast (%)</w:t>
      </w:r>
    </w:p>
    <w:p w14:paraId="5F1BE6F9" w14:textId="77777777" w:rsidR="007A423D" w:rsidRDefault="008C5A7D" w:rsidP="007A423D">
      <w:pPr>
        <w:pStyle w:val="BodyText"/>
        <w:numPr>
          <w:ilvl w:val="0"/>
          <w:numId w:val="28"/>
        </w:numPr>
        <w:spacing w:line="480" w:lineRule="auto"/>
        <w:ind w:right="6"/>
        <w:jc w:val="both"/>
      </w:pPr>
      <w:r>
        <w:t xml:space="preserve">Karyotype </w:t>
      </w:r>
    </w:p>
    <w:p w14:paraId="1E4C6B2B" w14:textId="736E0753" w:rsidR="007A423D" w:rsidRDefault="008C5A7D" w:rsidP="007A423D">
      <w:pPr>
        <w:pStyle w:val="BodyText"/>
        <w:numPr>
          <w:ilvl w:val="0"/>
          <w:numId w:val="28"/>
        </w:numPr>
        <w:spacing w:line="480" w:lineRule="auto"/>
        <w:ind w:right="6"/>
        <w:jc w:val="both"/>
      </w:pPr>
      <w:r>
        <w:t>T</w:t>
      </w:r>
      <w:r w:rsidR="007B0AB7">
        <w:t xml:space="preserve">reatment regimen </w:t>
      </w:r>
    </w:p>
    <w:p w14:paraId="28359252" w14:textId="6EFACDCA" w:rsidR="007A423D" w:rsidRDefault="007A423D" w:rsidP="007A423D">
      <w:pPr>
        <w:pStyle w:val="BodyText"/>
        <w:numPr>
          <w:ilvl w:val="0"/>
          <w:numId w:val="28"/>
        </w:numPr>
        <w:spacing w:line="480" w:lineRule="auto"/>
        <w:ind w:right="6"/>
        <w:jc w:val="both"/>
      </w:pPr>
      <w:r>
        <w:t xml:space="preserve">Allocation to allogeneic stem cell transplantation </w:t>
      </w:r>
    </w:p>
    <w:p w14:paraId="165BCE79" w14:textId="52F1B8D3" w:rsidR="008C5A7D" w:rsidRDefault="008C5A7D" w:rsidP="008C5A7D">
      <w:pPr>
        <w:pStyle w:val="BodyText"/>
        <w:numPr>
          <w:ilvl w:val="0"/>
          <w:numId w:val="10"/>
        </w:numPr>
        <w:spacing w:line="480" w:lineRule="auto"/>
        <w:ind w:right="6"/>
        <w:jc w:val="both"/>
      </w:pPr>
      <w:r>
        <w:t>Determine the c</w:t>
      </w:r>
      <w:r w:rsidR="007B0AB7" w:rsidRPr="00947019">
        <w:t>linical outcomes including remission status, early death</w:t>
      </w:r>
      <w:r w:rsidR="007B0AB7">
        <w:t xml:space="preserve">, event-free survival, and </w:t>
      </w:r>
      <w:r w:rsidR="007B0AB7" w:rsidRPr="00947019">
        <w:t>1-year overall survival</w:t>
      </w:r>
    </w:p>
    <w:p w14:paraId="0921BDE2" w14:textId="0EB4D6F5" w:rsidR="007B0AB7" w:rsidRDefault="008C5A7D" w:rsidP="008C5A7D">
      <w:pPr>
        <w:pStyle w:val="BodyText"/>
        <w:numPr>
          <w:ilvl w:val="0"/>
          <w:numId w:val="10"/>
        </w:numPr>
        <w:spacing w:line="480" w:lineRule="auto"/>
        <w:ind w:right="6"/>
        <w:jc w:val="both"/>
      </w:pPr>
      <w:r>
        <w:t>Determine the r</w:t>
      </w:r>
      <w:r w:rsidR="007B0AB7" w:rsidRPr="00947019">
        <w:t>easons for delay of treatment</w:t>
      </w:r>
      <w:r w:rsidR="00BA726C">
        <w:t xml:space="preserve"> initiation</w:t>
      </w:r>
      <w:r w:rsidR="007B0AB7" w:rsidRPr="00947019">
        <w:t xml:space="preserve"> including clinical delays (infection or </w:t>
      </w:r>
      <w:r w:rsidR="007B0AB7">
        <w:t>nutritional upbuilding</w:t>
      </w:r>
      <w:r w:rsidR="007B0AB7" w:rsidRPr="00947019">
        <w:t xml:space="preserve">), high costs of treatment, lack of access to treatment/facilities, unfamiliarity to </w:t>
      </w:r>
      <w:r w:rsidR="00BA726C">
        <w:t>novel agents</w:t>
      </w:r>
    </w:p>
    <w:p w14:paraId="267BA739" w14:textId="4544A8CE" w:rsidR="00B10D02" w:rsidRPr="00BA726C" w:rsidRDefault="00B10D02" w:rsidP="00B10D02">
      <w:pPr>
        <w:pStyle w:val="BodyText"/>
        <w:numPr>
          <w:ilvl w:val="0"/>
          <w:numId w:val="10"/>
        </w:numPr>
        <w:spacing w:line="480" w:lineRule="auto"/>
        <w:ind w:right="4"/>
        <w:jc w:val="both"/>
        <w:rPr>
          <w:b/>
          <w:bCs/>
          <w:color w:val="0D0D0D"/>
          <w:spacing w:val="-2"/>
        </w:rPr>
      </w:pPr>
      <w:commentRangeStart w:id="2"/>
      <w:r w:rsidRPr="00B10D02">
        <w:t>Determine</w:t>
      </w:r>
      <w:r>
        <w:t xml:space="preserve"> the association between TDT, specific </w:t>
      </w:r>
      <w:r>
        <w:t>reason</w:t>
      </w:r>
      <w:r>
        <w:t xml:space="preserve"> of treatment delay, and </w:t>
      </w:r>
      <w:r w:rsidRPr="00947019">
        <w:t>1-year overall survival</w:t>
      </w:r>
      <w:r>
        <w:t xml:space="preserve"> of newly-diagnosed AML patients</w:t>
      </w:r>
      <w:commentRangeEnd w:id="2"/>
      <w:r>
        <w:rPr>
          <w:rStyle w:val="CommentReference"/>
        </w:rPr>
        <w:commentReference w:id="2"/>
      </w:r>
    </w:p>
    <w:p w14:paraId="2C9A8BA6" w14:textId="6EB6CB0D" w:rsidR="008C5A7D" w:rsidRDefault="008C5A7D" w:rsidP="008C5A7D">
      <w:pPr>
        <w:pStyle w:val="BodyText"/>
        <w:numPr>
          <w:ilvl w:val="0"/>
          <w:numId w:val="10"/>
        </w:numPr>
        <w:spacing w:line="480" w:lineRule="auto"/>
        <w:ind w:right="6"/>
        <w:jc w:val="both"/>
      </w:pPr>
      <w:r>
        <w:t xml:space="preserve">Determine the association between TDT and </w:t>
      </w:r>
      <w:r w:rsidRPr="00947019">
        <w:t>remission status, early death</w:t>
      </w:r>
      <w:r>
        <w:t xml:space="preserve">, event-free survival, and </w:t>
      </w:r>
      <w:r w:rsidRPr="00947019">
        <w:t>1-year overall survival</w:t>
      </w:r>
      <w:r>
        <w:t xml:space="preserve"> of newly-diagnosed AML patients</w:t>
      </w:r>
    </w:p>
    <w:p w14:paraId="586967E5" w14:textId="77777777" w:rsidR="00BA726C" w:rsidRPr="00BA726C" w:rsidRDefault="00BA726C" w:rsidP="00BA726C">
      <w:pPr>
        <w:pStyle w:val="BodyText"/>
        <w:spacing w:line="480" w:lineRule="auto"/>
        <w:ind w:left="720" w:right="4"/>
        <w:jc w:val="both"/>
        <w:rPr>
          <w:b/>
          <w:bCs/>
          <w:color w:val="0D0D0D"/>
          <w:spacing w:val="-2"/>
        </w:rPr>
      </w:pPr>
    </w:p>
    <w:p w14:paraId="7D9F7A28" w14:textId="77777777" w:rsidR="007B0AB7" w:rsidRDefault="007B0AB7" w:rsidP="007B0AB7">
      <w:pPr>
        <w:pStyle w:val="BodyText"/>
        <w:spacing w:line="480" w:lineRule="auto"/>
        <w:ind w:right="4"/>
        <w:jc w:val="both"/>
        <w:rPr>
          <w:b/>
          <w:bCs/>
          <w:color w:val="0D0D0D"/>
          <w:spacing w:val="-2"/>
        </w:rPr>
      </w:pPr>
      <w:r w:rsidRPr="00820A6A">
        <w:rPr>
          <w:b/>
          <w:bCs/>
          <w:color w:val="0D0D0D"/>
          <w:spacing w:val="-2"/>
        </w:rPr>
        <w:t>Literature Review</w:t>
      </w:r>
    </w:p>
    <w:p w14:paraId="6A1E4365" w14:textId="77777777" w:rsidR="007B0AB7" w:rsidRDefault="007B0AB7" w:rsidP="007B0AB7">
      <w:pPr>
        <w:pStyle w:val="BodyText"/>
        <w:spacing w:line="480" w:lineRule="auto"/>
        <w:ind w:right="4" w:firstLine="720"/>
        <w:jc w:val="both"/>
        <w:rPr>
          <w:color w:val="0D0D0D"/>
        </w:rPr>
      </w:pPr>
      <w:r w:rsidRPr="00820A6A">
        <w:rPr>
          <w:color w:val="0D0D0D"/>
        </w:rPr>
        <w:t xml:space="preserve">AML </w:t>
      </w:r>
      <w:r>
        <w:rPr>
          <w:color w:val="0D0D0D"/>
        </w:rPr>
        <w:t xml:space="preserve">results in the accumulation of immature, nonfunctional myeloblast in the bone marrow and blood leading to signs and symptoms of anemia, neutropenia and thrombocytopenia. Historically, it was considered as one of the hematologic emergencies due to its high mortality rate, requiring prompt initiation of treatment. </w:t>
      </w:r>
    </w:p>
    <w:p w14:paraId="260C6511" w14:textId="77777777" w:rsidR="007B0AB7" w:rsidRPr="00726447" w:rsidRDefault="007B0AB7" w:rsidP="007B0AB7">
      <w:pPr>
        <w:pStyle w:val="BodyText"/>
        <w:spacing w:line="480" w:lineRule="auto"/>
        <w:ind w:right="4" w:firstLine="720"/>
        <w:jc w:val="both"/>
        <w:rPr>
          <w:b/>
          <w:bCs/>
          <w:color w:val="0D0D0D"/>
          <w:spacing w:val="-2"/>
        </w:rPr>
      </w:pPr>
      <w:r>
        <w:rPr>
          <w:color w:val="0D0D0D"/>
        </w:rPr>
        <w:lastRenderedPageBreak/>
        <w:t xml:space="preserve">AML treatment strategies vary significantly, affecting the outcomes of patients. Approximately 60-70% of adults with AML can expect to achieve complete remission (CR) following induction therapy. </w:t>
      </w:r>
      <w:r w:rsidRPr="002E3D64">
        <w:rPr>
          <w:color w:val="0D0D0D"/>
          <w:vertAlign w:val="superscript"/>
        </w:rPr>
        <w:t>28</w:t>
      </w:r>
      <w:r>
        <w:rPr>
          <w:color w:val="0D0D0D"/>
        </w:rPr>
        <w:t xml:space="preserve"> In a study focusing on older adults (age &gt;65), complete remission rates were about 50% for those receiving standard intensive induction. </w:t>
      </w:r>
      <w:r w:rsidRPr="00A57CC6">
        <w:rPr>
          <w:color w:val="0D0D0D"/>
          <w:vertAlign w:val="superscript"/>
        </w:rPr>
        <w:t>29</w:t>
      </w:r>
      <w:r>
        <w:rPr>
          <w:color w:val="0D0D0D"/>
        </w:rPr>
        <w:t xml:space="preserve"> Relapse rate is approximately 60% within five years for those not undergoing allogeneic hematopoietic stem cell transplantation (</w:t>
      </w:r>
      <w:proofErr w:type="spellStart"/>
      <w:r>
        <w:rPr>
          <w:color w:val="0D0D0D"/>
        </w:rPr>
        <w:t>Allo</w:t>
      </w:r>
      <w:proofErr w:type="spellEnd"/>
      <w:r>
        <w:rPr>
          <w:color w:val="0D0D0D"/>
        </w:rPr>
        <w:t xml:space="preserve">-HCT). </w:t>
      </w:r>
      <w:r w:rsidRPr="00E44E92">
        <w:rPr>
          <w:color w:val="0D0D0D"/>
          <w:vertAlign w:val="superscript"/>
        </w:rPr>
        <w:t>30</w:t>
      </w:r>
      <w:r>
        <w:rPr>
          <w:color w:val="0D0D0D"/>
        </w:rPr>
        <w:t xml:space="preserve"> For patients achieving CR, the two-year overall survival rate was reported at 32%, significantly higher than non-responders(6%). </w:t>
      </w:r>
      <w:r w:rsidRPr="00E44E92">
        <w:rPr>
          <w:color w:val="0D0D0D"/>
          <w:vertAlign w:val="superscript"/>
        </w:rPr>
        <w:t>32</w:t>
      </w:r>
      <w:r>
        <w:rPr>
          <w:color w:val="0D0D0D"/>
        </w:rPr>
        <w:t xml:space="preserve"> Treatment-related mortality (TRM) is significant in intensive treatment, particularly among older patients. Younger adults had a TRM rate of about 25%, notably higher than that of cohorts without treatment (12%). </w:t>
      </w:r>
      <w:r w:rsidRPr="00E44E92">
        <w:rPr>
          <w:color w:val="0D0D0D"/>
          <w:vertAlign w:val="superscript"/>
        </w:rPr>
        <w:t>31</w:t>
      </w:r>
      <w:r>
        <w:rPr>
          <w:color w:val="0D0D0D"/>
        </w:rPr>
        <w:t xml:space="preserve"> </w:t>
      </w:r>
    </w:p>
    <w:p w14:paraId="448DFBD1" w14:textId="1C8D79D8" w:rsidR="007B0AB7" w:rsidRDefault="007B0AB7" w:rsidP="007B0AB7">
      <w:pPr>
        <w:pStyle w:val="BodyText"/>
        <w:spacing w:line="480" w:lineRule="auto"/>
        <w:ind w:right="4" w:firstLine="720"/>
        <w:jc w:val="both"/>
        <w:rPr>
          <w:color w:val="0D0D0D"/>
        </w:rPr>
      </w:pPr>
      <w:r w:rsidRPr="0023471A">
        <w:rPr>
          <w:color w:val="0D0D0D"/>
        </w:rPr>
        <w:t xml:space="preserve">In a retrospective analysis, patients treated </w:t>
      </w:r>
      <w:commentRangeStart w:id="3"/>
      <w:r w:rsidRPr="0023471A">
        <w:rPr>
          <w:color w:val="0D0D0D"/>
        </w:rPr>
        <w:t>off-study</w:t>
      </w:r>
      <w:commentRangeEnd w:id="3"/>
      <w:r w:rsidR="008C5A7D">
        <w:rPr>
          <w:rStyle w:val="CommentReference"/>
        </w:rPr>
        <w:commentReference w:id="3"/>
      </w:r>
      <w:r w:rsidRPr="0023471A">
        <w:rPr>
          <w:color w:val="0D0D0D"/>
        </w:rPr>
        <w:t xml:space="preserve"> (</w:t>
      </w:r>
      <w:r w:rsidR="008C5A7D">
        <w:rPr>
          <w:color w:val="0D0D0D"/>
        </w:rPr>
        <w:t>patients who received treatment outside a formal clinical trial setting due to medical, and logistic reasons</w:t>
      </w:r>
      <w:r w:rsidRPr="0023471A">
        <w:rPr>
          <w:color w:val="0D0D0D"/>
        </w:rPr>
        <w:t>) showed a decreased overall survival</w:t>
      </w:r>
      <w:r>
        <w:rPr>
          <w:color w:val="0D0D0D"/>
        </w:rPr>
        <w:t xml:space="preserve"> (OS)</w:t>
      </w:r>
      <w:r w:rsidRPr="0023471A">
        <w:rPr>
          <w:color w:val="0D0D0D"/>
        </w:rPr>
        <w:t xml:space="preserve"> compared to those receiving standard intensive therapy</w:t>
      </w:r>
      <w:r>
        <w:rPr>
          <w:color w:val="0D0D0D"/>
        </w:rPr>
        <w:t xml:space="preserve">. A total of 365 patients were analyzed, with patients categorized into two groups: newly diagnosed AML and relapsed/refractory AML, and further divided into groups treated according to clinical trial protocols and those not treated due to various reasons (medical, logistics). Among newly diagnosed patients CR without MRD is significantly higher for those treated on study (61%) compared to those off study (35%). Overall CR rates were also higher for on-study patients (86%) versus off-study </w:t>
      </w:r>
      <w:r w:rsidR="008C5A7D">
        <w:rPr>
          <w:color w:val="0D0D0D"/>
        </w:rPr>
        <w:t>patients</w:t>
      </w:r>
      <w:r>
        <w:rPr>
          <w:color w:val="0D0D0D"/>
        </w:rPr>
        <w:t xml:space="preserve"> (64%). On-study median OS was 2 years with median relapse-free survival (RFS) of 12 months. However, patients treated off study for medical reasons had significantly poorer outcomes with a median OS of 8months and median RFS at 7 months. </w:t>
      </w:r>
      <w:r w:rsidRPr="00726447">
        <w:rPr>
          <w:color w:val="0D0D0D"/>
          <w:vertAlign w:val="superscript"/>
        </w:rPr>
        <w:t>33</w:t>
      </w:r>
    </w:p>
    <w:p w14:paraId="16025513" w14:textId="77777777" w:rsidR="007B0AB7" w:rsidRDefault="007B0AB7" w:rsidP="007B0AB7">
      <w:pPr>
        <w:pStyle w:val="BodyText"/>
        <w:spacing w:line="480" w:lineRule="auto"/>
        <w:ind w:right="4" w:firstLine="720"/>
        <w:jc w:val="both"/>
        <w:rPr>
          <w:color w:val="0D0D0D"/>
        </w:rPr>
      </w:pPr>
      <w:r>
        <w:rPr>
          <w:color w:val="0D0D0D"/>
        </w:rPr>
        <w:t xml:space="preserve">In 2021, a retrospective study in a tertiary hospital in the Philippines focused on the clinical outcomes of adult Filipino patients diagnosed with AML. The study included 395 patients, predominantly female (54%) with a median age of 42 year old, receiving the standard intensive </w:t>
      </w:r>
      <w:r>
        <w:rPr>
          <w:color w:val="0D0D0D"/>
        </w:rPr>
        <w:lastRenderedPageBreak/>
        <w:t xml:space="preserve">chemotherapy followed by subsequent intermediate to high-dose cytarabine for post-remission therapy. The median OS for the cohort was 10 months. Successful induction chemotherapy is important for survival. Patients who achieve and maintain remission have significant outcomes. Better survival outcomes was influenced by younger age, good performance status, and accessible health care; while early relapse, adverse cytogenetic risk profile, presence of other health conditions, infection and limited treatment regimens resulted in lower survival rates. </w:t>
      </w:r>
      <w:r w:rsidRPr="00F25CB5">
        <w:rPr>
          <w:color w:val="0D0D0D"/>
          <w:vertAlign w:val="superscript"/>
        </w:rPr>
        <w:t>34</w:t>
      </w:r>
    </w:p>
    <w:p w14:paraId="72866CB3" w14:textId="77777777" w:rsidR="007B0AB7" w:rsidRPr="00726447" w:rsidRDefault="007B0AB7" w:rsidP="007B0AB7">
      <w:pPr>
        <w:pStyle w:val="BodyText"/>
        <w:spacing w:line="480" w:lineRule="auto"/>
        <w:ind w:right="4" w:firstLine="720"/>
        <w:jc w:val="both"/>
        <w:rPr>
          <w:color w:val="0D0D0D"/>
        </w:rPr>
      </w:pPr>
      <w:r w:rsidRPr="00726447">
        <w:rPr>
          <w:color w:val="0D0D0D"/>
        </w:rPr>
        <w:t>The prognosis of AML patients is heavily influenced by age, genetic factors, initial disease characteristics, response to treatment and overall health status. Those who receive appropriate treatment generally have better outcomes compared to untreated individuals, who face rapid disease progression and significantly lower survival rates.</w:t>
      </w:r>
      <w:r>
        <w:rPr>
          <w:color w:val="0D0D0D"/>
        </w:rPr>
        <w:t xml:space="preserve"> With the advent of novel agents that addresses targetable mutations improving the survival outcomes of these patients, the question of whether waiting for these results be more beneficial for these patients arises.</w:t>
      </w:r>
      <w:r w:rsidRPr="003632C6">
        <w:rPr>
          <w:color w:val="0D0D0D"/>
          <w:vertAlign w:val="superscript"/>
        </w:rPr>
        <w:t>1</w:t>
      </w:r>
      <w:r>
        <w:rPr>
          <w:color w:val="0D0D0D"/>
          <w:vertAlign w:val="superscript"/>
        </w:rPr>
        <w:t>,</w:t>
      </w:r>
      <w:r w:rsidRPr="003632C6">
        <w:rPr>
          <w:color w:val="0D0D0D"/>
          <w:vertAlign w:val="superscript"/>
        </w:rPr>
        <w:t>2,12,14</w:t>
      </w:r>
    </w:p>
    <w:p w14:paraId="65D2A64E" w14:textId="77777777" w:rsidR="00BA726C" w:rsidRDefault="007B0AB7" w:rsidP="00BA726C">
      <w:pPr>
        <w:pStyle w:val="BodyText"/>
        <w:spacing w:line="480" w:lineRule="auto"/>
        <w:ind w:right="4" w:firstLine="720"/>
        <w:jc w:val="both"/>
        <w:rPr>
          <w:i/>
          <w:iCs/>
          <w:color w:val="222222"/>
          <w:shd w:val="clear" w:color="auto" w:fill="FFFFFF"/>
        </w:rPr>
      </w:pPr>
      <w:r>
        <w:rPr>
          <w:color w:val="0D0D0D"/>
          <w:spacing w:val="-2"/>
        </w:rPr>
        <w:t xml:space="preserve">A study by </w:t>
      </w:r>
      <w:proofErr w:type="spellStart"/>
      <w:r>
        <w:rPr>
          <w:color w:val="0D0D0D"/>
          <w:spacing w:val="-2"/>
        </w:rPr>
        <w:t>Sekeres</w:t>
      </w:r>
      <w:proofErr w:type="spellEnd"/>
      <w:r>
        <w:rPr>
          <w:color w:val="0D0D0D"/>
          <w:spacing w:val="-2"/>
        </w:rPr>
        <w:t xml:space="preserve">, et. al. includes 1,317 patients from two institutions between 1994 and 2005. The median age of patients was 60 years (age 17-87 years), with varying cytogenetic risk distribution: 8% favorable, 66% intermediate, and 26% unfavorable. The median time from diagnosis to treatment was 4 days (range 1-78 days). Younger patients (under 60 years) generally experience better outcomes with a </w:t>
      </w:r>
      <w:r w:rsidRPr="003521D1">
        <w:rPr>
          <w:color w:val="0D0D0D"/>
          <w:spacing w:val="-2"/>
        </w:rPr>
        <w:t xml:space="preserve">CR </w:t>
      </w:r>
      <w:r>
        <w:rPr>
          <w:color w:val="0D0D0D"/>
          <w:spacing w:val="-2"/>
        </w:rPr>
        <w:t>of</w:t>
      </w:r>
      <w:r w:rsidRPr="003521D1">
        <w:rPr>
          <w:color w:val="0D0D0D"/>
          <w:spacing w:val="-2"/>
        </w:rPr>
        <w:t xml:space="preserve"> 67%,</w:t>
      </w:r>
      <w:r>
        <w:rPr>
          <w:color w:val="0D0D0D"/>
          <w:spacing w:val="-2"/>
        </w:rPr>
        <w:t xml:space="preserve"> and </w:t>
      </w:r>
      <w:r w:rsidRPr="003521D1">
        <w:rPr>
          <w:color w:val="0D0D0D"/>
          <w:spacing w:val="-2"/>
        </w:rPr>
        <w:t>a median OS of 68 weeks, while older patients (60 years and older) had a CR rate of 55% and a median OS of only 33 weeks.</w:t>
      </w:r>
      <w:r>
        <w:rPr>
          <w:color w:val="0D0D0D"/>
          <w:spacing w:val="-2"/>
        </w:rPr>
        <w:t xml:space="preserve"> </w:t>
      </w:r>
      <w:r w:rsidRPr="003521D1">
        <w:rPr>
          <w:color w:val="0D0D0D"/>
          <w:spacing w:val="-2"/>
        </w:rPr>
        <w:t>The study found that longer TDT negatively impacts both complete remission (CR) rates and overall survival (OS) rates in patients under 60 years. In statistical analyses, longer TDT was significantly associated with worse CR and OS outcomes in younger patients</w:t>
      </w:r>
      <w:r>
        <w:rPr>
          <w:color w:val="0D0D0D"/>
          <w:spacing w:val="-2"/>
        </w:rPr>
        <w:t xml:space="preserve"> but </w:t>
      </w:r>
      <w:r w:rsidRPr="003521D1">
        <w:rPr>
          <w:color w:val="0D0D0D"/>
          <w:spacing w:val="-2"/>
        </w:rPr>
        <w:t>did not show a significant impact on survival for older patients.</w:t>
      </w:r>
      <w:r w:rsidRPr="003632C6">
        <w:rPr>
          <w:color w:val="0D0D0D"/>
          <w:spacing w:val="-2"/>
          <w:vertAlign w:val="superscript"/>
        </w:rPr>
        <w:t>16</w:t>
      </w:r>
    </w:p>
    <w:p w14:paraId="20065218" w14:textId="14283700" w:rsidR="007B0AB7" w:rsidRPr="00BA726C" w:rsidRDefault="007B0AB7" w:rsidP="00BA726C">
      <w:pPr>
        <w:pStyle w:val="BodyText"/>
        <w:spacing w:line="480" w:lineRule="auto"/>
        <w:ind w:right="4" w:firstLine="720"/>
        <w:jc w:val="both"/>
        <w:rPr>
          <w:i/>
          <w:iCs/>
          <w:color w:val="222222"/>
          <w:shd w:val="clear" w:color="auto" w:fill="FFFFFF"/>
        </w:rPr>
      </w:pPr>
      <w:r>
        <w:rPr>
          <w:color w:val="222222"/>
          <w:shd w:val="clear" w:color="auto" w:fill="FFFFFF"/>
        </w:rPr>
        <w:lastRenderedPageBreak/>
        <w:t xml:space="preserve">In addition, a Swedish-population based study utilizing data from their AML Registry with 2,374 patients showed that two-thirds of patient who had a TDT of 5 days had significantly better outcomes compared to those with delays. </w:t>
      </w:r>
      <w:r w:rsidRPr="00B4054A">
        <w:rPr>
          <w:color w:val="222222"/>
          <w:shd w:val="clear" w:color="auto" w:fill="FFFFFF"/>
        </w:rPr>
        <w:t>The two-year survival rate for patients treated immediately was 47.5%, while it dropped to 36.0% and 37.9% for those treated after 6-10 days and 11-15 days, respectively</w:t>
      </w:r>
      <w:r>
        <w:rPr>
          <w:color w:val="222222"/>
          <w:shd w:val="clear" w:color="auto" w:fill="FFFFFF"/>
        </w:rPr>
        <w:t xml:space="preserve"> (p &lt; 0.0001). </w:t>
      </w:r>
      <w:r w:rsidRPr="00B4054A">
        <w:rPr>
          <w:color w:val="222222"/>
          <w:shd w:val="clear" w:color="auto" w:fill="FFFFFF"/>
        </w:rPr>
        <w:t xml:space="preserve">The rate of achieving CR was </w:t>
      </w:r>
      <w:r>
        <w:rPr>
          <w:color w:val="222222"/>
          <w:shd w:val="clear" w:color="auto" w:fill="FFFFFF"/>
        </w:rPr>
        <w:t xml:space="preserve">also </w:t>
      </w:r>
      <w:r w:rsidRPr="00B4054A">
        <w:rPr>
          <w:color w:val="222222"/>
          <w:shd w:val="clear" w:color="auto" w:fill="FFFFFF"/>
        </w:rPr>
        <w:t>higher in the immediate treatment group at 80%, compared to 70% for delayed treatment (P &lt; .001)</w:t>
      </w:r>
      <w:r>
        <w:rPr>
          <w:color w:val="222222"/>
          <w:shd w:val="clear" w:color="auto" w:fill="FFFFFF"/>
        </w:rPr>
        <w:t>. However, there</w:t>
      </w:r>
      <w:r w:rsidRPr="00B4054A">
        <w:rPr>
          <w:color w:val="222222"/>
          <w:shd w:val="clear" w:color="auto" w:fill="FFFFFF"/>
        </w:rPr>
        <w:t xml:space="preserve"> was no significant difference in early death rates within 30 or 60 days post-treatment initiation across different timing groups, suggesting that while immediate treatment improves long-term survival, it does not affect short-term mortality.</w:t>
      </w:r>
      <w:r w:rsidRPr="003632C6">
        <w:rPr>
          <w:color w:val="222222"/>
          <w:shd w:val="clear" w:color="auto" w:fill="FFFFFF"/>
          <w:vertAlign w:val="superscript"/>
        </w:rPr>
        <w:t xml:space="preserve">19 </w:t>
      </w:r>
    </w:p>
    <w:p w14:paraId="2D88348B" w14:textId="77777777" w:rsidR="007B0AB7" w:rsidRPr="007A49C8" w:rsidRDefault="007B0AB7" w:rsidP="007B0AB7">
      <w:pPr>
        <w:pStyle w:val="BodyText"/>
        <w:spacing w:line="480" w:lineRule="auto"/>
        <w:ind w:right="4" w:firstLine="720"/>
        <w:jc w:val="both"/>
        <w:rPr>
          <w:color w:val="222222"/>
          <w:shd w:val="clear" w:color="auto" w:fill="FFFFFF"/>
        </w:rPr>
      </w:pPr>
      <w:proofErr w:type="spellStart"/>
      <w:r>
        <w:rPr>
          <w:color w:val="222222"/>
          <w:shd w:val="clear" w:color="auto" w:fill="FFFFFF"/>
        </w:rPr>
        <w:t>Alsouqi</w:t>
      </w:r>
      <w:proofErr w:type="spellEnd"/>
      <w:r>
        <w:rPr>
          <w:color w:val="222222"/>
          <w:shd w:val="clear" w:color="auto" w:fill="FFFFFF"/>
        </w:rPr>
        <w:t>, et. al. further analyze data from 55,985 patients diagnosed with AML using the National Center Database from 2004 to 2018 shows that in patients under 60 years old, a 5-day delay in chemotherapy initiation was associated with worse long-term survival (HR 1.05 95% CI 1.01-1.09.) Survival decreased significantly with longer delays in treatment initiation. In contrast, patients 60 years old and older did not exhibit a significant impact on long-term interval due to treatment delays.</w:t>
      </w:r>
      <w:r w:rsidRPr="003632C6">
        <w:rPr>
          <w:color w:val="222222"/>
          <w:shd w:val="clear" w:color="auto" w:fill="FFFFFF"/>
          <w:vertAlign w:val="superscript"/>
        </w:rPr>
        <w:t>20</w:t>
      </w:r>
      <w:r>
        <w:rPr>
          <w:color w:val="222222"/>
          <w:shd w:val="clear" w:color="auto" w:fill="FFFFFF"/>
        </w:rPr>
        <w:t xml:space="preserve"> </w:t>
      </w:r>
    </w:p>
    <w:p w14:paraId="0AA9CDE3" w14:textId="77777777" w:rsidR="00BA726C" w:rsidRDefault="007B0AB7" w:rsidP="00BA726C">
      <w:pPr>
        <w:pStyle w:val="BodyText"/>
        <w:spacing w:line="480" w:lineRule="auto"/>
        <w:ind w:right="4" w:firstLine="720"/>
        <w:jc w:val="both"/>
        <w:rPr>
          <w:color w:val="0D0D0D"/>
          <w:spacing w:val="-2"/>
          <w:vertAlign w:val="superscript"/>
        </w:rPr>
      </w:pPr>
      <w:r>
        <w:rPr>
          <w:color w:val="0D0D0D"/>
          <w:spacing w:val="-2"/>
        </w:rPr>
        <w:t>However, a 2013 study from France involving 599 patients treated with induction chemotherapy showed a different result. The median age of participants were 58 years (range 16-83 years), with 60% aged 60 years and younger. The median TDT was 8 days, with significant differences based on age, WBC count and other factors. The analysis revealed that TDT did not significantly impact OS or response rate in the multivariate analysis (p = 0.4095). Factors such as age over 60 years, secondary AML, high WBC count, and performance status were more influential on survival outcomes. Of note, patients with a TDT of less than 5 days did not show improved outcomes when compared to those who have longer TDTs.</w:t>
      </w:r>
      <w:r w:rsidRPr="003632C6">
        <w:rPr>
          <w:color w:val="0D0D0D"/>
          <w:spacing w:val="-2"/>
          <w:vertAlign w:val="superscript"/>
        </w:rPr>
        <w:t>17</w:t>
      </w:r>
    </w:p>
    <w:p w14:paraId="0CC469DB" w14:textId="6E1A8694" w:rsidR="007B0AB7" w:rsidRPr="003632C6" w:rsidRDefault="007B0AB7" w:rsidP="00BA726C">
      <w:pPr>
        <w:pStyle w:val="BodyText"/>
        <w:spacing w:line="480" w:lineRule="auto"/>
        <w:ind w:right="4" w:firstLine="720"/>
        <w:jc w:val="both"/>
        <w:rPr>
          <w:color w:val="0D0D0D"/>
          <w:spacing w:val="-2"/>
          <w:vertAlign w:val="superscript"/>
        </w:rPr>
      </w:pPr>
      <w:r>
        <w:rPr>
          <w:color w:val="0D0D0D"/>
          <w:spacing w:val="-2"/>
        </w:rPr>
        <w:lastRenderedPageBreak/>
        <w:t xml:space="preserve">A study by </w:t>
      </w:r>
      <w:proofErr w:type="spellStart"/>
      <w:r w:rsidRPr="00A323BC">
        <w:rPr>
          <w:color w:val="0D0D0D"/>
          <w:spacing w:val="-2"/>
        </w:rPr>
        <w:t>Röllig</w:t>
      </w:r>
      <w:proofErr w:type="spellEnd"/>
      <w:r>
        <w:rPr>
          <w:color w:val="0D0D0D"/>
          <w:spacing w:val="-2"/>
        </w:rPr>
        <w:t xml:space="preserve">, et. al. also showed comparable results. It analyzed data from 2,263 patients with newly diagnosed AML in the German Study Alliance Leukemia-Acute Myeloid Leukemia registry. The median age of participants was 59 years, (range 50-68) with a mix of genetic risk profiles according to the </w:t>
      </w:r>
      <w:r w:rsidRPr="00FF1475">
        <w:rPr>
          <w:color w:val="0D0D0D"/>
          <w:spacing w:val="-2"/>
        </w:rPr>
        <w:t xml:space="preserve">European </w:t>
      </w:r>
      <w:proofErr w:type="spellStart"/>
      <w:r w:rsidRPr="00FF1475">
        <w:rPr>
          <w:color w:val="0D0D0D"/>
          <w:spacing w:val="-2"/>
        </w:rPr>
        <w:t>LeukemiaNet</w:t>
      </w:r>
      <w:proofErr w:type="spellEnd"/>
      <w:r w:rsidRPr="00FF1475">
        <w:rPr>
          <w:color w:val="0D0D0D"/>
          <w:spacing w:val="-2"/>
        </w:rPr>
        <w:t xml:space="preserve"> (ELN) 2017 classification.</w:t>
      </w:r>
      <w:r>
        <w:rPr>
          <w:color w:val="0D0D0D"/>
          <w:spacing w:val="-2"/>
        </w:rPr>
        <w:t xml:space="preserve"> Median TDT was 3 days (interquartile range, 2-7days). </w:t>
      </w:r>
      <w:r w:rsidRPr="00FF1475">
        <w:rPr>
          <w:color w:val="0D0D0D"/>
          <w:spacing w:val="-2"/>
        </w:rPr>
        <w:t>Unadjusted two-year OS rates were similar across different TDT groups: 51% for 0-5 days, 48% for 6-10 days, 44% for 11-15 days, and 50% for &gt;15 days (P = .211)</w:t>
      </w:r>
      <w:r>
        <w:rPr>
          <w:color w:val="0D0D0D"/>
          <w:spacing w:val="-2"/>
        </w:rPr>
        <w:t xml:space="preserve">. </w:t>
      </w:r>
      <w:r w:rsidRPr="00FF1475">
        <w:rPr>
          <w:color w:val="0D0D0D"/>
          <w:spacing w:val="-2"/>
        </w:rPr>
        <w:t>In multivariable analysis, the hazard ratio for TDT as a continuous variable was 1.00 (P = .617), indicating no significant association between TDT and survival.</w:t>
      </w:r>
      <w:r w:rsidRPr="003632C6">
        <w:rPr>
          <w:color w:val="0D0D0D"/>
          <w:spacing w:val="-2"/>
          <w:vertAlign w:val="superscript"/>
        </w:rPr>
        <w:t>18</w:t>
      </w:r>
    </w:p>
    <w:p w14:paraId="661D9CB2" w14:textId="77777777" w:rsidR="007B0AB7" w:rsidRDefault="007B0AB7" w:rsidP="007B0AB7">
      <w:pPr>
        <w:pStyle w:val="BodyText"/>
        <w:spacing w:line="480" w:lineRule="auto"/>
        <w:ind w:right="4" w:firstLine="720"/>
        <w:jc w:val="both"/>
        <w:rPr>
          <w:color w:val="0D0D0D"/>
          <w:spacing w:val="-2"/>
          <w:vertAlign w:val="superscript"/>
        </w:rPr>
      </w:pPr>
      <w:r>
        <w:rPr>
          <w:color w:val="0D0D0D"/>
          <w:spacing w:val="-2"/>
        </w:rPr>
        <w:t xml:space="preserve">Most recently, </w:t>
      </w:r>
      <w:r>
        <w:rPr>
          <w:color w:val="0D0D0D"/>
          <w:spacing w:val="-2"/>
        </w:rPr>
        <w:tab/>
        <w:t xml:space="preserve">Baden, et. al. analyzed 1,012 patients from 2 distinct cohorts (138 patients from the Study Alliance Leukemia database and 717 patients from the global health network </w:t>
      </w:r>
      <w:proofErr w:type="spellStart"/>
      <w:r>
        <w:rPr>
          <w:color w:val="0D0D0D"/>
          <w:spacing w:val="-2"/>
        </w:rPr>
        <w:t>TriNetX</w:t>
      </w:r>
      <w:proofErr w:type="spellEnd"/>
      <w:r>
        <w:rPr>
          <w:color w:val="0D0D0D"/>
          <w:spacing w:val="-2"/>
        </w:rPr>
        <w:t xml:space="preserve">) undergoing </w:t>
      </w:r>
      <w:proofErr w:type="spellStart"/>
      <w:r>
        <w:rPr>
          <w:color w:val="0D0D0D"/>
          <w:spacing w:val="-2"/>
        </w:rPr>
        <w:t>venetoclax</w:t>
      </w:r>
      <w:proofErr w:type="spellEnd"/>
      <w:r>
        <w:rPr>
          <w:color w:val="0D0D0D"/>
          <w:spacing w:val="-2"/>
        </w:rPr>
        <w:t>-based therapy. The study population is older at 68 years, with comorbidities common in the older adults such as frailty, cardiovascular and renal disease. The analysis found no significant correlation between TDT and OS rates. Remission rates are also comparable among the different timing groups.</w:t>
      </w:r>
      <w:r w:rsidRPr="00DD6F28">
        <w:rPr>
          <w:color w:val="0D0D0D"/>
          <w:spacing w:val="-2"/>
          <w:vertAlign w:val="superscript"/>
        </w:rPr>
        <w:t>21</w:t>
      </w:r>
    </w:p>
    <w:p w14:paraId="191143F7" w14:textId="77777777" w:rsidR="007B0AB7" w:rsidRDefault="007B0AB7" w:rsidP="007B0AB7">
      <w:pPr>
        <w:pStyle w:val="BodyText"/>
        <w:spacing w:line="480" w:lineRule="auto"/>
        <w:ind w:right="4" w:firstLine="720"/>
        <w:jc w:val="both"/>
        <w:rPr>
          <w:color w:val="0D0D0D"/>
          <w:spacing w:val="-2"/>
          <w:vertAlign w:val="superscript"/>
        </w:rPr>
      </w:pPr>
      <w:r>
        <w:rPr>
          <w:color w:val="0D0D0D"/>
          <w:spacing w:val="-2"/>
        </w:rPr>
        <w:t xml:space="preserve">A systematic review done last 2023 included data from 17 studies comprising a total of 5,000 patients diagnosed with AML. The meta-analysis showed no significant association between the TDT and OS </w:t>
      </w:r>
      <w:r w:rsidRPr="00A323BC">
        <w:rPr>
          <w:color w:val="0D0D0D"/>
          <w:spacing w:val="-2"/>
        </w:rPr>
        <w:t>(hazard ratio [HR] = 1.01, 95% confidence interval [CI]: 0.99-1.03).</w:t>
      </w:r>
      <w:r>
        <w:rPr>
          <w:color w:val="0D0D0D"/>
          <w:spacing w:val="-2"/>
        </w:rPr>
        <w:t xml:space="preserve"> Various subgroup analyses were conducted based on age, cytogenetic risk and treatment regimen also showing no consistent impact of treatment delay on survival.</w:t>
      </w:r>
      <w:r w:rsidRPr="00DD6F28">
        <w:rPr>
          <w:color w:val="0D0D0D"/>
          <w:spacing w:val="-2"/>
          <w:vertAlign w:val="superscript"/>
        </w:rPr>
        <w:t>22</w:t>
      </w:r>
    </w:p>
    <w:p w14:paraId="46691267" w14:textId="77777777" w:rsidR="007B0AB7" w:rsidRDefault="007B0AB7" w:rsidP="007B0AB7">
      <w:pPr>
        <w:pStyle w:val="BodyText"/>
        <w:spacing w:line="480" w:lineRule="auto"/>
        <w:ind w:right="4" w:firstLine="720"/>
        <w:jc w:val="both"/>
        <w:rPr>
          <w:color w:val="0D0D0D"/>
          <w:spacing w:val="-2"/>
        </w:rPr>
      </w:pPr>
      <w:r>
        <w:rPr>
          <w:color w:val="0D0D0D"/>
          <w:spacing w:val="-2"/>
        </w:rPr>
        <w:t xml:space="preserve">With all these robust studies with differing results done international, a search for local studies about the impact of TDT in the prognosis of AML patients revealed no results. </w:t>
      </w:r>
    </w:p>
    <w:p w14:paraId="47F3D1AF" w14:textId="77777777" w:rsidR="007B0AB7" w:rsidRDefault="007B0AB7" w:rsidP="007B0AB7">
      <w:pPr>
        <w:pStyle w:val="BodyText"/>
        <w:spacing w:line="480" w:lineRule="auto"/>
        <w:ind w:right="4"/>
        <w:jc w:val="both"/>
        <w:rPr>
          <w:color w:val="0D0D0D"/>
          <w:spacing w:val="-2"/>
        </w:rPr>
      </w:pPr>
    </w:p>
    <w:p w14:paraId="16ED7705" w14:textId="77777777" w:rsidR="00BA726C" w:rsidRPr="00EF12E1" w:rsidRDefault="00BA726C" w:rsidP="007B0AB7">
      <w:pPr>
        <w:pStyle w:val="BodyText"/>
        <w:spacing w:line="480" w:lineRule="auto"/>
        <w:ind w:right="4"/>
        <w:jc w:val="both"/>
        <w:rPr>
          <w:color w:val="0D0D0D"/>
          <w:spacing w:val="-2"/>
        </w:rPr>
      </w:pPr>
    </w:p>
    <w:p w14:paraId="6FBFFF5D" w14:textId="77777777" w:rsidR="007B0AB7" w:rsidRPr="00820A6A" w:rsidRDefault="007B0AB7" w:rsidP="007B0AB7">
      <w:pPr>
        <w:pStyle w:val="BodyText"/>
        <w:spacing w:line="480" w:lineRule="auto"/>
        <w:ind w:right="4"/>
        <w:jc w:val="both"/>
        <w:rPr>
          <w:b/>
          <w:bCs/>
          <w:color w:val="0D0D0D"/>
          <w:spacing w:val="-2"/>
        </w:rPr>
      </w:pPr>
      <w:r w:rsidRPr="00820A6A">
        <w:rPr>
          <w:b/>
          <w:bCs/>
          <w:color w:val="0D0D0D"/>
          <w:spacing w:val="-2"/>
        </w:rPr>
        <w:lastRenderedPageBreak/>
        <w:t>Significance of the Study</w:t>
      </w:r>
    </w:p>
    <w:p w14:paraId="33B475FE" w14:textId="77777777" w:rsidR="007B0AB7" w:rsidRDefault="007B0AB7" w:rsidP="007B0AB7">
      <w:pPr>
        <w:pStyle w:val="BodyText"/>
        <w:spacing w:line="480" w:lineRule="auto"/>
        <w:ind w:right="6" w:firstLine="720"/>
        <w:jc w:val="both"/>
      </w:pPr>
      <w:r>
        <w:t xml:space="preserve">This study holds considerable significance in contributing to an in depth understanding of the disease’s prognosis. There are limited local studies on newly diagnosed AML patient here in the Philippines. This study is the first of its kind to be conducted at University of the Philippines-Philippine General Hospital (UP-PGH). The investigation may shed light into impact of the time interval between diagnosis of the disease to initiation of definitive treatment, on whether we can wait for molecular studies to further individualized patients’ treatment or should we be aggressive in starting chemotherapy while waiting for these additional studies. </w:t>
      </w:r>
    </w:p>
    <w:p w14:paraId="2D1F57A2" w14:textId="77777777" w:rsidR="007B0AB7" w:rsidRDefault="007B0AB7" w:rsidP="007B0AB7">
      <w:pPr>
        <w:pStyle w:val="BodyText"/>
        <w:spacing w:line="480" w:lineRule="auto"/>
        <w:ind w:right="6" w:firstLine="720"/>
        <w:jc w:val="both"/>
      </w:pPr>
      <w:r w:rsidRPr="004A2473">
        <w:t>Moreover, it is crucial to consider that the healthcare system faces challenges such as limited beds for admission for induction chemotherapy, which can delay treatment initiation. These constraints may complicate decision-making regarding the urgency of starting therapy</w:t>
      </w:r>
      <w:r w:rsidRPr="00593602">
        <w:t xml:space="preserve">. The findings will also add to the body of medical knowledge and can serve as a useful tool for those who want to learn about the disease. This information can aid in the creation or revision of existing treatment protocols, ensuring that patient care is both effective and timely. </w:t>
      </w:r>
    </w:p>
    <w:p w14:paraId="2671AAD5" w14:textId="77777777" w:rsidR="007B0AB7" w:rsidRPr="005E1352" w:rsidRDefault="007B0AB7" w:rsidP="007B0AB7">
      <w:pPr>
        <w:pStyle w:val="BodyText"/>
        <w:spacing w:line="480" w:lineRule="auto"/>
        <w:ind w:right="6" w:firstLine="720"/>
        <w:jc w:val="both"/>
      </w:pPr>
      <w:r w:rsidRPr="00820A6A">
        <w:t xml:space="preserve">The Philippines is considered one of the resource limited countries where access to healthcare and medications are insufficient. </w:t>
      </w:r>
      <w:r>
        <w:t>Despite the substantial advancement in the treatment with AML, w</w:t>
      </w:r>
      <w:r w:rsidRPr="00820A6A">
        <w:t xml:space="preserve">ith the introduction of multiple novel and target-specific treatments available internationally not readily available in the country, this study aims to determine if the </w:t>
      </w:r>
      <w:r>
        <w:t>TDT</w:t>
      </w:r>
      <w:r w:rsidRPr="00820A6A">
        <w:t xml:space="preserve"> affects the prognosis of newly diagnosed AML patients. </w:t>
      </w:r>
    </w:p>
    <w:p w14:paraId="71B38411" w14:textId="77777777" w:rsidR="007B0AB7" w:rsidRDefault="007B0AB7" w:rsidP="007B0AB7">
      <w:pPr>
        <w:pStyle w:val="BodyText"/>
        <w:spacing w:line="480" w:lineRule="auto"/>
        <w:ind w:right="4"/>
        <w:jc w:val="both"/>
        <w:rPr>
          <w:b/>
          <w:bCs/>
          <w:color w:val="0D0D0D"/>
          <w:spacing w:val="-2"/>
        </w:rPr>
      </w:pPr>
    </w:p>
    <w:p w14:paraId="0CAFD300" w14:textId="77777777" w:rsidR="00BA726C" w:rsidRDefault="00BA726C" w:rsidP="007B0AB7">
      <w:pPr>
        <w:pStyle w:val="BodyText"/>
        <w:spacing w:line="480" w:lineRule="auto"/>
        <w:ind w:right="4"/>
        <w:jc w:val="both"/>
        <w:rPr>
          <w:b/>
          <w:bCs/>
          <w:color w:val="0D0D0D"/>
          <w:spacing w:val="-2"/>
        </w:rPr>
      </w:pPr>
    </w:p>
    <w:p w14:paraId="06242956" w14:textId="77777777" w:rsidR="00BA726C" w:rsidRDefault="00BA726C" w:rsidP="007B0AB7">
      <w:pPr>
        <w:pStyle w:val="BodyText"/>
        <w:spacing w:line="480" w:lineRule="auto"/>
        <w:ind w:right="4"/>
        <w:jc w:val="both"/>
        <w:rPr>
          <w:b/>
          <w:bCs/>
          <w:color w:val="0D0D0D"/>
          <w:spacing w:val="-2"/>
        </w:rPr>
      </w:pPr>
    </w:p>
    <w:p w14:paraId="5C864653" w14:textId="77777777" w:rsidR="00BA726C" w:rsidRPr="00820A6A" w:rsidRDefault="00BA726C" w:rsidP="007B0AB7">
      <w:pPr>
        <w:pStyle w:val="BodyText"/>
        <w:spacing w:line="480" w:lineRule="auto"/>
        <w:ind w:right="4"/>
        <w:jc w:val="both"/>
        <w:rPr>
          <w:b/>
          <w:bCs/>
          <w:color w:val="0D0D0D"/>
          <w:spacing w:val="-2"/>
        </w:rPr>
      </w:pPr>
    </w:p>
    <w:p w14:paraId="0EDE8673" w14:textId="77777777" w:rsidR="007B0AB7" w:rsidRDefault="007B0AB7" w:rsidP="007B0AB7">
      <w:pPr>
        <w:pStyle w:val="BodyText"/>
        <w:spacing w:line="480" w:lineRule="auto"/>
        <w:ind w:right="4"/>
        <w:jc w:val="both"/>
        <w:rPr>
          <w:b/>
          <w:bCs/>
          <w:color w:val="0D0D0D"/>
          <w:spacing w:val="-2"/>
        </w:rPr>
      </w:pPr>
      <w:r w:rsidRPr="00820A6A">
        <w:rPr>
          <w:b/>
          <w:bCs/>
          <w:color w:val="0D0D0D"/>
          <w:spacing w:val="-2"/>
        </w:rPr>
        <w:lastRenderedPageBreak/>
        <w:t>METHODOLOGY</w:t>
      </w:r>
    </w:p>
    <w:p w14:paraId="09D8B070" w14:textId="77777777" w:rsidR="007B0AB7" w:rsidRDefault="007B0AB7" w:rsidP="007B0AB7">
      <w:pPr>
        <w:pStyle w:val="BodyText"/>
        <w:spacing w:line="480" w:lineRule="auto"/>
        <w:ind w:right="4"/>
        <w:jc w:val="both"/>
        <w:rPr>
          <w:b/>
          <w:bCs/>
          <w:color w:val="0D0D0D"/>
          <w:spacing w:val="-2"/>
        </w:rPr>
      </w:pPr>
      <w:r>
        <w:rPr>
          <w:b/>
          <w:bCs/>
          <w:color w:val="0D0D0D"/>
          <w:spacing w:val="-2"/>
        </w:rPr>
        <w:t xml:space="preserve">Study Design </w:t>
      </w:r>
    </w:p>
    <w:p w14:paraId="58F5772D" w14:textId="77777777" w:rsidR="007B0AB7" w:rsidRDefault="007B0AB7" w:rsidP="007B0AB7">
      <w:pPr>
        <w:pStyle w:val="BodyText"/>
        <w:spacing w:line="480" w:lineRule="auto"/>
        <w:ind w:right="4"/>
        <w:jc w:val="both"/>
        <w:rPr>
          <w:color w:val="0D0D0D"/>
          <w:spacing w:val="-2"/>
        </w:rPr>
      </w:pPr>
      <w:r>
        <w:rPr>
          <w:b/>
          <w:bCs/>
          <w:color w:val="0D0D0D"/>
          <w:spacing w:val="-2"/>
        </w:rPr>
        <w:tab/>
      </w:r>
      <w:r>
        <w:rPr>
          <w:color w:val="0D0D0D"/>
          <w:spacing w:val="-2"/>
        </w:rPr>
        <w:t xml:space="preserve">This study is a single center, retrospective, non-interventional, analytical cohort study aimed to assess if </w:t>
      </w:r>
      <w:r w:rsidRPr="000960F1">
        <w:rPr>
          <w:color w:val="0D0D0D"/>
          <w:spacing w:val="-2"/>
        </w:rPr>
        <w:t xml:space="preserve">the prognosis of newly diagnosed AML  patients undergoing initiation chemotherapy is affected by the TDT. As a retrospective, analytical study, review of medical records of the all newly diagnosed adult AML patients seen at </w:t>
      </w:r>
      <w:r w:rsidRPr="000960F1">
        <w:t>UP-PGH</w:t>
      </w:r>
      <w:r w:rsidRPr="000960F1" w:rsidDel="00AD1820">
        <w:rPr>
          <w:color w:val="0D0D0D"/>
          <w:spacing w:val="-2"/>
        </w:rPr>
        <w:t xml:space="preserve"> </w:t>
      </w:r>
      <w:r w:rsidRPr="000960F1">
        <w:rPr>
          <w:color w:val="0D0D0D"/>
          <w:spacing w:val="-2"/>
        </w:rPr>
        <w:t>outpatient hematology clinics or admitted at the hospital’s service and private wards from January 1, 2020 to December 31, 2024.</w:t>
      </w:r>
    </w:p>
    <w:p w14:paraId="5BE9E5EB" w14:textId="77777777" w:rsidR="007B0AB7" w:rsidRDefault="007B0AB7" w:rsidP="007B0AB7">
      <w:pPr>
        <w:pStyle w:val="BodyText"/>
        <w:spacing w:line="480" w:lineRule="auto"/>
        <w:ind w:right="4"/>
        <w:jc w:val="both"/>
        <w:rPr>
          <w:color w:val="0D0D0D"/>
          <w:spacing w:val="-2"/>
        </w:rPr>
      </w:pPr>
    </w:p>
    <w:p w14:paraId="372649C7" w14:textId="77777777" w:rsidR="007B0AB7" w:rsidRDefault="007B0AB7" w:rsidP="007B0AB7">
      <w:pPr>
        <w:pStyle w:val="BodyText"/>
        <w:spacing w:line="480" w:lineRule="auto"/>
        <w:ind w:right="4"/>
        <w:jc w:val="both"/>
        <w:rPr>
          <w:b/>
          <w:bCs/>
          <w:color w:val="0D0D0D"/>
          <w:spacing w:val="-2"/>
        </w:rPr>
      </w:pPr>
      <w:r>
        <w:rPr>
          <w:b/>
          <w:bCs/>
          <w:color w:val="0D0D0D"/>
          <w:spacing w:val="-2"/>
        </w:rPr>
        <w:t>Study Setting</w:t>
      </w:r>
    </w:p>
    <w:p w14:paraId="52E9363A" w14:textId="77777777" w:rsidR="007B0AB7" w:rsidRPr="00EC30A3" w:rsidRDefault="007B0AB7" w:rsidP="007B0AB7">
      <w:pPr>
        <w:pStyle w:val="BodyText"/>
        <w:spacing w:line="480" w:lineRule="auto"/>
        <w:ind w:right="6" w:firstLine="720"/>
        <w:jc w:val="both"/>
        <w:rPr>
          <w:color w:val="0D0D0D"/>
          <w:spacing w:val="-2"/>
        </w:rPr>
      </w:pPr>
      <w:r>
        <w:rPr>
          <w:color w:val="0D0D0D"/>
          <w:spacing w:val="-2"/>
        </w:rPr>
        <w:t xml:space="preserve">This study will be conducted at </w:t>
      </w:r>
      <w:r>
        <w:t>UP-PGH</w:t>
      </w:r>
      <w:r>
        <w:rPr>
          <w:color w:val="0D0D0D"/>
          <w:spacing w:val="-2"/>
        </w:rPr>
        <w:t xml:space="preserve">, a tertiary referral </w:t>
      </w:r>
      <w:r w:rsidRPr="00820A6A">
        <w:rPr>
          <w:color w:val="0D0D0D"/>
          <w:spacing w:val="-2"/>
        </w:rPr>
        <w:t xml:space="preserve">with a 1,500-bed capacity catering to a large number of leukemia patients, it also has one of the few institutions offering hematology training in the country. </w:t>
      </w:r>
    </w:p>
    <w:p w14:paraId="1A690F0E" w14:textId="77777777" w:rsidR="00204C99" w:rsidRPr="00820A6A" w:rsidRDefault="00204C99" w:rsidP="007B0AB7">
      <w:pPr>
        <w:pStyle w:val="BodyText"/>
        <w:spacing w:line="480" w:lineRule="auto"/>
        <w:ind w:right="4"/>
        <w:jc w:val="both"/>
        <w:rPr>
          <w:b/>
          <w:bCs/>
          <w:color w:val="0D0D0D"/>
          <w:spacing w:val="-2"/>
        </w:rPr>
      </w:pPr>
    </w:p>
    <w:p w14:paraId="4B734E8C" w14:textId="77777777" w:rsidR="007B0AB7" w:rsidRPr="00820A6A" w:rsidRDefault="007B0AB7" w:rsidP="007B0AB7">
      <w:pPr>
        <w:pStyle w:val="BodyText"/>
        <w:spacing w:line="480" w:lineRule="auto"/>
        <w:ind w:right="4"/>
        <w:jc w:val="both"/>
        <w:rPr>
          <w:b/>
          <w:bCs/>
          <w:color w:val="0D0D0D"/>
          <w:spacing w:val="-2"/>
        </w:rPr>
      </w:pPr>
      <w:r w:rsidRPr="00820A6A">
        <w:rPr>
          <w:b/>
          <w:bCs/>
          <w:color w:val="0D0D0D"/>
          <w:spacing w:val="-2"/>
        </w:rPr>
        <w:t>Sampling Design and Sample Size</w:t>
      </w:r>
    </w:p>
    <w:p w14:paraId="21992F1F" w14:textId="77777777" w:rsidR="007B0AB7" w:rsidRDefault="007B0AB7" w:rsidP="007B0AB7">
      <w:pPr>
        <w:pStyle w:val="BodyText"/>
        <w:spacing w:line="480" w:lineRule="auto"/>
        <w:ind w:right="6"/>
        <w:jc w:val="both"/>
        <w:rPr>
          <w:color w:val="0D0D0D"/>
          <w:spacing w:val="-2"/>
        </w:rPr>
      </w:pPr>
      <w:r>
        <w:rPr>
          <w:color w:val="0D0D0D"/>
          <w:spacing w:val="-2"/>
        </w:rPr>
        <w:tab/>
        <w:t>This study will utilize a complete enumeration sampling design of all newly-diagnosed adult AML patient seen at</w:t>
      </w:r>
      <w:r w:rsidRPr="00820A6A">
        <w:rPr>
          <w:color w:val="0D0D0D"/>
          <w:spacing w:val="-2"/>
        </w:rPr>
        <w:t xml:space="preserve"> </w:t>
      </w:r>
      <w:r>
        <w:t>UP-PGH</w:t>
      </w:r>
      <w:r w:rsidRPr="00820A6A" w:rsidDel="00AD1820">
        <w:rPr>
          <w:color w:val="0D0D0D"/>
          <w:spacing w:val="-2"/>
        </w:rPr>
        <w:t xml:space="preserve"> </w:t>
      </w:r>
      <w:r w:rsidRPr="00820A6A">
        <w:rPr>
          <w:color w:val="0D0D0D"/>
          <w:spacing w:val="-2"/>
        </w:rPr>
        <w:t>outpatient hematology clinics or admitted at the hospital’s service and private wards from January 1, 20</w:t>
      </w:r>
      <w:r>
        <w:rPr>
          <w:color w:val="0D0D0D"/>
          <w:spacing w:val="-2"/>
        </w:rPr>
        <w:t>20</w:t>
      </w:r>
      <w:r w:rsidRPr="00820A6A">
        <w:rPr>
          <w:color w:val="0D0D0D"/>
          <w:spacing w:val="-2"/>
        </w:rPr>
        <w:t xml:space="preserve"> to December 31, 20</w:t>
      </w:r>
      <w:r>
        <w:rPr>
          <w:color w:val="0D0D0D"/>
          <w:spacing w:val="-2"/>
        </w:rPr>
        <w:t>24</w:t>
      </w:r>
      <w:r w:rsidRPr="00820A6A">
        <w:rPr>
          <w:color w:val="0D0D0D"/>
          <w:spacing w:val="-2"/>
        </w:rPr>
        <w:t xml:space="preserve">. </w:t>
      </w:r>
      <w:r>
        <w:rPr>
          <w:color w:val="0D0D0D"/>
          <w:spacing w:val="-2"/>
        </w:rPr>
        <w:t>The population will be derived from the census of the Division of Hematology of the Department of Medicine. The study sample size calculated using the Yamane formula is 67.</w:t>
      </w:r>
    </w:p>
    <w:p w14:paraId="0CB17F13" w14:textId="77777777" w:rsidR="007B0AB7" w:rsidRPr="00F51398" w:rsidRDefault="007B0AB7" w:rsidP="007B0AB7">
      <w:pPr>
        <w:pStyle w:val="BodyText"/>
        <w:ind w:right="6"/>
        <w:jc w:val="both"/>
        <w:rPr>
          <w:color w:val="0D0D0D"/>
          <w:spacing w:val="-2"/>
        </w:rPr>
      </w:pPr>
      <w:r w:rsidRPr="00F51398">
        <w:rPr>
          <w:color w:val="0D0D0D"/>
          <w:spacing w:val="-2"/>
        </w:rPr>
        <w:t xml:space="preserve">            N                </w:t>
      </w:r>
      <w:r>
        <w:rPr>
          <w:color w:val="0D0D0D"/>
          <w:spacing w:val="-2"/>
        </w:rPr>
        <w:t>80</w:t>
      </w:r>
    </w:p>
    <w:p w14:paraId="1064A1F8" w14:textId="77777777" w:rsidR="007B0AB7" w:rsidRPr="00F51398" w:rsidRDefault="007B0AB7" w:rsidP="007B0AB7">
      <w:pPr>
        <w:pStyle w:val="BodyText"/>
        <w:ind w:right="6"/>
        <w:jc w:val="both"/>
        <w:rPr>
          <w:color w:val="0D0D0D"/>
          <w:spacing w:val="-2"/>
        </w:rPr>
      </w:pPr>
      <w:r w:rsidRPr="00F51398">
        <w:rPr>
          <w:color w:val="0D0D0D"/>
          <w:spacing w:val="-2"/>
        </w:rPr>
        <w:t xml:space="preserve">n = -------------- = --------------   =  </w:t>
      </w:r>
      <w:r>
        <w:rPr>
          <w:color w:val="0D0D0D"/>
          <w:spacing w:val="-2"/>
        </w:rPr>
        <w:t>67</w:t>
      </w:r>
    </w:p>
    <w:p w14:paraId="7FA6650E" w14:textId="77777777" w:rsidR="007B0AB7" w:rsidRPr="00F51398" w:rsidRDefault="007B0AB7" w:rsidP="007B0AB7">
      <w:pPr>
        <w:pStyle w:val="BodyText"/>
        <w:ind w:right="6"/>
        <w:jc w:val="both"/>
        <w:rPr>
          <w:color w:val="0D0D0D"/>
          <w:spacing w:val="-2"/>
        </w:rPr>
      </w:pPr>
      <w:r w:rsidRPr="00F51398">
        <w:rPr>
          <w:color w:val="0D0D0D"/>
          <w:spacing w:val="-2"/>
        </w:rPr>
        <w:t xml:space="preserve">       1+N (e)2        1+</w:t>
      </w:r>
      <w:r>
        <w:rPr>
          <w:color w:val="0D0D0D"/>
          <w:spacing w:val="-2"/>
        </w:rPr>
        <w:t>80</w:t>
      </w:r>
      <w:r w:rsidRPr="00F51398">
        <w:rPr>
          <w:color w:val="0D0D0D"/>
          <w:spacing w:val="-2"/>
        </w:rPr>
        <w:t xml:space="preserve"> (</w:t>
      </w:r>
      <w:r>
        <w:rPr>
          <w:color w:val="0D0D0D"/>
          <w:spacing w:val="-2"/>
        </w:rPr>
        <w:t>0.05</w:t>
      </w:r>
      <w:r w:rsidRPr="00F51398">
        <w:rPr>
          <w:color w:val="0D0D0D"/>
          <w:spacing w:val="-2"/>
        </w:rPr>
        <w:t>)2</w:t>
      </w:r>
    </w:p>
    <w:p w14:paraId="2D7FD29B" w14:textId="77777777" w:rsidR="007B0AB7" w:rsidRPr="00F51398" w:rsidRDefault="007B0AB7" w:rsidP="007B0AB7">
      <w:pPr>
        <w:pStyle w:val="BodyText"/>
        <w:ind w:right="6"/>
        <w:jc w:val="both"/>
        <w:rPr>
          <w:color w:val="0D0D0D"/>
          <w:spacing w:val="-2"/>
        </w:rPr>
      </w:pPr>
    </w:p>
    <w:p w14:paraId="1BBF5C34" w14:textId="77777777" w:rsidR="007B0AB7" w:rsidRPr="00F51398" w:rsidRDefault="007B0AB7" w:rsidP="007B0AB7">
      <w:pPr>
        <w:pStyle w:val="BodyText"/>
        <w:ind w:right="6"/>
        <w:jc w:val="both"/>
        <w:rPr>
          <w:color w:val="0D0D0D"/>
          <w:spacing w:val="-2"/>
        </w:rPr>
      </w:pPr>
      <w:r w:rsidRPr="00F51398">
        <w:rPr>
          <w:color w:val="0D0D0D"/>
          <w:spacing w:val="-2"/>
        </w:rPr>
        <w:t>where: n = sample size</w:t>
      </w:r>
    </w:p>
    <w:p w14:paraId="1740ECD8" w14:textId="77777777" w:rsidR="007B0AB7" w:rsidRPr="00F51398" w:rsidRDefault="007B0AB7" w:rsidP="007B0AB7">
      <w:pPr>
        <w:pStyle w:val="BodyText"/>
        <w:ind w:right="6"/>
        <w:jc w:val="both"/>
        <w:rPr>
          <w:color w:val="0D0D0D"/>
          <w:spacing w:val="-2"/>
        </w:rPr>
      </w:pPr>
      <w:r w:rsidRPr="00F51398">
        <w:rPr>
          <w:color w:val="0D0D0D"/>
          <w:spacing w:val="-2"/>
        </w:rPr>
        <w:tab/>
        <w:t>N = population size</w:t>
      </w:r>
    </w:p>
    <w:p w14:paraId="30CAC58E" w14:textId="77777777" w:rsidR="007B0AB7" w:rsidRPr="00820A6A" w:rsidRDefault="007B0AB7" w:rsidP="007B0AB7">
      <w:pPr>
        <w:pStyle w:val="BodyText"/>
        <w:ind w:right="6"/>
        <w:jc w:val="both"/>
        <w:rPr>
          <w:color w:val="0D0D0D"/>
          <w:spacing w:val="-2"/>
        </w:rPr>
      </w:pPr>
      <w:r w:rsidRPr="00F51398">
        <w:rPr>
          <w:color w:val="0D0D0D"/>
          <w:spacing w:val="-2"/>
        </w:rPr>
        <w:tab/>
        <w:t>e = margin of error</w:t>
      </w:r>
    </w:p>
    <w:p w14:paraId="6E099D11" w14:textId="77777777" w:rsidR="007B0AB7" w:rsidRPr="00820A6A" w:rsidRDefault="007B0AB7" w:rsidP="007B0AB7">
      <w:pPr>
        <w:pStyle w:val="BodyText"/>
        <w:spacing w:line="480" w:lineRule="auto"/>
        <w:ind w:right="4"/>
        <w:jc w:val="both"/>
        <w:rPr>
          <w:b/>
          <w:bCs/>
          <w:color w:val="0D0D0D"/>
          <w:spacing w:val="-2"/>
        </w:rPr>
      </w:pPr>
    </w:p>
    <w:p w14:paraId="01DB9622" w14:textId="77777777" w:rsidR="007B0AB7" w:rsidRPr="00820A6A" w:rsidRDefault="007B0AB7" w:rsidP="007B0AB7">
      <w:pPr>
        <w:pStyle w:val="BodyText"/>
        <w:spacing w:line="480" w:lineRule="auto"/>
        <w:ind w:right="4"/>
        <w:jc w:val="both"/>
        <w:rPr>
          <w:b/>
          <w:bCs/>
          <w:color w:val="0D0D0D"/>
          <w:spacing w:val="-2"/>
        </w:rPr>
      </w:pPr>
      <w:r w:rsidRPr="00820A6A">
        <w:rPr>
          <w:b/>
          <w:bCs/>
          <w:color w:val="0D0D0D"/>
          <w:spacing w:val="-2"/>
        </w:rPr>
        <w:lastRenderedPageBreak/>
        <w:t>Study Population</w:t>
      </w:r>
    </w:p>
    <w:p w14:paraId="601B3AB1" w14:textId="77777777" w:rsidR="007B0AB7" w:rsidRPr="00820A6A" w:rsidRDefault="007B0AB7" w:rsidP="007B0AB7">
      <w:pPr>
        <w:pStyle w:val="BodyText"/>
        <w:spacing w:line="480" w:lineRule="auto"/>
        <w:ind w:right="6" w:firstLine="720"/>
        <w:jc w:val="both"/>
      </w:pPr>
      <w:r w:rsidRPr="00820A6A">
        <w:t xml:space="preserve">The study will include adult Filipino patients, aged 19 years old and above, newly-diagnosed with </w:t>
      </w:r>
      <w:r>
        <w:t>AML</w:t>
      </w:r>
      <w:r w:rsidRPr="00820A6A">
        <w:t xml:space="preserve"> (based on the World Health Organization updated criteria as of 2022) consulting at the </w:t>
      </w:r>
      <w:r>
        <w:t>UP-PGH</w:t>
      </w:r>
      <w:r w:rsidRPr="00820A6A" w:rsidDel="00AD1820">
        <w:t xml:space="preserve"> </w:t>
      </w:r>
      <w:r w:rsidRPr="00820A6A">
        <w:t>outpatient hematology clinics or admitted at the hospital’s service and private wards</w:t>
      </w:r>
      <w:r>
        <w:t xml:space="preserve"> undergoing intensive chemotherapy from January 1, 2020 to December 31, 2024. </w:t>
      </w:r>
    </w:p>
    <w:p w14:paraId="0FA775D1" w14:textId="77777777" w:rsidR="007B0AB7" w:rsidRPr="00DD6F28" w:rsidRDefault="007B0AB7" w:rsidP="007B0AB7">
      <w:pPr>
        <w:pStyle w:val="BodyText"/>
        <w:spacing w:line="480" w:lineRule="auto"/>
        <w:ind w:right="6"/>
        <w:jc w:val="both"/>
        <w:rPr>
          <w:i/>
          <w:iCs/>
        </w:rPr>
      </w:pPr>
      <w:r w:rsidRPr="00DD6F28">
        <w:rPr>
          <w:i/>
          <w:iCs/>
        </w:rPr>
        <w:t>Inclusion Criteria</w:t>
      </w:r>
    </w:p>
    <w:p w14:paraId="265F916B" w14:textId="52D82DF1" w:rsidR="007B0AB7" w:rsidRPr="00820A6A" w:rsidRDefault="007B0AB7" w:rsidP="007B0AB7">
      <w:pPr>
        <w:pStyle w:val="BodyText"/>
        <w:spacing w:line="480" w:lineRule="auto"/>
        <w:ind w:right="6" w:firstLine="720"/>
        <w:jc w:val="both"/>
      </w:pPr>
      <w:r w:rsidRPr="00820A6A">
        <w:t xml:space="preserve">Selected patients </w:t>
      </w:r>
      <w:r>
        <w:t>should</w:t>
      </w:r>
      <w:r w:rsidRPr="00820A6A">
        <w:t xml:space="preserve"> fulfill the following criteria: </w:t>
      </w:r>
      <w:r w:rsidR="008C5A7D">
        <w:t xml:space="preserve">aged 19 years old and above, </w:t>
      </w:r>
      <w:commentRangeStart w:id="4"/>
      <w:r w:rsidR="008C5A7D">
        <w:t>newly-diagnosed AML patients based on the WHO updated criteria</w:t>
      </w:r>
      <w:commentRangeEnd w:id="4"/>
      <w:r w:rsidR="008C5A7D">
        <w:rPr>
          <w:rStyle w:val="CommentReference"/>
        </w:rPr>
        <w:commentReference w:id="4"/>
      </w:r>
      <w:r w:rsidR="008C5A7D">
        <w:t xml:space="preserve">, </w:t>
      </w:r>
      <w:r w:rsidRPr="00820A6A">
        <w:t xml:space="preserve">patients receiving </w:t>
      </w:r>
      <w:r>
        <w:t xml:space="preserve">intensive </w:t>
      </w:r>
      <w:r w:rsidRPr="00820A6A">
        <w:t>induction chemotherapy</w:t>
      </w:r>
      <w:r w:rsidR="008C5A7D">
        <w:t>,</w:t>
      </w:r>
      <w:r w:rsidRPr="00820A6A">
        <w:t xml:space="preserve"> and at least 1 year follow-up. Patients who died any time after treatment started will be included. </w:t>
      </w:r>
    </w:p>
    <w:p w14:paraId="3B5A7C14" w14:textId="77777777" w:rsidR="007B0AB7" w:rsidRPr="00DD6F28" w:rsidRDefault="007B0AB7" w:rsidP="007B0AB7">
      <w:pPr>
        <w:pStyle w:val="BodyText"/>
        <w:spacing w:line="480" w:lineRule="auto"/>
        <w:ind w:right="6"/>
        <w:jc w:val="both"/>
        <w:rPr>
          <w:i/>
          <w:iCs/>
        </w:rPr>
      </w:pPr>
      <w:r w:rsidRPr="00DD6F28">
        <w:rPr>
          <w:i/>
          <w:iCs/>
        </w:rPr>
        <w:t xml:space="preserve">Exclusion Criteria </w:t>
      </w:r>
    </w:p>
    <w:p w14:paraId="36C2616B" w14:textId="2644B931" w:rsidR="007B0AB7" w:rsidRDefault="007B0AB7" w:rsidP="00BA726C">
      <w:pPr>
        <w:pStyle w:val="BodyText"/>
        <w:spacing w:line="480" w:lineRule="auto"/>
        <w:ind w:right="6" w:firstLine="720"/>
        <w:jc w:val="both"/>
      </w:pPr>
      <w:r w:rsidRPr="00820A6A">
        <w:t xml:space="preserve">Subjects will be excluded from the study if </w:t>
      </w:r>
      <w:r>
        <w:t xml:space="preserve">they are &lt; 19 year old; </w:t>
      </w:r>
      <w:r w:rsidRPr="00820A6A">
        <w:t xml:space="preserve">their medical records are missing; they have already undergone </w:t>
      </w:r>
      <w:r>
        <w:t>intensive</w:t>
      </w:r>
      <w:r w:rsidRPr="00820A6A">
        <w:t xml:space="preserve"> </w:t>
      </w:r>
      <w:r>
        <w:t>chemotherapy</w:t>
      </w:r>
      <w:r w:rsidRPr="00820A6A">
        <w:t xml:space="preserve"> prior to first consultation at </w:t>
      </w:r>
      <w:r>
        <w:t>UP-PGH</w:t>
      </w:r>
      <w:r w:rsidRPr="00820A6A">
        <w:t xml:space="preserve">; diagnosed with acute promyelocytic leukemia; </w:t>
      </w:r>
      <w:r>
        <w:t xml:space="preserve">utilization of </w:t>
      </w:r>
      <w:r w:rsidRPr="00820A6A">
        <w:t xml:space="preserve">non-intensive treatment; follow-up survival information &lt; 1 year; or if they are participating in another trial or study that prohibits enrollment to this study. </w:t>
      </w:r>
    </w:p>
    <w:p w14:paraId="5A202507" w14:textId="77777777" w:rsidR="007B0AB7" w:rsidRDefault="007B0AB7" w:rsidP="007B0AB7">
      <w:pPr>
        <w:pStyle w:val="BodyText"/>
        <w:spacing w:line="480" w:lineRule="auto"/>
        <w:ind w:right="6"/>
        <w:jc w:val="both"/>
      </w:pPr>
      <w:r>
        <w:rPr>
          <w:noProof/>
          <w14:ligatures w14:val="standardContextual"/>
        </w:rPr>
        <w:drawing>
          <wp:inline distT="0" distB="0" distL="0" distR="0" wp14:anchorId="455EC4C0" wp14:editId="5FAED024">
            <wp:extent cx="3708400" cy="2048933"/>
            <wp:effectExtent l="0" t="0" r="0" b="8890"/>
            <wp:docPr id="1448684817"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E39719C" w14:textId="77777777" w:rsidR="007B0AB7" w:rsidRPr="00820A6A" w:rsidRDefault="007B0AB7" w:rsidP="007B0AB7">
      <w:pPr>
        <w:pStyle w:val="BodyText"/>
        <w:spacing w:line="480" w:lineRule="auto"/>
        <w:ind w:right="6"/>
        <w:jc w:val="both"/>
      </w:pPr>
      <w:r w:rsidRPr="006F413B">
        <w:rPr>
          <w:b/>
          <w:bCs/>
        </w:rPr>
        <w:t>Fig 1. Patient selection for enrollment to the study.</w:t>
      </w:r>
      <w:r>
        <w:t xml:space="preserve"> APL, acute promyelocytic leukemia.</w:t>
      </w:r>
    </w:p>
    <w:p w14:paraId="46C0488D" w14:textId="77777777" w:rsidR="007B0AB7" w:rsidRPr="00820A6A" w:rsidRDefault="007B0AB7" w:rsidP="007B0AB7">
      <w:pPr>
        <w:pStyle w:val="BodyText"/>
        <w:spacing w:line="480" w:lineRule="auto"/>
        <w:ind w:right="4"/>
        <w:jc w:val="both"/>
        <w:rPr>
          <w:b/>
          <w:bCs/>
          <w:color w:val="0D0D0D"/>
          <w:spacing w:val="-2"/>
        </w:rPr>
      </w:pPr>
      <w:r w:rsidRPr="00820A6A">
        <w:rPr>
          <w:b/>
          <w:bCs/>
          <w:color w:val="0D0D0D"/>
          <w:spacing w:val="-2"/>
        </w:rPr>
        <w:lastRenderedPageBreak/>
        <w:t>Study Duration</w:t>
      </w:r>
    </w:p>
    <w:p w14:paraId="4AD05937" w14:textId="35FB7E47" w:rsidR="007A423D" w:rsidRDefault="007B0AB7" w:rsidP="007A423D">
      <w:pPr>
        <w:pStyle w:val="BodyText"/>
        <w:spacing w:line="480" w:lineRule="auto"/>
        <w:ind w:right="6" w:firstLine="720"/>
        <w:jc w:val="both"/>
        <w:rPr>
          <w:color w:val="0D0D0D"/>
          <w:spacing w:val="-2"/>
        </w:rPr>
      </w:pPr>
      <w:r w:rsidRPr="00820A6A">
        <w:rPr>
          <w:color w:val="0D0D0D"/>
          <w:spacing w:val="-2"/>
        </w:rPr>
        <w:t xml:space="preserve">The study will commence once approved by the institution’s ethics committees and will be completed by </w:t>
      </w:r>
      <w:r>
        <w:rPr>
          <w:color w:val="0D0D0D"/>
          <w:spacing w:val="-2"/>
        </w:rPr>
        <w:t>3</w:t>
      </w:r>
      <w:r w:rsidRPr="00820A6A">
        <w:rPr>
          <w:color w:val="0D0D0D"/>
          <w:spacing w:val="-2"/>
        </w:rPr>
        <w:t xml:space="preserve"> months.</w:t>
      </w:r>
    </w:p>
    <w:p w14:paraId="22F013EA" w14:textId="77777777" w:rsidR="007A423D" w:rsidRPr="007A423D" w:rsidRDefault="007A423D" w:rsidP="00BA726C">
      <w:pPr>
        <w:pStyle w:val="BodyText"/>
        <w:spacing w:line="480" w:lineRule="auto"/>
        <w:ind w:right="6"/>
        <w:jc w:val="both"/>
        <w:rPr>
          <w:color w:val="0D0D0D"/>
          <w:spacing w:val="-2"/>
        </w:rPr>
      </w:pPr>
    </w:p>
    <w:p w14:paraId="37094BFC" w14:textId="77777777" w:rsidR="007B0AB7" w:rsidRPr="000960F1" w:rsidRDefault="007B0AB7" w:rsidP="007B0AB7">
      <w:pPr>
        <w:pStyle w:val="BodyText"/>
        <w:spacing w:line="480" w:lineRule="auto"/>
        <w:ind w:right="4"/>
        <w:jc w:val="both"/>
        <w:rPr>
          <w:b/>
          <w:bCs/>
          <w:color w:val="0D0D0D"/>
          <w:spacing w:val="-2"/>
        </w:rPr>
      </w:pPr>
      <w:r w:rsidRPr="000960F1">
        <w:rPr>
          <w:b/>
          <w:bCs/>
          <w:color w:val="0D0D0D"/>
          <w:spacing w:val="-2"/>
        </w:rPr>
        <w:t>Operational Definition of Terms</w:t>
      </w:r>
    </w:p>
    <w:p w14:paraId="7AB4E6DF" w14:textId="77777777" w:rsidR="007B0AB7" w:rsidRPr="000960F1" w:rsidRDefault="007B0AB7" w:rsidP="007B0AB7">
      <w:pPr>
        <w:pStyle w:val="BodyText"/>
        <w:numPr>
          <w:ilvl w:val="0"/>
          <w:numId w:val="18"/>
        </w:numPr>
        <w:spacing w:line="480" w:lineRule="auto"/>
        <w:ind w:right="4"/>
        <w:jc w:val="both"/>
        <w:rPr>
          <w:color w:val="0D0D0D"/>
          <w:spacing w:val="-2"/>
        </w:rPr>
      </w:pPr>
      <w:r w:rsidRPr="000960F1">
        <w:rPr>
          <w:color w:val="0D0D0D"/>
          <w:spacing w:val="-2"/>
        </w:rPr>
        <w:t>Time from diagnosis to treatment (TDT) – measured in days, refers to the time interval between the establishment of AML diagnosis (by bone marrow biopsy and/or flow cytometry) and receiving intensive chemotherapy</w:t>
      </w:r>
    </w:p>
    <w:p w14:paraId="090A0189"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t>De novo AML – refers to cases of AML that arise spontaneously without any prior hematologic disorders or exposure to chemotherapy or radiation.</w:t>
      </w:r>
      <w:r w:rsidRPr="00DD6F28">
        <w:rPr>
          <w:color w:val="0D0D0D"/>
          <w:spacing w:val="-2"/>
          <w:vertAlign w:val="superscript"/>
        </w:rPr>
        <w:t>23</w:t>
      </w:r>
    </w:p>
    <w:p w14:paraId="5FE9964C"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t>Secondary AML (</w:t>
      </w:r>
      <w:proofErr w:type="spellStart"/>
      <w:r>
        <w:rPr>
          <w:color w:val="0D0D0D"/>
          <w:spacing w:val="-2"/>
        </w:rPr>
        <w:t>sAML</w:t>
      </w:r>
      <w:proofErr w:type="spellEnd"/>
      <w:r>
        <w:rPr>
          <w:color w:val="0D0D0D"/>
          <w:spacing w:val="-2"/>
        </w:rPr>
        <w:t>) – refers to cases of AML that develops from a pre-existing hematologic condition, such as myelodysplastic syndromes (MDS) or myeloproliferative neoplasms (MPN)</w:t>
      </w:r>
      <w:r w:rsidRPr="00DD6F28">
        <w:rPr>
          <w:color w:val="0D0D0D"/>
          <w:spacing w:val="-2"/>
        </w:rPr>
        <w:t xml:space="preserve"> </w:t>
      </w:r>
      <w:r>
        <w:rPr>
          <w:color w:val="0D0D0D"/>
          <w:spacing w:val="-2"/>
        </w:rPr>
        <w:t>.</w:t>
      </w:r>
      <w:r w:rsidRPr="00DD6F28">
        <w:rPr>
          <w:color w:val="0D0D0D"/>
          <w:spacing w:val="-2"/>
          <w:vertAlign w:val="superscript"/>
        </w:rPr>
        <w:t>23</w:t>
      </w:r>
    </w:p>
    <w:p w14:paraId="1F37BDEC"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t>Therapy-related AML (</w:t>
      </w:r>
      <w:proofErr w:type="spellStart"/>
      <w:r>
        <w:rPr>
          <w:color w:val="0D0D0D"/>
          <w:spacing w:val="-2"/>
        </w:rPr>
        <w:t>tAML</w:t>
      </w:r>
      <w:proofErr w:type="spellEnd"/>
      <w:r>
        <w:rPr>
          <w:color w:val="0D0D0D"/>
          <w:spacing w:val="-2"/>
        </w:rPr>
        <w:t>) – refers to cases of AML that develops as a consequence of chemotherapy or radiation therapy.</w:t>
      </w:r>
      <w:r w:rsidRPr="00DD6F28">
        <w:rPr>
          <w:color w:val="0D0D0D"/>
          <w:spacing w:val="-2"/>
          <w:vertAlign w:val="superscript"/>
        </w:rPr>
        <w:t>23</w:t>
      </w:r>
    </w:p>
    <w:p w14:paraId="387DD82F"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t>Intensive chemotherapy – refers to treatment strategies involving high doses of cytotoxic drugs given with a goal to achieve complete remission.</w:t>
      </w:r>
      <w:r w:rsidRPr="00DD6F28">
        <w:rPr>
          <w:color w:val="0D0D0D"/>
          <w:spacing w:val="-2"/>
          <w:vertAlign w:val="superscript"/>
        </w:rPr>
        <w:t>23</w:t>
      </w:r>
    </w:p>
    <w:p w14:paraId="4EDB478F"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t>Non-intensive chemotherapy – refers to treatment strategies that use lower doses of chemotherapy with goal of disease control and minimal side effects, suitable for patients who cannot tolerate intensive chemotherapy due to age, frailty and other underlying health conditions.</w:t>
      </w:r>
      <w:r w:rsidRPr="00DD6F28">
        <w:rPr>
          <w:color w:val="0D0D0D"/>
          <w:spacing w:val="-2"/>
          <w:vertAlign w:val="superscript"/>
        </w:rPr>
        <w:t>23</w:t>
      </w:r>
    </w:p>
    <w:p w14:paraId="4D551389"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lastRenderedPageBreak/>
        <w:t xml:space="preserve">Complete remission (CR) – in NCCN AML guidelines, refers to a treatment response defined by bone marrow blast &lt; 5% in an aspirate with spicules, transfusion independence, absolute neutropenic count </w:t>
      </w:r>
      <w:r>
        <w:rPr>
          <w:color w:val="0D0D0D"/>
          <w:spacing w:val="-2"/>
        </w:rPr>
        <w:sym w:font="Symbol" w:char="F0B3"/>
      </w:r>
      <w:r>
        <w:rPr>
          <w:color w:val="0D0D0D"/>
          <w:spacing w:val="-2"/>
        </w:rPr>
        <w:t xml:space="preserve"> 1 x 10</w:t>
      </w:r>
      <w:r w:rsidRPr="00243356">
        <w:rPr>
          <w:color w:val="0D0D0D"/>
          <w:spacing w:val="-2"/>
          <w:vertAlign w:val="superscript"/>
        </w:rPr>
        <w:t>9</w:t>
      </w:r>
      <w:r>
        <w:rPr>
          <w:color w:val="0D0D0D"/>
          <w:spacing w:val="-2"/>
        </w:rPr>
        <w:t xml:space="preserve">/L, and platelet count </w:t>
      </w:r>
      <w:r>
        <w:rPr>
          <w:color w:val="0D0D0D"/>
          <w:spacing w:val="-2"/>
        </w:rPr>
        <w:sym w:font="Symbol" w:char="F0B3"/>
      </w:r>
      <w:r>
        <w:rPr>
          <w:color w:val="0D0D0D"/>
          <w:spacing w:val="-2"/>
        </w:rPr>
        <w:t>100 x 10</w:t>
      </w:r>
      <w:r w:rsidRPr="00243356">
        <w:rPr>
          <w:color w:val="0D0D0D"/>
          <w:spacing w:val="-2"/>
          <w:vertAlign w:val="superscript"/>
        </w:rPr>
        <w:t>9</w:t>
      </w:r>
      <w:r>
        <w:rPr>
          <w:color w:val="0D0D0D"/>
          <w:spacing w:val="-2"/>
        </w:rPr>
        <w:t>/L.</w:t>
      </w:r>
      <w:r w:rsidRPr="00DD6F28">
        <w:rPr>
          <w:color w:val="0D0D0D"/>
          <w:spacing w:val="-2"/>
          <w:vertAlign w:val="superscript"/>
        </w:rPr>
        <w:t>23</w:t>
      </w:r>
    </w:p>
    <w:p w14:paraId="53DB5FC3" w14:textId="77777777" w:rsidR="007B0AB7" w:rsidRPr="00DD6F28" w:rsidRDefault="007B0AB7" w:rsidP="007B0AB7">
      <w:pPr>
        <w:pStyle w:val="BodyText"/>
        <w:numPr>
          <w:ilvl w:val="0"/>
          <w:numId w:val="18"/>
        </w:numPr>
        <w:spacing w:line="480" w:lineRule="auto"/>
        <w:ind w:right="4"/>
        <w:jc w:val="both"/>
        <w:rPr>
          <w:color w:val="0D0D0D"/>
          <w:spacing w:val="-2"/>
        </w:rPr>
      </w:pPr>
      <w:r>
        <w:rPr>
          <w:color w:val="0D0D0D"/>
          <w:spacing w:val="-2"/>
        </w:rPr>
        <w:t>Complete remission with incomplete hematologic recovery (</w:t>
      </w:r>
      <w:proofErr w:type="spellStart"/>
      <w:r>
        <w:rPr>
          <w:color w:val="0D0D0D"/>
          <w:spacing w:val="-2"/>
        </w:rPr>
        <w:t>CRi</w:t>
      </w:r>
      <w:proofErr w:type="spellEnd"/>
      <w:r>
        <w:rPr>
          <w:color w:val="0D0D0D"/>
          <w:spacing w:val="-2"/>
        </w:rPr>
        <w:t>) – in NCCN AML guidelines, refers to achieving all CR criteria and transfusion independence with persistence of neutropenia (&lt;1 x 10</w:t>
      </w:r>
      <w:r w:rsidRPr="00243356">
        <w:rPr>
          <w:color w:val="0D0D0D"/>
          <w:spacing w:val="-2"/>
          <w:vertAlign w:val="superscript"/>
        </w:rPr>
        <w:t>9</w:t>
      </w:r>
      <w:r>
        <w:rPr>
          <w:color w:val="0D0D0D"/>
          <w:spacing w:val="-2"/>
        </w:rPr>
        <w:t xml:space="preserve">/L) or thrombocytopenia </w:t>
      </w:r>
      <w:r w:rsidRPr="00DD6F28">
        <w:rPr>
          <w:color w:val="0D0D0D"/>
          <w:spacing w:val="-2"/>
        </w:rPr>
        <w:t>&lt; 100 x 10</w:t>
      </w:r>
      <w:r w:rsidRPr="00DD6F28">
        <w:rPr>
          <w:color w:val="0D0D0D"/>
          <w:spacing w:val="-2"/>
          <w:vertAlign w:val="superscript"/>
        </w:rPr>
        <w:t>9</w:t>
      </w:r>
      <w:r w:rsidRPr="00DD6F28">
        <w:rPr>
          <w:color w:val="0D0D0D"/>
          <w:spacing w:val="-2"/>
        </w:rPr>
        <w:t>/L</w:t>
      </w:r>
      <w:r>
        <w:rPr>
          <w:color w:val="0D0D0D"/>
          <w:spacing w:val="-2"/>
        </w:rPr>
        <w:t>.</w:t>
      </w:r>
      <w:r w:rsidRPr="00DD6F28">
        <w:rPr>
          <w:color w:val="0D0D0D"/>
          <w:spacing w:val="-2"/>
          <w:vertAlign w:val="superscript"/>
        </w:rPr>
        <w:t>23</w:t>
      </w:r>
    </w:p>
    <w:p w14:paraId="21F59262"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t>Relapse following complete remission – in NCCN AML guidelines, refers to the reappearance of leukemic blasts in the peripheral blood or the finding of more than 5% blasts in the bone marrow, not attributable to another cause.</w:t>
      </w:r>
      <w:r w:rsidRPr="00DD6F28">
        <w:rPr>
          <w:color w:val="0D0D0D"/>
          <w:spacing w:val="-2"/>
          <w:vertAlign w:val="superscript"/>
        </w:rPr>
        <w:t>23</w:t>
      </w:r>
    </w:p>
    <w:p w14:paraId="64FD8B92"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t xml:space="preserve">Primary refractory disease - in NCCN AML guidelines, refers to the inability to attain CR or </w:t>
      </w:r>
      <w:proofErr w:type="spellStart"/>
      <w:r>
        <w:rPr>
          <w:color w:val="0D0D0D"/>
          <w:spacing w:val="-2"/>
        </w:rPr>
        <w:t>CRi</w:t>
      </w:r>
      <w:proofErr w:type="spellEnd"/>
      <w:r>
        <w:rPr>
          <w:color w:val="0D0D0D"/>
          <w:spacing w:val="-2"/>
        </w:rPr>
        <w:t xml:space="preserve"> following exposure to at least 2 courses of intensive induction therapy.</w:t>
      </w:r>
      <w:r w:rsidRPr="00DD6F28">
        <w:rPr>
          <w:color w:val="0D0D0D"/>
          <w:spacing w:val="-2"/>
          <w:vertAlign w:val="superscript"/>
        </w:rPr>
        <w:t>23</w:t>
      </w:r>
    </w:p>
    <w:p w14:paraId="6DE0554D" w14:textId="77777777" w:rsidR="007B0AB7" w:rsidRPr="00FB3300" w:rsidRDefault="007B0AB7" w:rsidP="007B0AB7">
      <w:pPr>
        <w:pStyle w:val="ListParagraph"/>
        <w:numPr>
          <w:ilvl w:val="0"/>
          <w:numId w:val="18"/>
        </w:numPr>
        <w:spacing w:line="480" w:lineRule="auto"/>
        <w:jc w:val="both"/>
      </w:pPr>
      <w:r w:rsidRPr="00187E59">
        <w:t xml:space="preserve">Eastern Cooperative Oncology Group </w:t>
      </w:r>
      <w:r>
        <w:t xml:space="preserve">Performance status </w:t>
      </w:r>
      <w:r w:rsidRPr="00187E59">
        <w:t xml:space="preserve">(ECOG) </w:t>
      </w:r>
      <w:r>
        <w:t>–</w:t>
      </w:r>
      <w:r w:rsidRPr="00187E59">
        <w:t xml:space="preserve"> </w:t>
      </w:r>
      <w:r>
        <w:t xml:space="preserve">refers to a </w:t>
      </w:r>
      <w:r w:rsidRPr="00187E59">
        <w:t>tool assessment of level of function and capability of self-care. It uses 5 points score to assess performance status and is considered simple tool to use in daily clinical practice.</w:t>
      </w:r>
      <w:r>
        <w:rPr>
          <w:vertAlign w:val="superscript"/>
        </w:rPr>
        <w:t>24</w:t>
      </w:r>
    </w:p>
    <w:p w14:paraId="52354F13" w14:textId="77777777" w:rsidR="007B0AB7" w:rsidRDefault="007B0AB7" w:rsidP="007B0AB7">
      <w:pPr>
        <w:pStyle w:val="BodyText"/>
        <w:spacing w:line="480" w:lineRule="auto"/>
        <w:ind w:left="720" w:right="4"/>
        <w:rPr>
          <w:b/>
          <w:bCs/>
          <w:color w:val="0D0D0D"/>
          <w:spacing w:val="-2"/>
        </w:rPr>
      </w:pPr>
      <w:r>
        <w:rPr>
          <w:b/>
          <w:bCs/>
          <w:color w:val="0D0D0D"/>
          <w:spacing w:val="-2"/>
        </w:rPr>
        <w:t xml:space="preserve">Table 2. </w:t>
      </w:r>
      <w:r w:rsidRPr="00DD6F28">
        <w:rPr>
          <w:b/>
          <w:bCs/>
          <w:color w:val="0D0D0D"/>
          <w:spacing w:val="-2"/>
        </w:rPr>
        <w:t>Eastern Cooperative Oncology Group (ECOG) Performance Status</w:t>
      </w:r>
    </w:p>
    <w:tbl>
      <w:tblPr>
        <w:tblStyle w:val="TableGrid"/>
        <w:tblW w:w="8646" w:type="dxa"/>
        <w:tblInd w:w="714" w:type="dxa"/>
        <w:tblLook w:val="04A0" w:firstRow="1" w:lastRow="0" w:firstColumn="1" w:lastColumn="0" w:noHBand="0" w:noVBand="1"/>
      </w:tblPr>
      <w:tblGrid>
        <w:gridCol w:w="2126"/>
        <w:gridCol w:w="6520"/>
      </w:tblGrid>
      <w:tr w:rsidR="007B0AB7" w:rsidRPr="00187E59" w14:paraId="2053CF36" w14:textId="77777777" w:rsidTr="00BA726C">
        <w:tc>
          <w:tcPr>
            <w:tcW w:w="8646" w:type="dxa"/>
            <w:gridSpan w:val="2"/>
          </w:tcPr>
          <w:p w14:paraId="62277F84" w14:textId="77777777" w:rsidR="007B0AB7" w:rsidRPr="00187E59" w:rsidRDefault="007B0AB7" w:rsidP="007D412A">
            <w:r w:rsidRPr="00187E59">
              <w:t>Eastern Cooperative Oncology Group (ECOG) Performance Status</w:t>
            </w:r>
          </w:p>
        </w:tc>
      </w:tr>
      <w:tr w:rsidR="007B0AB7" w:rsidRPr="00187E59" w14:paraId="6B4F37BF" w14:textId="77777777" w:rsidTr="00BA726C">
        <w:tc>
          <w:tcPr>
            <w:tcW w:w="2126" w:type="dxa"/>
          </w:tcPr>
          <w:p w14:paraId="4A40FF71" w14:textId="77777777" w:rsidR="007B0AB7" w:rsidRPr="00187E59" w:rsidRDefault="007B0AB7" w:rsidP="007D412A">
            <w:r w:rsidRPr="00187E59">
              <w:t>Performance Status</w:t>
            </w:r>
          </w:p>
        </w:tc>
        <w:tc>
          <w:tcPr>
            <w:tcW w:w="6520" w:type="dxa"/>
          </w:tcPr>
          <w:p w14:paraId="3A946E10" w14:textId="77777777" w:rsidR="007B0AB7" w:rsidRPr="00187E59" w:rsidRDefault="007B0AB7" w:rsidP="007D412A">
            <w:r w:rsidRPr="00187E59">
              <w:t>Definition</w:t>
            </w:r>
          </w:p>
        </w:tc>
      </w:tr>
      <w:tr w:rsidR="007B0AB7" w:rsidRPr="00187E59" w14:paraId="39A1858A" w14:textId="77777777" w:rsidTr="00BA726C">
        <w:tc>
          <w:tcPr>
            <w:tcW w:w="2126" w:type="dxa"/>
          </w:tcPr>
          <w:p w14:paraId="591A95B8" w14:textId="77777777" w:rsidR="007B0AB7" w:rsidRPr="00187E59" w:rsidRDefault="007B0AB7" w:rsidP="007D412A">
            <w:r w:rsidRPr="00187E59">
              <w:t>0</w:t>
            </w:r>
          </w:p>
        </w:tc>
        <w:tc>
          <w:tcPr>
            <w:tcW w:w="6520" w:type="dxa"/>
          </w:tcPr>
          <w:p w14:paraId="6BEE8CEE" w14:textId="77777777" w:rsidR="007B0AB7" w:rsidRPr="00187E59" w:rsidRDefault="007B0AB7" w:rsidP="007D412A">
            <w:r w:rsidRPr="00187E59">
              <w:t>Fully active; no performance restrictions.</w:t>
            </w:r>
          </w:p>
        </w:tc>
      </w:tr>
      <w:tr w:rsidR="007B0AB7" w:rsidRPr="00187E59" w14:paraId="6C2EF9E0" w14:textId="77777777" w:rsidTr="00BA726C">
        <w:tc>
          <w:tcPr>
            <w:tcW w:w="2126" w:type="dxa"/>
          </w:tcPr>
          <w:p w14:paraId="048CDB60" w14:textId="77777777" w:rsidR="007B0AB7" w:rsidRPr="00187E59" w:rsidRDefault="007B0AB7" w:rsidP="007D412A">
            <w:r w:rsidRPr="00187E59">
              <w:t>1</w:t>
            </w:r>
          </w:p>
        </w:tc>
        <w:tc>
          <w:tcPr>
            <w:tcW w:w="6520" w:type="dxa"/>
          </w:tcPr>
          <w:p w14:paraId="2AC895FE" w14:textId="77777777" w:rsidR="007B0AB7" w:rsidRPr="00187E59" w:rsidRDefault="007B0AB7" w:rsidP="007D412A">
            <w:r w:rsidRPr="00187E59">
              <w:t>Strenuous physical activity restricted; fully ambulatory and able to carry out light work.</w:t>
            </w:r>
          </w:p>
        </w:tc>
      </w:tr>
      <w:tr w:rsidR="007B0AB7" w:rsidRPr="00187E59" w14:paraId="421E0C88" w14:textId="77777777" w:rsidTr="00BA726C">
        <w:tc>
          <w:tcPr>
            <w:tcW w:w="2126" w:type="dxa"/>
          </w:tcPr>
          <w:p w14:paraId="613506F3" w14:textId="77777777" w:rsidR="007B0AB7" w:rsidRPr="00187E59" w:rsidRDefault="007B0AB7" w:rsidP="007D412A">
            <w:r w:rsidRPr="00187E59">
              <w:t>2</w:t>
            </w:r>
          </w:p>
        </w:tc>
        <w:tc>
          <w:tcPr>
            <w:tcW w:w="6520" w:type="dxa"/>
          </w:tcPr>
          <w:p w14:paraId="4A588CCA" w14:textId="77777777" w:rsidR="007B0AB7" w:rsidRPr="00187E59" w:rsidRDefault="007B0AB7" w:rsidP="007D412A">
            <w:pPr>
              <w:tabs>
                <w:tab w:val="left" w:pos="1009"/>
              </w:tabs>
            </w:pPr>
            <w:r w:rsidRPr="00187E59">
              <w:t>Capable of all self-care but unable to carry out any work activities. Up and about &gt;50% of waking hours.</w:t>
            </w:r>
          </w:p>
        </w:tc>
      </w:tr>
      <w:tr w:rsidR="007B0AB7" w:rsidRPr="00187E59" w14:paraId="42DF0A8D" w14:textId="77777777" w:rsidTr="00BA726C">
        <w:tc>
          <w:tcPr>
            <w:tcW w:w="2126" w:type="dxa"/>
          </w:tcPr>
          <w:p w14:paraId="15D38D82" w14:textId="77777777" w:rsidR="007B0AB7" w:rsidRPr="00187E59" w:rsidRDefault="007B0AB7" w:rsidP="007D412A">
            <w:r w:rsidRPr="00187E59">
              <w:t>3</w:t>
            </w:r>
          </w:p>
        </w:tc>
        <w:tc>
          <w:tcPr>
            <w:tcW w:w="6520" w:type="dxa"/>
          </w:tcPr>
          <w:p w14:paraId="6FE86E5E" w14:textId="77777777" w:rsidR="007B0AB7" w:rsidRPr="00187E59" w:rsidRDefault="007B0AB7" w:rsidP="007D412A">
            <w:pPr>
              <w:tabs>
                <w:tab w:val="left" w:pos="1722"/>
              </w:tabs>
            </w:pPr>
            <w:r w:rsidRPr="00187E59">
              <w:rPr>
                <w:color w:val="232323"/>
                <w:shd w:val="clear" w:color="auto" w:fill="FFFFFF"/>
              </w:rPr>
              <w:t>Capable of only limited self-care; confined to bed or chair &gt;50% of waking hours.</w:t>
            </w:r>
          </w:p>
        </w:tc>
      </w:tr>
      <w:tr w:rsidR="007B0AB7" w:rsidRPr="00187E59" w14:paraId="6B7BAE62" w14:textId="77777777" w:rsidTr="00BA726C">
        <w:tc>
          <w:tcPr>
            <w:tcW w:w="2126" w:type="dxa"/>
          </w:tcPr>
          <w:p w14:paraId="01A4AD8D" w14:textId="77777777" w:rsidR="007B0AB7" w:rsidRPr="00187E59" w:rsidRDefault="007B0AB7" w:rsidP="007D412A">
            <w:r w:rsidRPr="00187E59">
              <w:t>4</w:t>
            </w:r>
          </w:p>
        </w:tc>
        <w:tc>
          <w:tcPr>
            <w:tcW w:w="6520" w:type="dxa"/>
          </w:tcPr>
          <w:p w14:paraId="25A2A409" w14:textId="77777777" w:rsidR="007B0AB7" w:rsidRPr="00187E59" w:rsidRDefault="007B0AB7" w:rsidP="007D412A">
            <w:pPr>
              <w:tabs>
                <w:tab w:val="left" w:pos="2435"/>
              </w:tabs>
            </w:pPr>
            <w:r w:rsidRPr="00187E59">
              <w:t>Completely disabled; cannot carry out any self-care; totally confined to bed or chair.</w:t>
            </w:r>
          </w:p>
        </w:tc>
      </w:tr>
      <w:tr w:rsidR="007B0AB7" w:rsidRPr="00187E59" w14:paraId="6E148A63" w14:textId="77777777" w:rsidTr="00BA726C">
        <w:tc>
          <w:tcPr>
            <w:tcW w:w="2126" w:type="dxa"/>
          </w:tcPr>
          <w:p w14:paraId="02DDC507" w14:textId="77777777" w:rsidR="007B0AB7" w:rsidRPr="00187E59" w:rsidRDefault="007B0AB7" w:rsidP="007D412A">
            <w:r w:rsidRPr="00187E59">
              <w:t>5</w:t>
            </w:r>
          </w:p>
        </w:tc>
        <w:tc>
          <w:tcPr>
            <w:tcW w:w="6520" w:type="dxa"/>
          </w:tcPr>
          <w:p w14:paraId="10DC4A21" w14:textId="77777777" w:rsidR="007B0AB7" w:rsidRPr="00187E59" w:rsidRDefault="007B0AB7" w:rsidP="007D412A">
            <w:r w:rsidRPr="00187E59">
              <w:t>Dead</w:t>
            </w:r>
          </w:p>
        </w:tc>
      </w:tr>
    </w:tbl>
    <w:p w14:paraId="250DE3DD" w14:textId="77777777" w:rsidR="007B0AB7" w:rsidRPr="00DD6F28" w:rsidRDefault="007B0AB7" w:rsidP="007B0AB7">
      <w:pPr>
        <w:pStyle w:val="ListParagraph"/>
        <w:spacing w:line="480" w:lineRule="auto"/>
        <w:jc w:val="both"/>
      </w:pPr>
    </w:p>
    <w:p w14:paraId="20EB5E58" w14:textId="77777777" w:rsidR="007B0AB7" w:rsidRPr="00FB3300" w:rsidRDefault="007B0AB7" w:rsidP="007B0AB7">
      <w:pPr>
        <w:pStyle w:val="BodyText"/>
        <w:numPr>
          <w:ilvl w:val="0"/>
          <w:numId w:val="18"/>
        </w:numPr>
        <w:spacing w:line="480" w:lineRule="auto"/>
        <w:ind w:right="4"/>
        <w:jc w:val="both"/>
        <w:rPr>
          <w:color w:val="0D0D0D"/>
          <w:spacing w:val="-2"/>
        </w:rPr>
      </w:pPr>
      <w:r>
        <w:rPr>
          <w:color w:val="0D0D0D"/>
          <w:spacing w:val="-2"/>
        </w:rPr>
        <w:lastRenderedPageBreak/>
        <w:t xml:space="preserve">European </w:t>
      </w:r>
      <w:proofErr w:type="spellStart"/>
      <w:r>
        <w:rPr>
          <w:color w:val="0D0D0D"/>
          <w:spacing w:val="-2"/>
        </w:rPr>
        <w:t>LeukemiaNet</w:t>
      </w:r>
      <w:proofErr w:type="spellEnd"/>
      <w:r>
        <w:rPr>
          <w:color w:val="0D0D0D"/>
          <w:spacing w:val="-2"/>
        </w:rPr>
        <w:t xml:space="preserve"> (ELN) genetic risk classification – refers to the list of genetic characterization at diagnosis with their subsequent risk stratification.</w:t>
      </w:r>
      <w:r w:rsidRPr="00DD6F28">
        <w:rPr>
          <w:color w:val="0D0D0D"/>
          <w:spacing w:val="-2"/>
          <w:vertAlign w:val="superscript"/>
        </w:rPr>
        <w:t>2</w:t>
      </w:r>
      <w:r>
        <w:rPr>
          <w:color w:val="0D0D0D"/>
          <w:spacing w:val="-2"/>
          <w:vertAlign w:val="superscript"/>
        </w:rPr>
        <w:t>5</w:t>
      </w:r>
    </w:p>
    <w:p w14:paraId="008F0D45" w14:textId="77777777" w:rsidR="007B0AB7" w:rsidRDefault="007B0AB7" w:rsidP="007B0AB7">
      <w:pPr>
        <w:pStyle w:val="BodyText"/>
        <w:spacing w:line="480" w:lineRule="auto"/>
        <w:ind w:left="720" w:right="4"/>
        <w:jc w:val="both"/>
        <w:rPr>
          <w:b/>
          <w:bCs/>
          <w:color w:val="0D0D0D"/>
          <w:spacing w:val="-2"/>
        </w:rPr>
      </w:pPr>
      <w:r>
        <w:rPr>
          <w:b/>
          <w:bCs/>
          <w:color w:val="0D0D0D"/>
          <w:spacing w:val="-2"/>
        </w:rPr>
        <w:t xml:space="preserve">Table 3. </w:t>
      </w:r>
      <w:r w:rsidRPr="00DD6F28">
        <w:rPr>
          <w:b/>
          <w:bCs/>
          <w:color w:val="0D0D0D"/>
          <w:spacing w:val="-2"/>
        </w:rPr>
        <w:t xml:space="preserve">European </w:t>
      </w:r>
      <w:proofErr w:type="spellStart"/>
      <w:r w:rsidRPr="00DD6F28">
        <w:rPr>
          <w:b/>
          <w:bCs/>
          <w:color w:val="0D0D0D"/>
          <w:spacing w:val="-2"/>
        </w:rPr>
        <w:t>LeukemiaNet</w:t>
      </w:r>
      <w:proofErr w:type="spellEnd"/>
      <w:r w:rsidRPr="00DD6F28">
        <w:rPr>
          <w:b/>
          <w:bCs/>
          <w:color w:val="0D0D0D"/>
          <w:spacing w:val="-2"/>
        </w:rPr>
        <w:t xml:space="preserve"> (ELN) genetic risk classification</w:t>
      </w:r>
    </w:p>
    <w:tbl>
      <w:tblPr>
        <w:tblW w:w="9490" w:type="dxa"/>
        <w:tblBorders>
          <w:top w:val="single" w:sz="6" w:space="0" w:color="1A1A1A"/>
          <w:left w:val="single" w:sz="6" w:space="0" w:color="1A1A1A"/>
          <w:bottom w:val="single" w:sz="6" w:space="0" w:color="1A1A1A"/>
          <w:right w:val="single" w:sz="6" w:space="0" w:color="1A1A1A"/>
        </w:tblBorders>
        <w:shd w:val="clear" w:color="auto" w:fill="FFFFFF"/>
        <w:tblCellMar>
          <w:left w:w="0" w:type="dxa"/>
          <w:right w:w="0" w:type="dxa"/>
        </w:tblCellMar>
        <w:tblLook w:val="04A0" w:firstRow="1" w:lastRow="0" w:firstColumn="1" w:lastColumn="0" w:noHBand="0" w:noVBand="1"/>
      </w:tblPr>
      <w:tblGrid>
        <w:gridCol w:w="1300"/>
        <w:gridCol w:w="8190"/>
      </w:tblGrid>
      <w:tr w:rsidR="007B0AB7" w14:paraId="618380AB" w14:textId="77777777" w:rsidTr="007D412A">
        <w:trPr>
          <w:tblHeader/>
        </w:trPr>
        <w:tc>
          <w:tcPr>
            <w:tcW w:w="1300" w:type="dxa"/>
            <w:tcBorders>
              <w:top w:val="single" w:sz="6" w:space="0" w:color="1A1A1A"/>
              <w:left w:val="single" w:sz="6" w:space="0" w:color="1A1A1A"/>
              <w:bottom w:val="single" w:sz="6" w:space="0" w:color="1A1A1A"/>
              <w:right w:val="single" w:sz="6" w:space="0" w:color="1A1A1A"/>
            </w:tcBorders>
            <w:shd w:val="clear" w:color="auto" w:fill="F8F9FA"/>
            <w:hideMark/>
          </w:tcPr>
          <w:p w14:paraId="0AFCC57E" w14:textId="77777777" w:rsidR="007B0AB7" w:rsidRPr="00A20FD7" w:rsidRDefault="007B0AB7" w:rsidP="007D412A">
            <w:pPr>
              <w:rPr>
                <w:b/>
                <w:bCs/>
                <w:color w:val="1A1A1A"/>
              </w:rPr>
            </w:pPr>
            <w:r w:rsidRPr="00A20FD7">
              <w:rPr>
                <w:b/>
                <w:bCs/>
                <w:color w:val="1A1A1A"/>
              </w:rPr>
              <w:t>Risk category</w:t>
            </w:r>
          </w:p>
        </w:tc>
        <w:tc>
          <w:tcPr>
            <w:tcW w:w="8190" w:type="dxa"/>
            <w:tcBorders>
              <w:top w:val="single" w:sz="6" w:space="0" w:color="1A1A1A"/>
              <w:left w:val="single" w:sz="6" w:space="0" w:color="1A1A1A"/>
              <w:bottom w:val="single" w:sz="6" w:space="0" w:color="1A1A1A"/>
              <w:right w:val="single" w:sz="6" w:space="0" w:color="1A1A1A"/>
            </w:tcBorders>
            <w:shd w:val="clear" w:color="auto" w:fill="F8F9FA"/>
            <w:hideMark/>
          </w:tcPr>
          <w:p w14:paraId="1E3139CF" w14:textId="77777777" w:rsidR="007B0AB7" w:rsidRPr="00A20FD7" w:rsidRDefault="007B0AB7" w:rsidP="007D412A">
            <w:pPr>
              <w:rPr>
                <w:b/>
                <w:bCs/>
                <w:color w:val="1A1A1A"/>
              </w:rPr>
            </w:pPr>
            <w:r w:rsidRPr="00A20FD7">
              <w:rPr>
                <w:b/>
                <w:bCs/>
                <w:color w:val="1A1A1A"/>
              </w:rPr>
              <w:t>Genetic abnormality</w:t>
            </w:r>
          </w:p>
        </w:tc>
      </w:tr>
      <w:tr w:rsidR="007B0AB7" w14:paraId="71176350" w14:textId="77777777" w:rsidTr="007D412A">
        <w:tc>
          <w:tcPr>
            <w:tcW w:w="1300" w:type="dxa"/>
            <w:tcBorders>
              <w:top w:val="single" w:sz="6" w:space="0" w:color="1A1A1A"/>
              <w:left w:val="single" w:sz="6" w:space="0" w:color="1A1A1A"/>
              <w:bottom w:val="single" w:sz="6" w:space="0" w:color="1A1A1A"/>
              <w:right w:val="single" w:sz="6" w:space="0" w:color="1A1A1A"/>
            </w:tcBorders>
            <w:shd w:val="clear" w:color="auto" w:fill="FFFFFF"/>
            <w:hideMark/>
          </w:tcPr>
          <w:p w14:paraId="0CEC06BD" w14:textId="77777777" w:rsidR="007B0AB7" w:rsidRPr="00A20FD7" w:rsidRDefault="007B0AB7" w:rsidP="007D412A">
            <w:pPr>
              <w:rPr>
                <w:color w:val="1A1A1A"/>
              </w:rPr>
            </w:pPr>
            <w:r w:rsidRPr="00A20FD7">
              <w:rPr>
                <w:color w:val="1A1A1A"/>
              </w:rPr>
              <w:t>Favorable </w:t>
            </w:r>
          </w:p>
        </w:tc>
        <w:tc>
          <w:tcPr>
            <w:tcW w:w="8190" w:type="dxa"/>
            <w:tcBorders>
              <w:top w:val="single" w:sz="6" w:space="0" w:color="1A1A1A"/>
              <w:left w:val="single" w:sz="6" w:space="0" w:color="1A1A1A"/>
              <w:bottom w:val="single" w:sz="6" w:space="0" w:color="1A1A1A"/>
              <w:right w:val="single" w:sz="6" w:space="0" w:color="1A1A1A"/>
            </w:tcBorders>
            <w:shd w:val="clear" w:color="auto" w:fill="FFFFFF"/>
            <w:hideMark/>
          </w:tcPr>
          <w:p w14:paraId="55CB3E07" w14:textId="77777777" w:rsidR="007B0AB7" w:rsidRPr="00A20FD7" w:rsidRDefault="007B0AB7" w:rsidP="007D412A">
            <w:pPr>
              <w:rPr>
                <w:color w:val="1A1A1A"/>
              </w:rPr>
            </w:pPr>
            <w:r w:rsidRPr="00A20FD7">
              <w:rPr>
                <w:color w:val="1A1A1A"/>
              </w:rPr>
              <w:t> </w:t>
            </w:r>
            <w:r w:rsidRPr="00A20FD7">
              <w:rPr>
                <w:color w:val="1A1A1A"/>
              </w:rPr>
              <w:t>•</w:t>
            </w:r>
            <w:r w:rsidRPr="00A20FD7">
              <w:rPr>
                <w:color w:val="1A1A1A"/>
              </w:rPr>
              <w:t> </w:t>
            </w:r>
            <w:r w:rsidRPr="00A20FD7">
              <w:rPr>
                <w:color w:val="1A1A1A"/>
              </w:rPr>
              <w:t>t(8;21)(q22;q22.1)/</w:t>
            </w:r>
            <w:r w:rsidRPr="00A20FD7">
              <w:rPr>
                <w:rStyle w:val="Emphasis"/>
                <w:rFonts w:eastAsia="Arial"/>
                <w:color w:val="1A1A1A"/>
                <w:bdr w:val="none" w:sz="0" w:space="0" w:color="auto" w:frame="1"/>
              </w:rPr>
              <w:t>RUNX1</w:t>
            </w:r>
            <w:r w:rsidRPr="00A20FD7">
              <w:rPr>
                <w:color w:val="1A1A1A"/>
              </w:rPr>
              <w:t>::</w:t>
            </w:r>
            <w:r w:rsidRPr="00A20FD7">
              <w:rPr>
                <w:rStyle w:val="Emphasis"/>
                <w:rFonts w:eastAsia="Arial"/>
                <w:color w:val="1A1A1A"/>
                <w:bdr w:val="none" w:sz="0" w:space="0" w:color="auto" w:frame="1"/>
              </w:rPr>
              <w:t>RUNX1T1</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inv(16)(p13.1q22) or t(16;16)(p13.1;q22)/ </w:t>
            </w:r>
            <w:r w:rsidRPr="00A20FD7">
              <w:rPr>
                <w:rStyle w:val="Emphasis"/>
                <w:rFonts w:eastAsia="Arial"/>
                <w:color w:val="1A1A1A"/>
                <w:bdr w:val="none" w:sz="0" w:space="0" w:color="auto" w:frame="1"/>
              </w:rPr>
              <w:t>CBFB</w:t>
            </w:r>
            <w:r w:rsidRPr="00A20FD7">
              <w:rPr>
                <w:color w:val="1A1A1A"/>
              </w:rPr>
              <w:t>::</w:t>
            </w:r>
            <w:r w:rsidRPr="00A20FD7">
              <w:rPr>
                <w:rStyle w:val="Emphasis"/>
                <w:rFonts w:eastAsia="Arial"/>
                <w:color w:val="1A1A1A"/>
                <w:bdr w:val="none" w:sz="0" w:space="0" w:color="auto" w:frame="1"/>
              </w:rPr>
              <w:t>MYH11</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Mutated </w:t>
            </w:r>
            <w:r w:rsidRPr="00A20FD7">
              <w:rPr>
                <w:rStyle w:val="Emphasis"/>
                <w:rFonts w:eastAsia="Arial"/>
                <w:color w:val="1A1A1A"/>
                <w:bdr w:val="none" w:sz="0" w:space="0" w:color="auto" w:frame="1"/>
              </w:rPr>
              <w:t>NPM1</w:t>
            </w:r>
            <w:r w:rsidRPr="00A20FD7">
              <w:t xml:space="preserve"> </w:t>
            </w:r>
            <w:r w:rsidRPr="00A20FD7">
              <w:rPr>
                <w:color w:val="1A1A1A"/>
              </w:rPr>
              <w:t>without </w:t>
            </w:r>
            <w:r w:rsidRPr="00A20FD7">
              <w:rPr>
                <w:rStyle w:val="Emphasis"/>
                <w:rFonts w:eastAsia="Arial"/>
                <w:color w:val="1A1A1A"/>
                <w:bdr w:val="none" w:sz="0" w:space="0" w:color="auto" w:frame="1"/>
              </w:rPr>
              <w:t>FLT3</w:t>
            </w:r>
            <w:r w:rsidRPr="00A20FD7">
              <w:rPr>
                <w:color w:val="1A1A1A"/>
              </w:rPr>
              <w:t>-ITD</w:t>
            </w:r>
            <w:r w:rsidRPr="00A20FD7">
              <w:rPr>
                <w:color w:val="1A1A1A"/>
              </w:rPr>
              <w:t> </w:t>
            </w:r>
            <w:r w:rsidRPr="00A20FD7">
              <w:rPr>
                <w:color w:val="1A1A1A"/>
              </w:rPr>
              <w:br/>
            </w:r>
            <w:r w:rsidRPr="00A20FD7">
              <w:rPr>
                <w:color w:val="1A1A1A"/>
              </w:rPr>
              <w:t> </w:t>
            </w:r>
            <w:r w:rsidRPr="00A20FD7">
              <w:rPr>
                <w:color w:val="1A1A1A"/>
              </w:rPr>
              <w:t>•</w:t>
            </w:r>
            <w:r w:rsidRPr="00A20FD7">
              <w:rPr>
                <w:color w:val="1A1A1A"/>
              </w:rPr>
              <w:t> </w:t>
            </w:r>
            <w:proofErr w:type="spellStart"/>
            <w:r w:rsidRPr="00A20FD7">
              <w:rPr>
                <w:color w:val="1A1A1A"/>
              </w:rPr>
              <w:t>bZIP</w:t>
            </w:r>
            <w:proofErr w:type="spellEnd"/>
            <w:r w:rsidRPr="00A20FD7">
              <w:rPr>
                <w:color w:val="1A1A1A"/>
              </w:rPr>
              <w:t xml:space="preserve"> in-frame mutated </w:t>
            </w:r>
            <w:r w:rsidRPr="00A20FD7">
              <w:rPr>
                <w:rStyle w:val="Emphasis"/>
                <w:rFonts w:eastAsia="Arial"/>
                <w:color w:val="1A1A1A"/>
                <w:bdr w:val="none" w:sz="0" w:space="0" w:color="auto" w:frame="1"/>
              </w:rPr>
              <w:t>CEBPA</w:t>
            </w:r>
          </w:p>
        </w:tc>
      </w:tr>
      <w:tr w:rsidR="007B0AB7" w14:paraId="3605E0DA" w14:textId="77777777" w:rsidTr="007D412A">
        <w:tc>
          <w:tcPr>
            <w:tcW w:w="1300" w:type="dxa"/>
            <w:tcBorders>
              <w:top w:val="single" w:sz="6" w:space="0" w:color="1A1A1A"/>
              <w:left w:val="single" w:sz="6" w:space="0" w:color="1A1A1A"/>
              <w:bottom w:val="single" w:sz="6" w:space="0" w:color="1A1A1A"/>
              <w:right w:val="single" w:sz="6" w:space="0" w:color="1A1A1A"/>
            </w:tcBorders>
            <w:shd w:val="clear" w:color="auto" w:fill="FFFFFF"/>
            <w:hideMark/>
          </w:tcPr>
          <w:p w14:paraId="2949ECEC" w14:textId="77777777" w:rsidR="007B0AB7" w:rsidRPr="00A20FD7" w:rsidRDefault="007B0AB7" w:rsidP="007D412A">
            <w:pPr>
              <w:rPr>
                <w:color w:val="1A1A1A"/>
              </w:rPr>
            </w:pPr>
            <w:r w:rsidRPr="00A20FD7">
              <w:rPr>
                <w:color w:val="1A1A1A"/>
              </w:rPr>
              <w:t>Intermediate </w:t>
            </w:r>
          </w:p>
        </w:tc>
        <w:tc>
          <w:tcPr>
            <w:tcW w:w="8190" w:type="dxa"/>
            <w:tcBorders>
              <w:top w:val="single" w:sz="6" w:space="0" w:color="1A1A1A"/>
              <w:left w:val="single" w:sz="6" w:space="0" w:color="1A1A1A"/>
              <w:bottom w:val="single" w:sz="6" w:space="0" w:color="1A1A1A"/>
              <w:right w:val="single" w:sz="6" w:space="0" w:color="1A1A1A"/>
            </w:tcBorders>
            <w:shd w:val="clear" w:color="auto" w:fill="FFFFFF"/>
            <w:hideMark/>
          </w:tcPr>
          <w:p w14:paraId="1412F320" w14:textId="77777777" w:rsidR="007B0AB7" w:rsidRPr="00A20FD7" w:rsidRDefault="007B0AB7" w:rsidP="007D412A">
            <w:pPr>
              <w:rPr>
                <w:color w:val="1A1A1A"/>
              </w:rPr>
            </w:pPr>
            <w:r w:rsidRPr="00A20FD7">
              <w:rPr>
                <w:color w:val="1A1A1A"/>
              </w:rPr>
              <w:t> </w:t>
            </w:r>
            <w:r w:rsidRPr="00A20FD7">
              <w:rPr>
                <w:color w:val="1A1A1A"/>
              </w:rPr>
              <w:t>•</w:t>
            </w:r>
            <w:r w:rsidRPr="00A20FD7">
              <w:rPr>
                <w:color w:val="1A1A1A"/>
              </w:rPr>
              <w:t> </w:t>
            </w:r>
            <w:r w:rsidRPr="00A20FD7">
              <w:rPr>
                <w:color w:val="1A1A1A"/>
              </w:rPr>
              <w:t>Mutated </w:t>
            </w:r>
            <w:r w:rsidRPr="00A20FD7">
              <w:rPr>
                <w:rStyle w:val="Emphasis"/>
                <w:rFonts w:eastAsia="Arial"/>
                <w:color w:val="1A1A1A"/>
                <w:bdr w:val="none" w:sz="0" w:space="0" w:color="auto" w:frame="1"/>
              </w:rPr>
              <w:t>NPM1</w:t>
            </w:r>
            <w:r w:rsidRPr="00A20FD7">
              <w:t xml:space="preserve"> </w:t>
            </w:r>
            <w:r w:rsidRPr="00A20FD7">
              <w:rPr>
                <w:color w:val="1A1A1A"/>
              </w:rPr>
              <w:t>with </w:t>
            </w:r>
            <w:r w:rsidRPr="00A20FD7">
              <w:rPr>
                <w:rStyle w:val="Emphasis"/>
                <w:rFonts w:eastAsia="Arial"/>
                <w:color w:val="1A1A1A"/>
                <w:bdr w:val="none" w:sz="0" w:space="0" w:color="auto" w:frame="1"/>
              </w:rPr>
              <w:t>FLT3</w:t>
            </w:r>
            <w:r w:rsidRPr="00A20FD7">
              <w:rPr>
                <w:color w:val="1A1A1A"/>
              </w:rPr>
              <w:t>-ITD</w:t>
            </w:r>
            <w:r w:rsidRPr="00A20FD7">
              <w:rPr>
                <w:color w:val="1A1A1A"/>
              </w:rPr>
              <w:t> </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Wild-type </w:t>
            </w:r>
            <w:r w:rsidRPr="00A20FD7">
              <w:rPr>
                <w:rStyle w:val="Emphasis"/>
                <w:rFonts w:eastAsia="Arial"/>
                <w:color w:val="1A1A1A"/>
                <w:bdr w:val="none" w:sz="0" w:space="0" w:color="auto" w:frame="1"/>
              </w:rPr>
              <w:t>NPM1</w:t>
            </w:r>
            <w:r w:rsidRPr="00A20FD7">
              <w:rPr>
                <w:color w:val="1A1A1A"/>
              </w:rPr>
              <w:t> with </w:t>
            </w:r>
            <w:r w:rsidRPr="00A20FD7">
              <w:rPr>
                <w:rStyle w:val="Emphasis"/>
                <w:rFonts w:eastAsia="Arial"/>
                <w:color w:val="1A1A1A"/>
                <w:bdr w:val="none" w:sz="0" w:space="0" w:color="auto" w:frame="1"/>
              </w:rPr>
              <w:t>FLT3</w:t>
            </w:r>
            <w:r w:rsidRPr="00A20FD7">
              <w:rPr>
                <w:color w:val="1A1A1A"/>
              </w:rPr>
              <w:t>-ITD (without adverse-risk genetic lesions)</w:t>
            </w:r>
            <w:r w:rsidRPr="00A20FD7">
              <w:rPr>
                <w:color w:val="1A1A1A"/>
              </w:rPr>
              <w:t> </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t(9;11)(p21.3;q23.3)/</w:t>
            </w:r>
            <w:r w:rsidRPr="00A20FD7">
              <w:rPr>
                <w:rStyle w:val="Emphasis"/>
                <w:rFonts w:eastAsia="Arial"/>
                <w:color w:val="1A1A1A"/>
                <w:bdr w:val="none" w:sz="0" w:space="0" w:color="auto" w:frame="1"/>
              </w:rPr>
              <w:t>MLLT3</w:t>
            </w:r>
            <w:r w:rsidRPr="00A20FD7">
              <w:rPr>
                <w:color w:val="1A1A1A"/>
              </w:rPr>
              <w:t>::</w:t>
            </w:r>
            <w:r w:rsidRPr="00A20FD7">
              <w:rPr>
                <w:rStyle w:val="Emphasis"/>
                <w:rFonts w:eastAsia="Arial"/>
                <w:color w:val="1A1A1A"/>
                <w:bdr w:val="none" w:sz="0" w:space="0" w:color="auto" w:frame="1"/>
              </w:rPr>
              <w:t>KMT2A</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Cytogenetic and/or molecular abnormalities not classified as favorable or adverse </w:t>
            </w:r>
          </w:p>
        </w:tc>
      </w:tr>
      <w:tr w:rsidR="007B0AB7" w14:paraId="7FE8427E" w14:textId="77777777" w:rsidTr="007D412A">
        <w:tc>
          <w:tcPr>
            <w:tcW w:w="1300" w:type="dxa"/>
            <w:tcBorders>
              <w:top w:val="single" w:sz="6" w:space="0" w:color="1A1A1A"/>
              <w:left w:val="single" w:sz="6" w:space="0" w:color="1A1A1A"/>
              <w:bottom w:val="single" w:sz="6" w:space="0" w:color="1A1A1A"/>
              <w:right w:val="single" w:sz="6" w:space="0" w:color="1A1A1A"/>
            </w:tcBorders>
            <w:shd w:val="clear" w:color="auto" w:fill="FFFFFF"/>
            <w:hideMark/>
          </w:tcPr>
          <w:p w14:paraId="1A8FD6F3" w14:textId="77777777" w:rsidR="007B0AB7" w:rsidRPr="00A20FD7" w:rsidRDefault="007B0AB7" w:rsidP="007D412A">
            <w:pPr>
              <w:rPr>
                <w:color w:val="1A1A1A"/>
              </w:rPr>
            </w:pPr>
            <w:r w:rsidRPr="00A20FD7">
              <w:rPr>
                <w:color w:val="1A1A1A"/>
              </w:rPr>
              <w:t>Adverse </w:t>
            </w:r>
          </w:p>
        </w:tc>
        <w:tc>
          <w:tcPr>
            <w:tcW w:w="8190" w:type="dxa"/>
            <w:tcBorders>
              <w:top w:val="single" w:sz="6" w:space="0" w:color="1A1A1A"/>
              <w:left w:val="single" w:sz="6" w:space="0" w:color="1A1A1A"/>
              <w:bottom w:val="single" w:sz="6" w:space="0" w:color="1A1A1A"/>
              <w:right w:val="single" w:sz="6" w:space="0" w:color="1A1A1A"/>
            </w:tcBorders>
            <w:shd w:val="clear" w:color="auto" w:fill="FFFFFF"/>
            <w:hideMark/>
          </w:tcPr>
          <w:p w14:paraId="1B35F442" w14:textId="77777777" w:rsidR="007B0AB7" w:rsidRPr="00A20FD7" w:rsidRDefault="007B0AB7" w:rsidP="007D412A">
            <w:pPr>
              <w:rPr>
                <w:color w:val="1A1A1A"/>
              </w:rPr>
            </w:pPr>
            <w:r w:rsidRPr="00A20FD7">
              <w:rPr>
                <w:color w:val="1A1A1A"/>
              </w:rPr>
              <w:t> </w:t>
            </w:r>
            <w:r w:rsidRPr="00A20FD7">
              <w:rPr>
                <w:color w:val="1A1A1A"/>
              </w:rPr>
              <w:t>•</w:t>
            </w:r>
            <w:r w:rsidRPr="00A20FD7">
              <w:rPr>
                <w:color w:val="1A1A1A"/>
              </w:rPr>
              <w:t> </w:t>
            </w:r>
            <w:r w:rsidRPr="00A20FD7">
              <w:rPr>
                <w:color w:val="1A1A1A"/>
              </w:rPr>
              <w:t>t(6;9)(p23.3;q34.1)/</w:t>
            </w:r>
            <w:r w:rsidRPr="00A20FD7">
              <w:rPr>
                <w:rStyle w:val="Emphasis"/>
                <w:rFonts w:eastAsia="Arial"/>
                <w:color w:val="1A1A1A"/>
                <w:bdr w:val="none" w:sz="0" w:space="0" w:color="auto" w:frame="1"/>
              </w:rPr>
              <w:t>DEK</w:t>
            </w:r>
            <w:r w:rsidRPr="00A20FD7">
              <w:rPr>
                <w:color w:val="1A1A1A"/>
              </w:rPr>
              <w:t>::</w:t>
            </w:r>
            <w:r w:rsidRPr="00A20FD7">
              <w:rPr>
                <w:rStyle w:val="Emphasis"/>
                <w:rFonts w:eastAsia="Arial"/>
                <w:color w:val="1A1A1A"/>
                <w:bdr w:val="none" w:sz="0" w:space="0" w:color="auto" w:frame="1"/>
              </w:rPr>
              <w:t>NUP214</w:t>
            </w:r>
            <w:r w:rsidRPr="00A20FD7">
              <w:rPr>
                <w:color w:val="1A1A1A"/>
              </w:rPr>
              <w:t> </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t(v;11q23.3)/</w:t>
            </w:r>
            <w:r w:rsidRPr="00A20FD7">
              <w:rPr>
                <w:rStyle w:val="Emphasis"/>
                <w:rFonts w:eastAsia="Arial"/>
                <w:color w:val="1A1A1A"/>
                <w:bdr w:val="none" w:sz="0" w:space="0" w:color="auto" w:frame="1"/>
              </w:rPr>
              <w:t>KMT2A</w:t>
            </w:r>
            <w:r w:rsidRPr="00A20FD7">
              <w:rPr>
                <w:color w:val="1A1A1A"/>
              </w:rPr>
              <w:t>-rearranged</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t(9;22)(q34.1;q11.2)/</w:t>
            </w:r>
            <w:r w:rsidRPr="00A20FD7">
              <w:rPr>
                <w:rStyle w:val="Emphasis"/>
                <w:rFonts w:eastAsia="Arial"/>
                <w:color w:val="1A1A1A"/>
                <w:bdr w:val="none" w:sz="0" w:space="0" w:color="auto" w:frame="1"/>
              </w:rPr>
              <w:t>BCR</w:t>
            </w:r>
            <w:r w:rsidRPr="00A20FD7">
              <w:rPr>
                <w:color w:val="1A1A1A"/>
              </w:rPr>
              <w:t>::</w:t>
            </w:r>
            <w:r w:rsidRPr="00A20FD7">
              <w:rPr>
                <w:rStyle w:val="Emphasis"/>
                <w:rFonts w:eastAsia="Arial"/>
                <w:color w:val="1A1A1A"/>
                <w:bdr w:val="none" w:sz="0" w:space="0" w:color="auto" w:frame="1"/>
              </w:rPr>
              <w:t>ABL1</w:t>
            </w:r>
            <w:r w:rsidRPr="00A20FD7">
              <w:rPr>
                <w:color w:val="1A1A1A"/>
              </w:rPr>
              <w:t> </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t(8;16)(p11.2;p13.3)/</w:t>
            </w:r>
            <w:r w:rsidRPr="00A20FD7">
              <w:rPr>
                <w:rStyle w:val="Emphasis"/>
                <w:rFonts w:eastAsia="Arial"/>
                <w:color w:val="1A1A1A"/>
                <w:bdr w:val="none" w:sz="0" w:space="0" w:color="auto" w:frame="1"/>
              </w:rPr>
              <w:t>KAT6A</w:t>
            </w:r>
            <w:r w:rsidRPr="00A20FD7">
              <w:rPr>
                <w:color w:val="1A1A1A"/>
              </w:rPr>
              <w:t>::</w:t>
            </w:r>
            <w:r w:rsidRPr="00A20FD7">
              <w:rPr>
                <w:rStyle w:val="Emphasis"/>
                <w:rFonts w:eastAsia="Arial"/>
                <w:color w:val="1A1A1A"/>
                <w:bdr w:val="none" w:sz="0" w:space="0" w:color="auto" w:frame="1"/>
              </w:rPr>
              <w:t>CREBBP</w:t>
            </w:r>
            <w:r w:rsidRPr="00A20FD7">
              <w:rPr>
                <w:color w:val="1A1A1A"/>
              </w:rPr>
              <w:t> </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inv(3)(q21.3q26.2) or t(3;3)(q21.3;q26.2)/ </w:t>
            </w:r>
            <w:r w:rsidRPr="00A20FD7">
              <w:rPr>
                <w:rStyle w:val="Emphasis"/>
                <w:rFonts w:eastAsia="Arial"/>
                <w:color w:val="1A1A1A"/>
                <w:bdr w:val="none" w:sz="0" w:space="0" w:color="auto" w:frame="1"/>
              </w:rPr>
              <w:t>GATA2</w:t>
            </w:r>
            <w:r w:rsidRPr="00A20FD7">
              <w:rPr>
                <w:color w:val="1A1A1A"/>
              </w:rPr>
              <w:t>, </w:t>
            </w:r>
            <w:r w:rsidRPr="00A20FD7">
              <w:rPr>
                <w:rStyle w:val="Emphasis"/>
                <w:rFonts w:eastAsia="Arial"/>
                <w:color w:val="1A1A1A"/>
                <w:bdr w:val="none" w:sz="0" w:space="0" w:color="auto" w:frame="1"/>
              </w:rPr>
              <w:t>MECOM(EVI1)</w:t>
            </w:r>
            <w:r w:rsidRPr="00A20FD7">
              <w:rPr>
                <w:color w:val="1A1A1A"/>
              </w:rPr>
              <w:t> </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t(3q26.2;v)/</w:t>
            </w:r>
            <w:r w:rsidRPr="00A20FD7">
              <w:rPr>
                <w:rStyle w:val="Emphasis"/>
                <w:rFonts w:eastAsia="Arial"/>
                <w:color w:val="1A1A1A"/>
                <w:bdr w:val="none" w:sz="0" w:space="0" w:color="auto" w:frame="1"/>
              </w:rPr>
              <w:t>MECOM</w:t>
            </w:r>
            <w:r w:rsidRPr="00A20FD7">
              <w:rPr>
                <w:color w:val="1A1A1A"/>
              </w:rPr>
              <w:t>(</w:t>
            </w:r>
            <w:r w:rsidRPr="00A20FD7">
              <w:rPr>
                <w:rStyle w:val="Emphasis"/>
                <w:rFonts w:eastAsia="Arial"/>
                <w:color w:val="1A1A1A"/>
                <w:bdr w:val="none" w:sz="0" w:space="0" w:color="auto" w:frame="1"/>
              </w:rPr>
              <w:t>EVI1</w:t>
            </w:r>
            <w:r w:rsidRPr="00A20FD7">
              <w:rPr>
                <w:color w:val="1A1A1A"/>
              </w:rPr>
              <w:t>)-rearranged</w:t>
            </w:r>
            <w:r w:rsidRPr="00A20FD7">
              <w:rPr>
                <w:color w:val="1A1A1A"/>
              </w:rPr>
              <w:t> </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−5 or del(5q); −7; −17/</w:t>
            </w:r>
            <w:proofErr w:type="spellStart"/>
            <w:r w:rsidRPr="00A20FD7">
              <w:rPr>
                <w:color w:val="1A1A1A"/>
              </w:rPr>
              <w:t>abn</w:t>
            </w:r>
            <w:proofErr w:type="spellEnd"/>
            <w:r w:rsidRPr="00A20FD7">
              <w:rPr>
                <w:color w:val="1A1A1A"/>
              </w:rPr>
              <w:t>(17p)</w:t>
            </w:r>
            <w:r w:rsidRPr="00A20FD7">
              <w:rPr>
                <w:color w:val="1A1A1A"/>
              </w:rPr>
              <w:t> </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Complex karyotype, </w:t>
            </w:r>
            <w:proofErr w:type="spellStart"/>
            <w:r w:rsidRPr="00A20FD7">
              <w:rPr>
                <w:color w:val="1A1A1A"/>
              </w:rPr>
              <w:t>monosomal</w:t>
            </w:r>
            <w:proofErr w:type="spellEnd"/>
            <w:r w:rsidRPr="00A20FD7">
              <w:rPr>
                <w:color w:val="1A1A1A"/>
              </w:rPr>
              <w:t xml:space="preserve"> karyotype</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Mutated </w:t>
            </w:r>
            <w:r w:rsidRPr="00A20FD7">
              <w:rPr>
                <w:rStyle w:val="Emphasis"/>
                <w:rFonts w:eastAsia="Arial"/>
                <w:color w:val="1A1A1A"/>
                <w:bdr w:val="none" w:sz="0" w:space="0" w:color="auto" w:frame="1"/>
              </w:rPr>
              <w:t>ASXL1, BCOR, EZH2, RUNX1, SF3B1, SRSF2, STAG2, U2AF1, and/or ZRSR2</w:t>
            </w:r>
            <w:r w:rsidRPr="00A20FD7">
              <w:rPr>
                <w:color w:val="1A1A1A"/>
              </w:rPr>
              <w:br/>
            </w:r>
            <w:r w:rsidRPr="00A20FD7">
              <w:rPr>
                <w:color w:val="1A1A1A"/>
              </w:rPr>
              <w:t> </w:t>
            </w:r>
            <w:r w:rsidRPr="00A20FD7">
              <w:rPr>
                <w:color w:val="1A1A1A"/>
              </w:rPr>
              <w:t>•</w:t>
            </w:r>
            <w:r w:rsidRPr="00A20FD7">
              <w:rPr>
                <w:color w:val="1A1A1A"/>
              </w:rPr>
              <w:t> </w:t>
            </w:r>
            <w:r w:rsidRPr="00A20FD7">
              <w:rPr>
                <w:color w:val="1A1A1A"/>
              </w:rPr>
              <w:t>Mutated </w:t>
            </w:r>
            <w:r w:rsidRPr="00A20FD7">
              <w:rPr>
                <w:rStyle w:val="Emphasis"/>
                <w:rFonts w:eastAsia="Arial"/>
                <w:color w:val="1A1A1A"/>
                <w:bdr w:val="none" w:sz="0" w:space="0" w:color="auto" w:frame="1"/>
              </w:rPr>
              <w:t>TP53</w:t>
            </w:r>
          </w:p>
        </w:tc>
      </w:tr>
    </w:tbl>
    <w:p w14:paraId="0C4BD6A9" w14:textId="77777777" w:rsidR="007B0AB7" w:rsidRPr="00DD6F28" w:rsidRDefault="007B0AB7" w:rsidP="007B0AB7">
      <w:pPr>
        <w:pStyle w:val="BodyText"/>
        <w:spacing w:line="480" w:lineRule="auto"/>
        <w:ind w:left="720" w:right="4"/>
        <w:jc w:val="both"/>
        <w:rPr>
          <w:color w:val="0D0D0D"/>
          <w:spacing w:val="-2"/>
        </w:rPr>
      </w:pPr>
    </w:p>
    <w:p w14:paraId="5476C0AC" w14:textId="77777777" w:rsidR="007B0AB7" w:rsidRPr="0076579E" w:rsidRDefault="007B0AB7" w:rsidP="007B0AB7">
      <w:pPr>
        <w:pStyle w:val="BodyText"/>
        <w:numPr>
          <w:ilvl w:val="0"/>
          <w:numId w:val="18"/>
        </w:numPr>
        <w:spacing w:line="480" w:lineRule="auto"/>
        <w:ind w:right="4"/>
        <w:jc w:val="both"/>
        <w:rPr>
          <w:color w:val="0D0D0D"/>
          <w:spacing w:val="-2"/>
        </w:rPr>
      </w:pPr>
      <w:r>
        <w:rPr>
          <w:color w:val="0D0D0D"/>
          <w:spacing w:val="-2"/>
        </w:rPr>
        <w:t>Hematopoietic Cell Transplantation – specific Comorbidity Index (HCT-CI) – refers to the a specialized scoring system to assess the comorbidities of patients undergoing hematopoietic cell transplantation (HCT), predicting non-relapse mortality and overall survival outcomes in patients with hematologic malignancies.</w:t>
      </w:r>
      <w:r w:rsidRPr="00DD6F28">
        <w:rPr>
          <w:color w:val="0D0D0D"/>
          <w:spacing w:val="-2"/>
          <w:vertAlign w:val="superscript"/>
        </w:rPr>
        <w:t>2</w:t>
      </w:r>
      <w:r>
        <w:rPr>
          <w:color w:val="0D0D0D"/>
          <w:spacing w:val="-2"/>
          <w:vertAlign w:val="superscript"/>
        </w:rPr>
        <w:t>6</w:t>
      </w:r>
    </w:p>
    <w:p w14:paraId="6ACA77EC"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t>Early Death (ED) – refers to death within the first 30 days from the start of treatment.</w:t>
      </w:r>
      <w:r>
        <w:rPr>
          <w:color w:val="0D0D0D"/>
          <w:spacing w:val="-2"/>
          <w:vertAlign w:val="superscript"/>
        </w:rPr>
        <w:t>18</w:t>
      </w:r>
    </w:p>
    <w:p w14:paraId="74679915"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t>Event-free survival (EFS) – refers to the duration of time from the date of initiation of treatment until date of disease associated events: occurrence of relapse, primary refractory disease, death.</w:t>
      </w:r>
      <w:r>
        <w:rPr>
          <w:color w:val="0D0D0D"/>
          <w:spacing w:val="-2"/>
          <w:vertAlign w:val="superscript"/>
        </w:rPr>
        <w:t>27</w:t>
      </w:r>
    </w:p>
    <w:p w14:paraId="4568C0AD" w14:textId="77777777" w:rsidR="007B0AB7" w:rsidRDefault="007B0AB7" w:rsidP="007B0AB7">
      <w:pPr>
        <w:pStyle w:val="BodyText"/>
        <w:numPr>
          <w:ilvl w:val="0"/>
          <w:numId w:val="18"/>
        </w:numPr>
        <w:spacing w:line="480" w:lineRule="auto"/>
        <w:ind w:right="4"/>
        <w:jc w:val="both"/>
        <w:rPr>
          <w:color w:val="0D0D0D"/>
          <w:spacing w:val="-2"/>
        </w:rPr>
      </w:pPr>
      <w:r>
        <w:rPr>
          <w:color w:val="0D0D0D"/>
          <w:spacing w:val="-2"/>
        </w:rPr>
        <w:lastRenderedPageBreak/>
        <w:t>Overall survival (OS) – refers to the measured time from diagnosis until the date of death or the last known follow-up.</w:t>
      </w:r>
      <w:r>
        <w:rPr>
          <w:color w:val="0D0D0D"/>
          <w:spacing w:val="-2"/>
          <w:vertAlign w:val="superscript"/>
        </w:rPr>
        <w:t>18</w:t>
      </w:r>
    </w:p>
    <w:p w14:paraId="4E60A274" w14:textId="7785F111" w:rsidR="007B0AB7" w:rsidRPr="008C5A7D" w:rsidRDefault="007B0AB7" w:rsidP="008C5A7D">
      <w:pPr>
        <w:pStyle w:val="BodyText"/>
        <w:numPr>
          <w:ilvl w:val="0"/>
          <w:numId w:val="18"/>
        </w:numPr>
        <w:spacing w:line="480" w:lineRule="auto"/>
        <w:ind w:right="4"/>
        <w:jc w:val="both"/>
        <w:rPr>
          <w:color w:val="0D0D0D"/>
          <w:spacing w:val="-2"/>
        </w:rPr>
      </w:pPr>
      <w:r>
        <w:rPr>
          <w:color w:val="0D0D0D"/>
          <w:spacing w:val="-2"/>
        </w:rPr>
        <w:t xml:space="preserve">Hyperleukocytosis – refers to a white blood count </w:t>
      </w:r>
      <w:r w:rsidRPr="00B317D5">
        <w:rPr>
          <w:color w:val="0D0D0D"/>
          <w:spacing w:val="-2"/>
        </w:rPr>
        <w:t>&gt;</w:t>
      </w:r>
      <w:r>
        <w:rPr>
          <w:color w:val="0D0D0D"/>
          <w:spacing w:val="-2"/>
        </w:rPr>
        <w:t>50,</w:t>
      </w:r>
      <w:r w:rsidRPr="00B317D5">
        <w:rPr>
          <w:color w:val="0D0D0D"/>
          <w:spacing w:val="-2"/>
        </w:rPr>
        <w:t> 000/µL</w:t>
      </w:r>
      <w:r>
        <w:rPr>
          <w:color w:val="0D0D0D"/>
          <w:spacing w:val="-2"/>
        </w:rPr>
        <w:t xml:space="preserve"> caused by leukemic cell proliferation in an AML patient</w:t>
      </w:r>
    </w:p>
    <w:p w14:paraId="6458299D" w14:textId="01DD99EA" w:rsidR="008C5A7D" w:rsidRPr="008C5A7D" w:rsidRDefault="008C5A7D" w:rsidP="008C5A7D">
      <w:pPr>
        <w:pStyle w:val="BodyText"/>
        <w:numPr>
          <w:ilvl w:val="0"/>
          <w:numId w:val="18"/>
        </w:numPr>
        <w:spacing w:line="480" w:lineRule="auto"/>
        <w:ind w:right="4"/>
        <w:jc w:val="both"/>
        <w:rPr>
          <w:color w:val="0D0D0D"/>
          <w:spacing w:val="-2"/>
        </w:rPr>
      </w:pPr>
      <w:commentRangeStart w:id="5"/>
      <w:r>
        <w:rPr>
          <w:color w:val="0D0D0D"/>
          <w:spacing w:val="-2"/>
        </w:rPr>
        <w:t>Long Treatment Delays – refers to TDT that is more that 15 days</w:t>
      </w:r>
      <w:r w:rsidRPr="008C5A7D">
        <w:rPr>
          <w:color w:val="0D0D0D"/>
          <w:spacing w:val="-2"/>
        </w:rPr>
        <w:t>.</w:t>
      </w:r>
      <w:r w:rsidRPr="008C5A7D">
        <w:rPr>
          <w:color w:val="0D0D0D"/>
          <w:spacing w:val="-2"/>
          <w:vertAlign w:val="superscript"/>
        </w:rPr>
        <w:t>18</w:t>
      </w:r>
    </w:p>
    <w:p w14:paraId="02EA1C35" w14:textId="0AD7D89F" w:rsidR="008C5A7D" w:rsidRPr="007A423D" w:rsidRDefault="008C5A7D" w:rsidP="007B0AB7">
      <w:pPr>
        <w:pStyle w:val="BodyText"/>
        <w:numPr>
          <w:ilvl w:val="0"/>
          <w:numId w:val="18"/>
        </w:numPr>
        <w:spacing w:line="480" w:lineRule="auto"/>
        <w:ind w:right="4"/>
        <w:jc w:val="both"/>
        <w:rPr>
          <w:color w:val="0D0D0D"/>
          <w:spacing w:val="-2"/>
        </w:rPr>
      </w:pPr>
      <w:r>
        <w:rPr>
          <w:color w:val="0D0D0D"/>
          <w:spacing w:val="-2"/>
        </w:rPr>
        <w:t>Extended Treatment Delays – refers to TDT that is more than 50 days</w:t>
      </w:r>
      <w:r w:rsidRPr="008C5A7D">
        <w:rPr>
          <w:color w:val="0D0D0D"/>
          <w:spacing w:val="-2"/>
        </w:rPr>
        <w:t>.</w:t>
      </w:r>
      <w:r w:rsidRPr="008C5A7D">
        <w:rPr>
          <w:color w:val="0D0D0D"/>
          <w:spacing w:val="-2"/>
          <w:vertAlign w:val="superscript"/>
        </w:rPr>
        <w:t>18</w:t>
      </w:r>
      <w:commentRangeEnd w:id="5"/>
      <w:r>
        <w:rPr>
          <w:rStyle w:val="CommentReference"/>
        </w:rPr>
        <w:commentReference w:id="5"/>
      </w:r>
    </w:p>
    <w:p w14:paraId="778F6B79" w14:textId="77777777" w:rsidR="00BA726C" w:rsidRDefault="00BA726C" w:rsidP="007B0AB7">
      <w:pPr>
        <w:pStyle w:val="BodyText"/>
        <w:spacing w:line="480" w:lineRule="auto"/>
        <w:ind w:right="4"/>
        <w:jc w:val="both"/>
        <w:rPr>
          <w:b/>
          <w:bCs/>
          <w:color w:val="0D0D0D"/>
          <w:spacing w:val="-2"/>
        </w:rPr>
      </w:pPr>
    </w:p>
    <w:p w14:paraId="6C452377" w14:textId="6F8C61C3" w:rsidR="007B0AB7" w:rsidRPr="00820A6A" w:rsidRDefault="007B0AB7" w:rsidP="007B0AB7">
      <w:pPr>
        <w:pStyle w:val="BodyText"/>
        <w:spacing w:line="480" w:lineRule="auto"/>
        <w:ind w:right="4"/>
        <w:jc w:val="both"/>
        <w:rPr>
          <w:b/>
          <w:bCs/>
          <w:color w:val="0D0D0D"/>
          <w:spacing w:val="-2"/>
        </w:rPr>
      </w:pPr>
      <w:r w:rsidRPr="00820A6A">
        <w:rPr>
          <w:b/>
          <w:bCs/>
          <w:color w:val="0D0D0D"/>
          <w:spacing w:val="-2"/>
        </w:rPr>
        <w:t>Data Collection</w:t>
      </w:r>
    </w:p>
    <w:p w14:paraId="336E7894" w14:textId="77777777" w:rsidR="007B0AB7" w:rsidRPr="00820A6A" w:rsidRDefault="007B0AB7" w:rsidP="007B0AB7">
      <w:pPr>
        <w:spacing w:line="480" w:lineRule="auto"/>
        <w:ind w:firstLine="720"/>
        <w:jc w:val="both"/>
      </w:pPr>
      <w:r>
        <w:t>At the start of the study, participants will be identified using the UP-PGH Division of Hematology census data. A thorough</w:t>
      </w:r>
      <w:r w:rsidRPr="00820A6A">
        <w:t xml:space="preserve"> review of subject’s medical record will be done attaining information on the subjects, demographics, clinical profile, relevant medical history and laboratory parameters. </w:t>
      </w:r>
      <w:r>
        <w:t xml:space="preserve">All </w:t>
      </w:r>
      <w:r w:rsidRPr="00820A6A">
        <w:t>data to be collected in this study will be transcribed using a passcode protected Microsoft Excel document. Data collection and encoding will be done by the primary investigator</w:t>
      </w:r>
      <w:r>
        <w:t xml:space="preserve"> and a research assistant</w:t>
      </w:r>
      <w:r w:rsidRPr="00820A6A">
        <w:t xml:space="preserve">. Subject information will be kept in a secure office, with access available only to the primary investigator and supervising investigator. </w:t>
      </w:r>
    </w:p>
    <w:p w14:paraId="30149245" w14:textId="77777777" w:rsidR="007B0AB7" w:rsidRDefault="007B0AB7" w:rsidP="007B0AB7">
      <w:pPr>
        <w:spacing w:line="480" w:lineRule="auto"/>
        <w:ind w:firstLine="720"/>
        <w:jc w:val="both"/>
      </w:pPr>
      <w:r w:rsidRPr="00820A6A">
        <w:t xml:space="preserve">Computerized study information will be stored on a secure network with passcode access. All identifiable information and data will be </w:t>
      </w:r>
      <w:r>
        <w:t>anonymized through</w:t>
      </w:r>
      <w:r w:rsidRPr="00820A6A">
        <w:t xml:space="preserve"> a code number. A master list linking the code number and subject identity will be kept separate from the research data and only members of the research team will have access to the list. The research records will be stored at least five (5) years following the completion of the study, after which, the data will be permanently deleted and remaining physical records will be shredded. Identifiable research data will not be shared with individuals outside of the research and analysis team. The investigators have </w:t>
      </w:r>
      <w:r w:rsidRPr="00820A6A">
        <w:lastRenderedPageBreak/>
        <w:t>completed the Good Clinical Practice (GCP) training on the responsible conduct of research with human data.</w:t>
      </w:r>
    </w:p>
    <w:p w14:paraId="68F0FD5B" w14:textId="541B07E7" w:rsidR="007A423D" w:rsidRPr="00BA726C" w:rsidRDefault="007B0AB7" w:rsidP="00BA726C">
      <w:pPr>
        <w:spacing w:line="480" w:lineRule="auto"/>
        <w:ind w:firstLine="720"/>
        <w:jc w:val="both"/>
      </w:pPr>
      <w:r w:rsidRPr="000960F1">
        <w:t>Upon completion of the study, results will be disseminated through peer-reviewed journals, as well as submission to both local and international research forums and conferences, to enhance scientific knowledge and improve patient outcomes.</w:t>
      </w:r>
      <w:r>
        <w:t xml:space="preserve"> </w:t>
      </w:r>
    </w:p>
    <w:p w14:paraId="7982E8B1" w14:textId="77777777" w:rsidR="007A423D" w:rsidRPr="00820A6A" w:rsidRDefault="007A423D" w:rsidP="007B0AB7">
      <w:pPr>
        <w:pStyle w:val="BodyText"/>
        <w:spacing w:line="480" w:lineRule="auto"/>
        <w:ind w:right="4"/>
        <w:jc w:val="both"/>
        <w:rPr>
          <w:b/>
          <w:bCs/>
          <w:color w:val="0D0D0D"/>
          <w:spacing w:val="-2"/>
        </w:rPr>
      </w:pPr>
    </w:p>
    <w:p w14:paraId="68F6AD88" w14:textId="77777777" w:rsidR="007B0AB7" w:rsidRDefault="007B0AB7" w:rsidP="007B0AB7">
      <w:pPr>
        <w:pStyle w:val="BodyText"/>
        <w:spacing w:line="480" w:lineRule="auto"/>
        <w:ind w:right="4"/>
        <w:jc w:val="both"/>
        <w:rPr>
          <w:b/>
          <w:bCs/>
          <w:color w:val="0D0D0D"/>
          <w:spacing w:val="-2"/>
        </w:rPr>
      </w:pPr>
      <w:r w:rsidRPr="00820A6A">
        <w:rPr>
          <w:b/>
          <w:bCs/>
          <w:color w:val="0D0D0D"/>
          <w:spacing w:val="-2"/>
        </w:rPr>
        <w:t>Data Analysis</w:t>
      </w:r>
    </w:p>
    <w:p w14:paraId="5A6C398F" w14:textId="1F6C3F28" w:rsidR="007B0AB7" w:rsidRDefault="007B0AB7" w:rsidP="007B0AB7">
      <w:pPr>
        <w:pStyle w:val="BodyText"/>
        <w:spacing w:line="480" w:lineRule="auto"/>
        <w:ind w:right="4"/>
        <w:jc w:val="both"/>
        <w:rPr>
          <w:color w:val="0D0D0D"/>
          <w:spacing w:val="-2"/>
        </w:rPr>
      </w:pPr>
      <w:r>
        <w:rPr>
          <w:b/>
          <w:bCs/>
          <w:color w:val="0D0D0D"/>
          <w:spacing w:val="-2"/>
        </w:rPr>
        <w:tab/>
      </w:r>
      <w:r>
        <w:rPr>
          <w:color w:val="0D0D0D"/>
          <w:spacing w:val="-2"/>
        </w:rPr>
        <w:t>The study data will undergo a process of anonymization, coding, and transcription into an Excel spreadsheet, followed by analysis utilizing SPSS software. Categorical data will be presented as counts with their respective percentages. Continuous counts will be presented either as means with accompanying standard deviations or medians with their interquartile ranges, depending on their specific distribution</w:t>
      </w:r>
      <w:commentRangeStart w:id="6"/>
      <w:r>
        <w:rPr>
          <w:color w:val="0D0D0D"/>
          <w:spacing w:val="-2"/>
        </w:rPr>
        <w:t xml:space="preserve">. </w:t>
      </w:r>
      <w:r w:rsidR="008C5A7D">
        <w:rPr>
          <w:color w:val="0D0D0D"/>
          <w:spacing w:val="-2"/>
        </w:rPr>
        <w:t>The  study will be using an indictor variable for missingness, and utilize inverse probability weighting for missing data as applicable.</w:t>
      </w:r>
      <w:commentRangeEnd w:id="6"/>
      <w:r w:rsidR="008C5A7D">
        <w:rPr>
          <w:rStyle w:val="CommentReference"/>
        </w:rPr>
        <w:commentReference w:id="6"/>
      </w:r>
      <w:r w:rsidR="008C5A7D">
        <w:rPr>
          <w:color w:val="0D0D0D"/>
          <w:spacing w:val="-2"/>
        </w:rPr>
        <w:t xml:space="preserve"> </w:t>
      </w:r>
      <w:r>
        <w:rPr>
          <w:color w:val="0D0D0D"/>
          <w:spacing w:val="-2"/>
        </w:rPr>
        <w:t xml:space="preserve">Clinical characteristics will be compared using Chi-square test for categorical data and Wilcoxon rank-sum test for continuous data. For overall survival and event-free survival, Kaplan-Meier approach is chosen, using log-rank test for univariate significance testing. Correlation between TDT and end points will be assessed by cross-tabulation for univariable analyses and by logistic regression for multivariable analysis. Survival outcomes and TDT were analyzed using Cox regression for univariable and multivariable analyses. Subgroup analysis will be done based on different treatment regimen used, between age &gt;60 years old and &lt; 60 years old, as well as to assess the influence of different cause treatment delays. The influence of hydroxyurea and cytarabine cytoreduction will be investigated by introducing an interaction term between the TDT and the presence of cytoreductive treatment. </w:t>
      </w:r>
      <w:r w:rsidR="00204C99" w:rsidRPr="00204C99">
        <w:rPr>
          <w:color w:val="0D0D0D"/>
          <w:spacing w:val="-2"/>
        </w:rPr>
        <w:t>Statistical significance will be set at p &lt; 0.0</w:t>
      </w:r>
      <w:r w:rsidR="00204C99">
        <w:rPr>
          <w:color w:val="0D0D0D"/>
          <w:spacing w:val="-2"/>
        </w:rPr>
        <w:t xml:space="preserve">5, </w:t>
      </w:r>
      <w:r w:rsidR="00204C99" w:rsidRPr="00204C99">
        <w:rPr>
          <w:color w:val="0D0D0D"/>
          <w:spacing w:val="-2"/>
        </w:rPr>
        <w:t>with 95% confidence intervals (CI)</w:t>
      </w:r>
      <w:r w:rsidR="00204C99">
        <w:rPr>
          <w:color w:val="0D0D0D"/>
          <w:spacing w:val="-2"/>
        </w:rPr>
        <w:t>.</w:t>
      </w:r>
    </w:p>
    <w:p w14:paraId="3E31274E" w14:textId="4B932869" w:rsidR="008C5A7D" w:rsidRDefault="008C5A7D" w:rsidP="007B0AB7">
      <w:pPr>
        <w:pStyle w:val="BodyText"/>
        <w:spacing w:line="480" w:lineRule="auto"/>
        <w:ind w:right="4"/>
        <w:jc w:val="both"/>
        <w:rPr>
          <w:color w:val="0D0D0D"/>
          <w:spacing w:val="-2"/>
        </w:rPr>
      </w:pPr>
      <w:r>
        <w:rPr>
          <w:color w:val="0D0D0D"/>
          <w:spacing w:val="-2"/>
        </w:rPr>
        <w:lastRenderedPageBreak/>
        <w:tab/>
        <w:t xml:space="preserve">The  study will be using an indictor variable for missingness, and utilize inverse probability weighting for missing data. </w:t>
      </w:r>
    </w:p>
    <w:p w14:paraId="04E90629" w14:textId="77777777" w:rsidR="007B0AB7" w:rsidRPr="00747AB6" w:rsidRDefault="007B0AB7" w:rsidP="007B0AB7">
      <w:pPr>
        <w:pStyle w:val="BodyText"/>
        <w:spacing w:line="480" w:lineRule="auto"/>
        <w:ind w:right="4"/>
        <w:jc w:val="both"/>
        <w:rPr>
          <w:color w:val="0D0D0D"/>
          <w:spacing w:val="-2"/>
        </w:rPr>
      </w:pPr>
    </w:p>
    <w:p w14:paraId="7A9DF2E3" w14:textId="77777777" w:rsidR="007B0AB7" w:rsidRPr="00820A6A" w:rsidRDefault="007B0AB7" w:rsidP="007B0AB7">
      <w:pPr>
        <w:pStyle w:val="BodyText"/>
        <w:spacing w:line="480" w:lineRule="auto"/>
        <w:ind w:right="4"/>
        <w:jc w:val="both"/>
        <w:rPr>
          <w:b/>
          <w:bCs/>
          <w:color w:val="0D0D0D"/>
          <w:spacing w:val="-2"/>
        </w:rPr>
      </w:pPr>
      <w:r w:rsidRPr="00820A6A">
        <w:rPr>
          <w:b/>
          <w:bCs/>
          <w:color w:val="0D0D0D"/>
          <w:spacing w:val="-2"/>
        </w:rPr>
        <w:t>Outcomes</w:t>
      </w:r>
    </w:p>
    <w:p w14:paraId="187BDDD0" w14:textId="77777777" w:rsidR="007B0AB7" w:rsidRDefault="007B0AB7" w:rsidP="007B0AB7">
      <w:pPr>
        <w:pStyle w:val="BodyText"/>
        <w:spacing w:line="480" w:lineRule="auto"/>
        <w:ind w:right="4" w:firstLine="720"/>
        <w:jc w:val="both"/>
        <w:rPr>
          <w:color w:val="0D0D0D"/>
          <w:spacing w:val="-2"/>
        </w:rPr>
      </w:pPr>
      <w:r>
        <w:rPr>
          <w:color w:val="0D0D0D"/>
          <w:spacing w:val="-2"/>
        </w:rPr>
        <w:t xml:space="preserve">The primary outcome of this study is to assess the impact of TDT on the prognosis of newly-diagnosed AML patients being treated with upfront chemotherapy. OS will be measured after chemotherapy until the date of death or if the patient did not die during the follow-up period, OS will be censored on the date of last known follow-up. </w:t>
      </w:r>
    </w:p>
    <w:p w14:paraId="62F924E4" w14:textId="0240A4BE" w:rsidR="007B0AB7" w:rsidRDefault="007B0AB7" w:rsidP="007B0AB7">
      <w:pPr>
        <w:pStyle w:val="BodyText"/>
        <w:spacing w:line="480" w:lineRule="auto"/>
        <w:ind w:right="4" w:firstLine="720"/>
        <w:jc w:val="both"/>
        <w:rPr>
          <w:color w:val="0D0D0D"/>
          <w:spacing w:val="-2"/>
        </w:rPr>
      </w:pPr>
      <w:r>
        <w:rPr>
          <w:color w:val="0D0D0D"/>
          <w:spacing w:val="-2"/>
        </w:rPr>
        <w:t>The secondary outcomes are</w:t>
      </w:r>
      <w:r w:rsidR="00BA726C">
        <w:rPr>
          <w:color w:val="0D0D0D"/>
          <w:spacing w:val="-2"/>
        </w:rPr>
        <w:t xml:space="preserve"> </w:t>
      </w:r>
      <w:r>
        <w:rPr>
          <w:color w:val="0D0D0D"/>
          <w:spacing w:val="-2"/>
        </w:rPr>
        <w:t xml:space="preserve">1. </w:t>
      </w:r>
      <w:r w:rsidR="00BA726C">
        <w:rPr>
          <w:color w:val="0D0D0D"/>
          <w:spacing w:val="-2"/>
        </w:rPr>
        <w:t xml:space="preserve">To </w:t>
      </w:r>
      <w:r>
        <w:rPr>
          <w:color w:val="0D0D0D"/>
          <w:spacing w:val="-2"/>
        </w:rPr>
        <w:t xml:space="preserve">determine whether TDT influences the remission status, early death, event-free survival, and overall survival of AML patients; </w:t>
      </w:r>
      <w:r w:rsidR="00204C99">
        <w:rPr>
          <w:color w:val="0D0D0D"/>
          <w:spacing w:val="-2"/>
        </w:rPr>
        <w:t xml:space="preserve">and, </w:t>
      </w:r>
      <w:r>
        <w:rPr>
          <w:color w:val="0D0D0D"/>
          <w:spacing w:val="-2"/>
        </w:rPr>
        <w:t xml:space="preserve">2. </w:t>
      </w:r>
      <w:commentRangeStart w:id="7"/>
      <w:r w:rsidR="00BA726C">
        <w:rPr>
          <w:color w:val="0D0D0D"/>
          <w:spacing w:val="-2"/>
        </w:rPr>
        <w:t xml:space="preserve">To </w:t>
      </w:r>
      <w:r>
        <w:rPr>
          <w:color w:val="0D0D0D"/>
          <w:spacing w:val="-2"/>
        </w:rPr>
        <w:t>determine whether TDT</w:t>
      </w:r>
      <w:r w:rsidR="00BA726C">
        <w:rPr>
          <w:color w:val="0D0D0D"/>
          <w:spacing w:val="-2"/>
        </w:rPr>
        <w:t xml:space="preserve">, </w:t>
      </w:r>
      <w:r>
        <w:rPr>
          <w:color w:val="0D0D0D"/>
          <w:spacing w:val="-2"/>
        </w:rPr>
        <w:t xml:space="preserve">specific </w:t>
      </w:r>
      <w:r w:rsidR="00B10D02">
        <w:rPr>
          <w:color w:val="0D0D0D"/>
          <w:spacing w:val="-2"/>
        </w:rPr>
        <w:t>reason</w:t>
      </w:r>
      <w:r>
        <w:rPr>
          <w:color w:val="0D0D0D"/>
          <w:spacing w:val="-2"/>
        </w:rPr>
        <w:t xml:space="preserve"> of treatment</w:t>
      </w:r>
      <w:r w:rsidR="00BA726C">
        <w:rPr>
          <w:color w:val="0D0D0D"/>
          <w:spacing w:val="-2"/>
        </w:rPr>
        <w:t xml:space="preserve"> </w:t>
      </w:r>
      <w:r>
        <w:rPr>
          <w:color w:val="0D0D0D"/>
          <w:spacing w:val="-2"/>
        </w:rPr>
        <w:t>delay</w:t>
      </w:r>
      <w:r w:rsidR="00BA726C">
        <w:rPr>
          <w:color w:val="0D0D0D"/>
          <w:spacing w:val="-2"/>
        </w:rPr>
        <w:t xml:space="preserve">, such as </w:t>
      </w:r>
      <w:r w:rsidR="00BA726C" w:rsidRPr="00BA726C">
        <w:rPr>
          <w:color w:val="0D0D0D"/>
          <w:spacing w:val="-2"/>
        </w:rPr>
        <w:t xml:space="preserve">clinical delays (infection or nutritional upbuilding), high costs of treatment, lack of access to treatment/facilities, unfamiliarity to </w:t>
      </w:r>
      <w:r w:rsidR="00BA726C">
        <w:rPr>
          <w:color w:val="0D0D0D"/>
          <w:spacing w:val="-2"/>
        </w:rPr>
        <w:t xml:space="preserve">novel agent, </w:t>
      </w:r>
      <w:r>
        <w:rPr>
          <w:color w:val="0D0D0D"/>
          <w:spacing w:val="-2"/>
        </w:rPr>
        <w:t>affect OS.</w:t>
      </w:r>
      <w:commentRangeEnd w:id="7"/>
      <w:r w:rsidR="00F905CE">
        <w:rPr>
          <w:rStyle w:val="CommentReference"/>
        </w:rPr>
        <w:commentReference w:id="7"/>
      </w:r>
    </w:p>
    <w:p w14:paraId="0B091EBD" w14:textId="77777777" w:rsidR="007B0AB7" w:rsidRPr="007C6697" w:rsidRDefault="007B0AB7" w:rsidP="007B0AB7">
      <w:pPr>
        <w:pStyle w:val="BodyText"/>
        <w:spacing w:line="480" w:lineRule="auto"/>
        <w:ind w:right="4"/>
        <w:jc w:val="both"/>
        <w:rPr>
          <w:color w:val="0D0D0D"/>
          <w:spacing w:val="-2"/>
        </w:rPr>
      </w:pPr>
    </w:p>
    <w:p w14:paraId="77ECFF50" w14:textId="77777777" w:rsidR="007B0AB7" w:rsidRDefault="007B0AB7" w:rsidP="007B0AB7">
      <w:pPr>
        <w:pStyle w:val="BodyText"/>
        <w:spacing w:line="480" w:lineRule="auto"/>
        <w:ind w:right="4"/>
        <w:jc w:val="both"/>
        <w:rPr>
          <w:b/>
          <w:bCs/>
          <w:color w:val="0D0D0D"/>
          <w:spacing w:val="-2"/>
        </w:rPr>
      </w:pPr>
      <w:r w:rsidRPr="00820A6A">
        <w:rPr>
          <w:b/>
          <w:bCs/>
          <w:color w:val="0D0D0D"/>
          <w:spacing w:val="-2"/>
        </w:rPr>
        <w:t>Ethical Considerations</w:t>
      </w:r>
    </w:p>
    <w:p w14:paraId="5A0BAB47" w14:textId="77777777" w:rsidR="007B0AB7" w:rsidRDefault="007B0AB7" w:rsidP="007B0AB7">
      <w:pPr>
        <w:pStyle w:val="BodyText"/>
        <w:spacing w:line="480" w:lineRule="auto"/>
        <w:ind w:right="4"/>
        <w:jc w:val="both"/>
        <w:rPr>
          <w:color w:val="0D0D0D"/>
          <w:spacing w:val="-2"/>
        </w:rPr>
      </w:pPr>
      <w:r>
        <w:rPr>
          <w:b/>
          <w:bCs/>
          <w:color w:val="0D0D0D"/>
          <w:spacing w:val="-2"/>
        </w:rPr>
        <w:tab/>
      </w:r>
      <w:r w:rsidRPr="002E216C">
        <w:rPr>
          <w:color w:val="0D0D0D"/>
          <w:spacing w:val="-2"/>
        </w:rPr>
        <w:t xml:space="preserve">This research will be submitted for ethical review to the Institutional Review Board (IRB) of the </w:t>
      </w:r>
      <w:r>
        <w:t>UP-PGH</w:t>
      </w:r>
      <w:r w:rsidRPr="002E216C">
        <w:rPr>
          <w:color w:val="0D0D0D"/>
          <w:spacing w:val="-2"/>
        </w:rPr>
        <w:t xml:space="preserve">, which oversees studies involving human subjects. A waiver for informed consent will be </w:t>
      </w:r>
      <w:r>
        <w:rPr>
          <w:color w:val="0D0D0D"/>
          <w:spacing w:val="-2"/>
        </w:rPr>
        <w:t>requested</w:t>
      </w:r>
      <w:r w:rsidRPr="002E216C">
        <w:rPr>
          <w:color w:val="0D0D0D"/>
          <w:spacing w:val="-2"/>
        </w:rPr>
        <w:t xml:space="preserve"> from the UPMREB panel based on the following criteria: (1) the research poses minimal risk and does not involve procedures, such as medical interventions, that typically require informed consent; (2) granting the waiver will not negatively impact the rights and welfare of participants; (3) it would not be feasible to conduct the research without this waiver, in accordance with the National Ethical Guidelines for Research Involving Human Participants 2022. This request is justified by the study's minimal risk nature, which involves only the review of medical records. </w:t>
      </w:r>
      <w:r>
        <w:rPr>
          <w:color w:val="0D0D0D"/>
          <w:spacing w:val="-2"/>
        </w:rPr>
        <w:t>Although this study will</w:t>
      </w:r>
      <w:r w:rsidRPr="002E216C">
        <w:rPr>
          <w:color w:val="0D0D0D"/>
          <w:spacing w:val="-2"/>
        </w:rPr>
        <w:t xml:space="preserve"> include vulnerable populations, such as the elderly, indigenous individuals, </w:t>
      </w:r>
      <w:r w:rsidRPr="002E216C">
        <w:rPr>
          <w:color w:val="0D0D0D"/>
          <w:spacing w:val="-2"/>
        </w:rPr>
        <w:lastRenderedPageBreak/>
        <w:t>unemployed persons, those living in poverty, and patients receiving emergency care</w:t>
      </w:r>
      <w:r>
        <w:rPr>
          <w:color w:val="0D0D0D"/>
          <w:spacing w:val="-2"/>
        </w:rPr>
        <w:t>;</w:t>
      </w:r>
      <w:r w:rsidRPr="002E216C">
        <w:rPr>
          <w:color w:val="0D0D0D"/>
          <w:spacing w:val="-2"/>
        </w:rPr>
        <w:t xml:space="preserve"> there will be no direct interaction between physicians and patients, nor will there be any follow-up with participants. Additionally, participants will not receive any direct benefits or non-material compensation for their involvement in this study.</w:t>
      </w:r>
    </w:p>
    <w:p w14:paraId="0CB6AF5E" w14:textId="77777777" w:rsidR="007B0AB7" w:rsidRDefault="007B0AB7" w:rsidP="007B0AB7">
      <w:pPr>
        <w:pStyle w:val="BodyText"/>
        <w:spacing w:line="480" w:lineRule="auto"/>
        <w:ind w:right="4" w:firstLine="720"/>
        <w:jc w:val="both"/>
        <w:rPr>
          <w:color w:val="0D0D0D"/>
          <w:spacing w:val="-2"/>
        </w:rPr>
      </w:pPr>
      <w:r w:rsidRPr="009813FF">
        <w:rPr>
          <w:color w:val="0D0D0D"/>
          <w:spacing w:val="-2"/>
        </w:rPr>
        <w:t xml:space="preserve">The </w:t>
      </w:r>
      <w:r>
        <w:rPr>
          <w:color w:val="0D0D0D"/>
          <w:spacing w:val="-2"/>
        </w:rPr>
        <w:t>primary</w:t>
      </w:r>
      <w:r w:rsidRPr="009813FF">
        <w:rPr>
          <w:color w:val="0D0D0D"/>
          <w:spacing w:val="-2"/>
        </w:rPr>
        <w:t xml:space="preserve"> investigator will oversee the data collection process, with the addition of a research assistant to provide support</w:t>
      </w:r>
      <w:r>
        <w:rPr>
          <w:color w:val="0D0D0D"/>
          <w:spacing w:val="-2"/>
        </w:rPr>
        <w:t xml:space="preserve"> as needed</w:t>
      </w:r>
      <w:r w:rsidRPr="009813FF">
        <w:rPr>
          <w:color w:val="0D0D0D"/>
          <w:spacing w:val="-2"/>
        </w:rPr>
        <w:t>. Clear and comprehensive instructions will be given by the lead investigator to the research assistant to ensure compliance with privacy and confidentiality standards as outlined in the Data Privacy Act of 2012 and the National Ethical Guidelines for Health and Health-Related Research 2022. To protect participant identities, numeric codes will be utilized. De-identified data, represented by these codes, will be entered into a secure electronic spreadsheet. All records will be handled confidentially in accordance with the Data Privacy Act of 2012. Case reports and encoded digital files will be encrypted and password-protected using Microsoft Excel, ensuring they do not contain any personal identifiers, and will be securely stored in the research division's office for a duration of five years. The disposal of research data will follow a systematic process involving de-identification and erasure, in line with the Data Privacy Act of 2012. Breaches of confidentiality can lead to significant legal, ethical, and reputational repercussions, including fines and loss of trust or funding. To mitigate these risks, researchers implement secure data management practices and restrict access. In the event of a breach, the issue will be reported to the PGH Data Privacy Officer for immediate action to minimize harm to affected individuals and prevent recurrence. Findings from this study will be disseminated through academic publications, conferences, and presentations.</w:t>
      </w:r>
    </w:p>
    <w:p w14:paraId="57726431" w14:textId="77777777" w:rsidR="007B0AB7" w:rsidRDefault="007B0AB7" w:rsidP="007B0AB7">
      <w:pPr>
        <w:pStyle w:val="BodyText"/>
        <w:spacing w:line="480" w:lineRule="auto"/>
        <w:ind w:right="4" w:firstLine="720"/>
        <w:jc w:val="both"/>
        <w:rPr>
          <w:color w:val="0D0D0D"/>
          <w:spacing w:val="-2"/>
        </w:rPr>
      </w:pPr>
    </w:p>
    <w:p w14:paraId="5A7A8ABC" w14:textId="77777777" w:rsidR="007B0AB7" w:rsidRPr="007A423D" w:rsidRDefault="007B0AB7" w:rsidP="007B0AB7">
      <w:pPr>
        <w:pStyle w:val="BodyText"/>
        <w:spacing w:line="480" w:lineRule="auto"/>
        <w:ind w:right="4"/>
        <w:jc w:val="both"/>
        <w:rPr>
          <w:b/>
          <w:bCs/>
          <w:color w:val="0D0D0D"/>
          <w:spacing w:val="-2"/>
        </w:rPr>
      </w:pPr>
      <w:r w:rsidRPr="007A423D">
        <w:rPr>
          <w:b/>
          <w:bCs/>
          <w:color w:val="0D0D0D"/>
          <w:spacing w:val="-2"/>
        </w:rPr>
        <w:t>Conflict of Interest</w:t>
      </w:r>
    </w:p>
    <w:p w14:paraId="2A292D75" w14:textId="77777777" w:rsidR="007B0AB7" w:rsidRDefault="007B0AB7" w:rsidP="007B0AB7">
      <w:pPr>
        <w:pStyle w:val="BodyText"/>
        <w:spacing w:line="480" w:lineRule="auto"/>
        <w:ind w:right="4" w:firstLine="720"/>
        <w:jc w:val="both"/>
        <w:rPr>
          <w:color w:val="0D0D0D"/>
          <w:spacing w:val="-2"/>
        </w:rPr>
      </w:pPr>
      <w:r w:rsidRPr="00516237">
        <w:rPr>
          <w:color w:val="0D0D0D"/>
          <w:spacing w:val="-2"/>
        </w:rPr>
        <w:lastRenderedPageBreak/>
        <w:t>There are no conflicts of interest for the authors concerning this manuscript.</w:t>
      </w:r>
    </w:p>
    <w:p w14:paraId="08C1AF35" w14:textId="77777777" w:rsidR="007B0AB7" w:rsidRPr="00820A6A" w:rsidRDefault="007B0AB7" w:rsidP="007B0AB7">
      <w:pPr>
        <w:pStyle w:val="BodyText"/>
        <w:spacing w:line="480" w:lineRule="auto"/>
        <w:ind w:right="4"/>
        <w:jc w:val="both"/>
        <w:rPr>
          <w:b/>
          <w:bCs/>
          <w:color w:val="0D0D0D"/>
          <w:spacing w:val="-2"/>
        </w:rPr>
      </w:pPr>
    </w:p>
    <w:p w14:paraId="096B4598" w14:textId="77777777" w:rsidR="007B0AB7" w:rsidRDefault="007B0AB7" w:rsidP="007B0AB7">
      <w:pPr>
        <w:pStyle w:val="BodyText"/>
        <w:spacing w:line="480" w:lineRule="auto"/>
        <w:ind w:right="4"/>
        <w:jc w:val="both"/>
        <w:rPr>
          <w:b/>
          <w:bCs/>
          <w:color w:val="0D0D0D"/>
          <w:spacing w:val="-2"/>
        </w:rPr>
      </w:pPr>
      <w:r w:rsidRPr="00820A6A">
        <w:rPr>
          <w:b/>
          <w:bCs/>
          <w:color w:val="0D0D0D"/>
          <w:spacing w:val="-2"/>
        </w:rPr>
        <w:t>Dummy Tables</w:t>
      </w:r>
    </w:p>
    <w:p w14:paraId="73599AAD" w14:textId="77777777" w:rsidR="007B0AB7" w:rsidRDefault="007B0AB7" w:rsidP="007B0AB7">
      <w:pPr>
        <w:pStyle w:val="BodyText"/>
        <w:spacing w:line="480" w:lineRule="auto"/>
        <w:ind w:right="4"/>
        <w:jc w:val="both"/>
        <w:rPr>
          <w:b/>
          <w:bCs/>
          <w:color w:val="0D0D0D"/>
          <w:spacing w:val="-2"/>
        </w:rPr>
      </w:pPr>
      <w:r>
        <w:rPr>
          <w:b/>
          <w:bCs/>
          <w:color w:val="0D0D0D"/>
          <w:spacing w:val="-2"/>
        </w:rPr>
        <w:t>Table 4. Patient and treatment characteristics of patients and according to TDT groups</w:t>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1560"/>
        <w:gridCol w:w="1275"/>
        <w:gridCol w:w="1134"/>
        <w:gridCol w:w="1276"/>
        <w:gridCol w:w="1276"/>
      </w:tblGrid>
      <w:tr w:rsidR="007B0AB7" w:rsidRPr="00210B4E" w14:paraId="3068931F" w14:textId="77777777" w:rsidTr="007D412A">
        <w:trPr>
          <w:trHeight w:val="601"/>
        </w:trPr>
        <w:tc>
          <w:tcPr>
            <w:tcW w:w="3402" w:type="dxa"/>
            <w:vAlign w:val="center"/>
          </w:tcPr>
          <w:p w14:paraId="4F8FE378" w14:textId="77777777" w:rsidR="007B0AB7" w:rsidRPr="00156E7A" w:rsidRDefault="007B0AB7" w:rsidP="007D412A">
            <w:pPr>
              <w:pStyle w:val="TableParagraph"/>
              <w:spacing w:line="230" w:lineRule="exact"/>
              <w:ind w:left="110" w:right="172"/>
              <w:rPr>
                <w:b/>
                <w:bCs/>
              </w:rPr>
            </w:pPr>
            <w:r>
              <w:rPr>
                <w:b/>
                <w:bCs/>
                <w:spacing w:val="-2"/>
              </w:rPr>
              <w:t>Parameter</w:t>
            </w:r>
          </w:p>
        </w:tc>
        <w:tc>
          <w:tcPr>
            <w:tcW w:w="1560" w:type="dxa"/>
            <w:vAlign w:val="center"/>
          </w:tcPr>
          <w:p w14:paraId="5E165FC3" w14:textId="77777777" w:rsidR="007B0AB7" w:rsidRDefault="007B0AB7" w:rsidP="007D412A">
            <w:pPr>
              <w:pStyle w:val="TableParagraph"/>
              <w:spacing w:line="230" w:lineRule="exact"/>
              <w:ind w:left="110" w:right="172"/>
              <w:rPr>
                <w:b/>
                <w:bCs/>
                <w:color w:val="0D0D0D"/>
                <w:spacing w:val="-2"/>
              </w:rPr>
            </w:pPr>
            <w:r>
              <w:rPr>
                <w:b/>
                <w:bCs/>
                <w:color w:val="0D0D0D"/>
                <w:spacing w:val="-2"/>
              </w:rPr>
              <w:t xml:space="preserve">All patients, </w:t>
            </w:r>
          </w:p>
          <w:p w14:paraId="1B64AEA2" w14:textId="77777777" w:rsidR="007B0AB7" w:rsidRPr="00210B4E" w:rsidRDefault="007B0AB7" w:rsidP="007D412A">
            <w:pPr>
              <w:pStyle w:val="TableParagraph"/>
              <w:spacing w:line="230" w:lineRule="exact"/>
              <w:ind w:left="110" w:right="172"/>
              <w:rPr>
                <w:b/>
                <w:bCs/>
                <w:spacing w:val="-2"/>
              </w:rPr>
            </w:pPr>
            <w:r>
              <w:rPr>
                <w:b/>
                <w:bCs/>
                <w:color w:val="0D0D0D"/>
                <w:spacing w:val="-2"/>
              </w:rPr>
              <w:t xml:space="preserve">n </w:t>
            </w:r>
          </w:p>
        </w:tc>
        <w:tc>
          <w:tcPr>
            <w:tcW w:w="1275" w:type="dxa"/>
            <w:vAlign w:val="center"/>
          </w:tcPr>
          <w:p w14:paraId="008C3AD2" w14:textId="77777777" w:rsidR="007B0AB7" w:rsidRPr="00597250" w:rsidRDefault="007B0AB7" w:rsidP="007D412A">
            <w:pPr>
              <w:pStyle w:val="TableParagraph"/>
              <w:spacing w:line="230" w:lineRule="exact"/>
              <w:ind w:left="110" w:right="172"/>
              <w:rPr>
                <w:b/>
                <w:bCs/>
                <w:color w:val="0D0D0D"/>
                <w:spacing w:val="-2"/>
              </w:rPr>
            </w:pPr>
            <w:r>
              <w:rPr>
                <w:b/>
                <w:bCs/>
                <w:color w:val="0D0D0D"/>
                <w:spacing w:val="-2"/>
              </w:rPr>
              <w:t>TDT, 0-5d, n</w:t>
            </w:r>
          </w:p>
        </w:tc>
        <w:tc>
          <w:tcPr>
            <w:tcW w:w="1134" w:type="dxa"/>
            <w:vAlign w:val="center"/>
          </w:tcPr>
          <w:p w14:paraId="1EB94616" w14:textId="77777777" w:rsidR="007B0AB7" w:rsidRPr="00597250" w:rsidRDefault="007B0AB7" w:rsidP="007D412A">
            <w:pPr>
              <w:pStyle w:val="TableParagraph"/>
              <w:spacing w:line="230" w:lineRule="exact"/>
              <w:ind w:left="110" w:right="172"/>
              <w:rPr>
                <w:b/>
                <w:bCs/>
                <w:color w:val="0D0D0D"/>
                <w:spacing w:val="-2"/>
              </w:rPr>
            </w:pPr>
            <w:r>
              <w:rPr>
                <w:b/>
                <w:bCs/>
                <w:color w:val="0D0D0D"/>
                <w:spacing w:val="-2"/>
              </w:rPr>
              <w:t>TDT, 6-10d, n</w:t>
            </w:r>
          </w:p>
        </w:tc>
        <w:tc>
          <w:tcPr>
            <w:tcW w:w="1276" w:type="dxa"/>
            <w:vAlign w:val="center"/>
          </w:tcPr>
          <w:p w14:paraId="44C26B85" w14:textId="77777777" w:rsidR="007B0AB7" w:rsidRPr="002C4DB8" w:rsidRDefault="007B0AB7" w:rsidP="007D412A">
            <w:pPr>
              <w:pStyle w:val="TableParagraph"/>
              <w:spacing w:line="230" w:lineRule="exact"/>
              <w:ind w:left="110" w:right="172"/>
              <w:rPr>
                <w:b/>
                <w:bCs/>
                <w:color w:val="0D0D0D"/>
                <w:spacing w:val="-2"/>
              </w:rPr>
            </w:pPr>
            <w:r>
              <w:rPr>
                <w:b/>
                <w:bCs/>
                <w:color w:val="0D0D0D"/>
                <w:spacing w:val="-2"/>
              </w:rPr>
              <w:t>TDT, 11-15d, n</w:t>
            </w:r>
          </w:p>
        </w:tc>
        <w:tc>
          <w:tcPr>
            <w:tcW w:w="1276" w:type="dxa"/>
            <w:vAlign w:val="center"/>
          </w:tcPr>
          <w:p w14:paraId="71A3B520" w14:textId="77777777" w:rsidR="007B0AB7" w:rsidRPr="00210B4E" w:rsidRDefault="007B0AB7" w:rsidP="007D412A">
            <w:pPr>
              <w:pStyle w:val="TableParagraph"/>
              <w:spacing w:line="230" w:lineRule="exact"/>
              <w:ind w:left="110" w:right="172"/>
              <w:rPr>
                <w:b/>
                <w:bCs/>
                <w:spacing w:val="-2"/>
              </w:rPr>
            </w:pPr>
            <w:r>
              <w:rPr>
                <w:b/>
                <w:bCs/>
                <w:color w:val="0D0D0D"/>
                <w:spacing w:val="-2"/>
              </w:rPr>
              <w:t>TDT, &gt;15d, n</w:t>
            </w:r>
          </w:p>
        </w:tc>
      </w:tr>
      <w:tr w:rsidR="007B0AB7" w14:paraId="01C55E97" w14:textId="77777777" w:rsidTr="007D412A">
        <w:trPr>
          <w:trHeight w:val="553"/>
        </w:trPr>
        <w:tc>
          <w:tcPr>
            <w:tcW w:w="3402" w:type="dxa"/>
            <w:vAlign w:val="center"/>
          </w:tcPr>
          <w:p w14:paraId="36E0E7E6" w14:textId="77777777" w:rsidR="007B0AB7" w:rsidRPr="00597250" w:rsidRDefault="007B0AB7" w:rsidP="007D412A">
            <w:pPr>
              <w:pStyle w:val="TableParagraph"/>
              <w:spacing w:line="230" w:lineRule="exact"/>
              <w:ind w:left="110" w:right="172"/>
              <w:rPr>
                <w:b/>
                <w:bCs/>
                <w:i/>
                <w:iCs/>
                <w:spacing w:val="-2"/>
              </w:rPr>
            </w:pPr>
            <w:r>
              <w:rPr>
                <w:b/>
                <w:bCs/>
                <w:spacing w:val="-2"/>
              </w:rPr>
              <w:t>Age at initial diagnosis, y</w:t>
            </w:r>
          </w:p>
        </w:tc>
        <w:tc>
          <w:tcPr>
            <w:tcW w:w="1560" w:type="dxa"/>
            <w:vAlign w:val="center"/>
          </w:tcPr>
          <w:p w14:paraId="6D2D4203" w14:textId="77777777" w:rsidR="007B0AB7" w:rsidRDefault="007B0AB7" w:rsidP="007D412A">
            <w:pPr>
              <w:pStyle w:val="TableParagraph"/>
              <w:spacing w:line="230" w:lineRule="exact"/>
              <w:ind w:left="110" w:right="699"/>
              <w:jc w:val="right"/>
              <w:rPr>
                <w:spacing w:val="-2"/>
              </w:rPr>
            </w:pPr>
          </w:p>
        </w:tc>
        <w:tc>
          <w:tcPr>
            <w:tcW w:w="1275" w:type="dxa"/>
            <w:vAlign w:val="center"/>
          </w:tcPr>
          <w:p w14:paraId="7C4A56A9" w14:textId="77777777" w:rsidR="007B0AB7" w:rsidRDefault="007B0AB7" w:rsidP="007D412A">
            <w:pPr>
              <w:pStyle w:val="TableParagraph"/>
              <w:spacing w:line="230" w:lineRule="exact"/>
              <w:ind w:left="110" w:right="699"/>
              <w:jc w:val="right"/>
              <w:rPr>
                <w:spacing w:val="-2"/>
              </w:rPr>
            </w:pPr>
          </w:p>
        </w:tc>
        <w:tc>
          <w:tcPr>
            <w:tcW w:w="1134" w:type="dxa"/>
            <w:vAlign w:val="center"/>
          </w:tcPr>
          <w:p w14:paraId="4AEB8F0D"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9DBB0BA"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C17A298" w14:textId="77777777" w:rsidR="007B0AB7" w:rsidRDefault="007B0AB7" w:rsidP="007D412A">
            <w:pPr>
              <w:pStyle w:val="TableParagraph"/>
              <w:spacing w:line="230" w:lineRule="exact"/>
              <w:ind w:left="110" w:right="699"/>
              <w:jc w:val="right"/>
              <w:rPr>
                <w:spacing w:val="-2"/>
              </w:rPr>
            </w:pPr>
          </w:p>
        </w:tc>
      </w:tr>
      <w:tr w:rsidR="007B0AB7" w14:paraId="17761559" w14:textId="77777777" w:rsidTr="007D412A">
        <w:trPr>
          <w:trHeight w:val="553"/>
        </w:trPr>
        <w:tc>
          <w:tcPr>
            <w:tcW w:w="3402" w:type="dxa"/>
            <w:vAlign w:val="center"/>
          </w:tcPr>
          <w:p w14:paraId="0BCA7145" w14:textId="77777777" w:rsidR="007B0AB7" w:rsidRPr="00597250" w:rsidRDefault="007B0AB7" w:rsidP="007D412A">
            <w:pPr>
              <w:pStyle w:val="TableParagraph"/>
              <w:spacing w:line="230" w:lineRule="exact"/>
              <w:ind w:left="110" w:right="172"/>
              <w:rPr>
                <w:spacing w:val="-2"/>
              </w:rPr>
            </w:pPr>
            <w:r>
              <w:rPr>
                <w:spacing w:val="-2"/>
              </w:rPr>
              <w:t>Mean (SD)</w:t>
            </w:r>
          </w:p>
        </w:tc>
        <w:tc>
          <w:tcPr>
            <w:tcW w:w="1560" w:type="dxa"/>
            <w:vAlign w:val="center"/>
          </w:tcPr>
          <w:p w14:paraId="70681033"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34264D5" w14:textId="77777777" w:rsidR="007B0AB7" w:rsidRDefault="007B0AB7" w:rsidP="007D412A">
            <w:pPr>
              <w:pStyle w:val="TableParagraph"/>
              <w:spacing w:line="230" w:lineRule="exact"/>
              <w:ind w:left="110" w:right="699"/>
              <w:jc w:val="right"/>
              <w:rPr>
                <w:spacing w:val="-2"/>
              </w:rPr>
            </w:pPr>
          </w:p>
        </w:tc>
        <w:tc>
          <w:tcPr>
            <w:tcW w:w="1134" w:type="dxa"/>
            <w:vAlign w:val="center"/>
          </w:tcPr>
          <w:p w14:paraId="05233B17"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39E9090"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51CA86C" w14:textId="77777777" w:rsidR="007B0AB7" w:rsidRDefault="007B0AB7" w:rsidP="007D412A">
            <w:pPr>
              <w:pStyle w:val="TableParagraph"/>
              <w:spacing w:line="230" w:lineRule="exact"/>
              <w:ind w:left="110" w:right="699"/>
              <w:jc w:val="right"/>
              <w:rPr>
                <w:spacing w:val="-2"/>
              </w:rPr>
            </w:pPr>
          </w:p>
        </w:tc>
      </w:tr>
      <w:tr w:rsidR="007B0AB7" w14:paraId="00E1F196" w14:textId="77777777" w:rsidTr="007D412A">
        <w:trPr>
          <w:trHeight w:val="553"/>
        </w:trPr>
        <w:tc>
          <w:tcPr>
            <w:tcW w:w="3402" w:type="dxa"/>
            <w:vAlign w:val="center"/>
          </w:tcPr>
          <w:p w14:paraId="281DB034" w14:textId="77777777" w:rsidR="007B0AB7" w:rsidRDefault="007B0AB7" w:rsidP="007D412A">
            <w:pPr>
              <w:pStyle w:val="TableParagraph"/>
              <w:spacing w:line="230" w:lineRule="exact"/>
              <w:ind w:left="110" w:right="172"/>
              <w:rPr>
                <w:spacing w:val="-2"/>
              </w:rPr>
            </w:pPr>
            <w:r>
              <w:rPr>
                <w:spacing w:val="-2"/>
              </w:rPr>
              <w:t>Median (IQR)</w:t>
            </w:r>
          </w:p>
        </w:tc>
        <w:tc>
          <w:tcPr>
            <w:tcW w:w="1560" w:type="dxa"/>
            <w:vAlign w:val="center"/>
          </w:tcPr>
          <w:p w14:paraId="15FD8F90" w14:textId="77777777" w:rsidR="007B0AB7" w:rsidRDefault="007B0AB7" w:rsidP="007D412A">
            <w:pPr>
              <w:pStyle w:val="TableParagraph"/>
              <w:spacing w:line="230" w:lineRule="exact"/>
              <w:ind w:left="110" w:right="699"/>
              <w:jc w:val="right"/>
              <w:rPr>
                <w:spacing w:val="-2"/>
              </w:rPr>
            </w:pPr>
          </w:p>
        </w:tc>
        <w:tc>
          <w:tcPr>
            <w:tcW w:w="1275" w:type="dxa"/>
            <w:vAlign w:val="center"/>
          </w:tcPr>
          <w:p w14:paraId="3B794488" w14:textId="77777777" w:rsidR="007B0AB7" w:rsidRDefault="007B0AB7" w:rsidP="007D412A">
            <w:pPr>
              <w:pStyle w:val="TableParagraph"/>
              <w:spacing w:line="230" w:lineRule="exact"/>
              <w:ind w:left="110" w:right="699"/>
              <w:jc w:val="right"/>
              <w:rPr>
                <w:spacing w:val="-2"/>
              </w:rPr>
            </w:pPr>
          </w:p>
        </w:tc>
        <w:tc>
          <w:tcPr>
            <w:tcW w:w="1134" w:type="dxa"/>
            <w:vAlign w:val="center"/>
          </w:tcPr>
          <w:p w14:paraId="3646D83E"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6E29D43"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EB7EBE8" w14:textId="77777777" w:rsidR="007B0AB7" w:rsidRDefault="007B0AB7" w:rsidP="007D412A">
            <w:pPr>
              <w:pStyle w:val="TableParagraph"/>
              <w:spacing w:line="230" w:lineRule="exact"/>
              <w:ind w:left="110" w:right="699"/>
              <w:jc w:val="right"/>
              <w:rPr>
                <w:spacing w:val="-2"/>
              </w:rPr>
            </w:pPr>
          </w:p>
        </w:tc>
      </w:tr>
      <w:tr w:rsidR="007B0AB7" w14:paraId="03CD4FAB" w14:textId="77777777" w:rsidTr="007D412A">
        <w:trPr>
          <w:trHeight w:val="553"/>
        </w:trPr>
        <w:tc>
          <w:tcPr>
            <w:tcW w:w="3402" w:type="dxa"/>
            <w:vAlign w:val="center"/>
          </w:tcPr>
          <w:p w14:paraId="76FDB3D9" w14:textId="77777777" w:rsidR="007B0AB7" w:rsidRPr="00597250" w:rsidRDefault="007B0AB7" w:rsidP="007D412A">
            <w:pPr>
              <w:pStyle w:val="TableParagraph"/>
              <w:spacing w:line="230" w:lineRule="exact"/>
              <w:ind w:left="110" w:right="172"/>
              <w:rPr>
                <w:b/>
                <w:bCs/>
                <w:spacing w:val="-2"/>
              </w:rPr>
            </w:pPr>
            <w:r>
              <w:rPr>
                <w:b/>
                <w:bCs/>
                <w:spacing w:val="-2"/>
              </w:rPr>
              <w:t>Female sex, no./no. available (%)</w:t>
            </w:r>
          </w:p>
        </w:tc>
        <w:tc>
          <w:tcPr>
            <w:tcW w:w="1560" w:type="dxa"/>
            <w:vAlign w:val="center"/>
          </w:tcPr>
          <w:p w14:paraId="7DE97A0D" w14:textId="77777777" w:rsidR="007B0AB7" w:rsidRDefault="007B0AB7" w:rsidP="007D412A">
            <w:pPr>
              <w:pStyle w:val="TableParagraph"/>
              <w:spacing w:line="230" w:lineRule="exact"/>
              <w:ind w:left="110" w:right="699"/>
              <w:jc w:val="right"/>
              <w:rPr>
                <w:spacing w:val="-2"/>
              </w:rPr>
            </w:pPr>
          </w:p>
        </w:tc>
        <w:tc>
          <w:tcPr>
            <w:tcW w:w="1275" w:type="dxa"/>
            <w:vAlign w:val="center"/>
          </w:tcPr>
          <w:p w14:paraId="00FC3173" w14:textId="77777777" w:rsidR="007B0AB7" w:rsidRDefault="007B0AB7" w:rsidP="007D412A">
            <w:pPr>
              <w:pStyle w:val="TableParagraph"/>
              <w:spacing w:line="230" w:lineRule="exact"/>
              <w:ind w:left="110" w:right="699"/>
              <w:jc w:val="right"/>
              <w:rPr>
                <w:spacing w:val="-2"/>
              </w:rPr>
            </w:pPr>
          </w:p>
        </w:tc>
        <w:tc>
          <w:tcPr>
            <w:tcW w:w="1134" w:type="dxa"/>
            <w:vAlign w:val="center"/>
          </w:tcPr>
          <w:p w14:paraId="6601AB78"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91BF841"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10FBCDD" w14:textId="77777777" w:rsidR="007B0AB7" w:rsidRDefault="007B0AB7" w:rsidP="007D412A">
            <w:pPr>
              <w:pStyle w:val="TableParagraph"/>
              <w:spacing w:line="230" w:lineRule="exact"/>
              <w:ind w:left="110" w:right="699"/>
              <w:jc w:val="right"/>
              <w:rPr>
                <w:spacing w:val="-2"/>
              </w:rPr>
            </w:pPr>
          </w:p>
        </w:tc>
      </w:tr>
      <w:tr w:rsidR="007B0AB7" w14:paraId="544F6A58" w14:textId="77777777" w:rsidTr="007D412A">
        <w:trPr>
          <w:trHeight w:val="553"/>
        </w:trPr>
        <w:tc>
          <w:tcPr>
            <w:tcW w:w="3402" w:type="dxa"/>
            <w:vAlign w:val="center"/>
          </w:tcPr>
          <w:p w14:paraId="7675FD74" w14:textId="77777777" w:rsidR="007B0AB7" w:rsidRPr="00597250" w:rsidRDefault="007B0AB7" w:rsidP="007D412A">
            <w:pPr>
              <w:pStyle w:val="TableParagraph"/>
              <w:spacing w:line="230" w:lineRule="exact"/>
              <w:ind w:left="110" w:right="172"/>
              <w:rPr>
                <w:b/>
                <w:bCs/>
                <w:spacing w:val="-2"/>
              </w:rPr>
            </w:pPr>
            <w:r>
              <w:rPr>
                <w:b/>
                <w:bCs/>
                <w:spacing w:val="-2"/>
              </w:rPr>
              <w:t>ECOG status 0-1, no./no. available (%)</w:t>
            </w:r>
          </w:p>
        </w:tc>
        <w:tc>
          <w:tcPr>
            <w:tcW w:w="1560" w:type="dxa"/>
            <w:vAlign w:val="center"/>
          </w:tcPr>
          <w:p w14:paraId="27893D09" w14:textId="77777777" w:rsidR="007B0AB7" w:rsidRDefault="007B0AB7" w:rsidP="007D412A">
            <w:pPr>
              <w:pStyle w:val="TableParagraph"/>
              <w:spacing w:line="230" w:lineRule="exact"/>
              <w:ind w:left="110" w:right="699"/>
              <w:jc w:val="right"/>
              <w:rPr>
                <w:spacing w:val="-2"/>
              </w:rPr>
            </w:pPr>
          </w:p>
        </w:tc>
        <w:tc>
          <w:tcPr>
            <w:tcW w:w="1275" w:type="dxa"/>
            <w:vAlign w:val="center"/>
          </w:tcPr>
          <w:p w14:paraId="56F73957" w14:textId="77777777" w:rsidR="007B0AB7" w:rsidRDefault="007B0AB7" w:rsidP="007D412A">
            <w:pPr>
              <w:pStyle w:val="TableParagraph"/>
              <w:spacing w:line="230" w:lineRule="exact"/>
              <w:ind w:left="110" w:right="699"/>
              <w:jc w:val="right"/>
              <w:rPr>
                <w:spacing w:val="-2"/>
              </w:rPr>
            </w:pPr>
          </w:p>
        </w:tc>
        <w:tc>
          <w:tcPr>
            <w:tcW w:w="1134" w:type="dxa"/>
            <w:vAlign w:val="center"/>
          </w:tcPr>
          <w:p w14:paraId="655FABD9"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2509D98"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9BA8A11" w14:textId="77777777" w:rsidR="007B0AB7" w:rsidRDefault="007B0AB7" w:rsidP="007D412A">
            <w:pPr>
              <w:pStyle w:val="TableParagraph"/>
              <w:spacing w:line="230" w:lineRule="exact"/>
              <w:ind w:left="110" w:right="699"/>
              <w:jc w:val="right"/>
              <w:rPr>
                <w:spacing w:val="-2"/>
              </w:rPr>
            </w:pPr>
          </w:p>
        </w:tc>
      </w:tr>
      <w:tr w:rsidR="007B0AB7" w14:paraId="5930142F" w14:textId="77777777" w:rsidTr="007D412A">
        <w:trPr>
          <w:trHeight w:val="553"/>
        </w:trPr>
        <w:tc>
          <w:tcPr>
            <w:tcW w:w="3402" w:type="dxa"/>
            <w:vAlign w:val="center"/>
          </w:tcPr>
          <w:p w14:paraId="05AF8658" w14:textId="77777777" w:rsidR="007B0AB7" w:rsidRPr="00597250" w:rsidRDefault="007B0AB7" w:rsidP="007D412A">
            <w:pPr>
              <w:pStyle w:val="TableParagraph"/>
              <w:spacing w:line="230" w:lineRule="exact"/>
              <w:ind w:left="110" w:right="172"/>
              <w:rPr>
                <w:b/>
                <w:bCs/>
                <w:spacing w:val="-2"/>
              </w:rPr>
            </w:pPr>
            <w:r>
              <w:rPr>
                <w:b/>
                <w:bCs/>
                <w:spacing w:val="-2"/>
              </w:rPr>
              <w:t>HCT-CI score 0-2, no./no. available (%)</w:t>
            </w:r>
          </w:p>
        </w:tc>
        <w:tc>
          <w:tcPr>
            <w:tcW w:w="1560" w:type="dxa"/>
            <w:vAlign w:val="center"/>
          </w:tcPr>
          <w:p w14:paraId="39C17F50"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F3DF362" w14:textId="77777777" w:rsidR="007B0AB7" w:rsidRDefault="007B0AB7" w:rsidP="007D412A">
            <w:pPr>
              <w:pStyle w:val="TableParagraph"/>
              <w:spacing w:line="230" w:lineRule="exact"/>
              <w:ind w:left="110" w:right="699"/>
              <w:jc w:val="right"/>
              <w:rPr>
                <w:spacing w:val="-2"/>
              </w:rPr>
            </w:pPr>
          </w:p>
        </w:tc>
        <w:tc>
          <w:tcPr>
            <w:tcW w:w="1134" w:type="dxa"/>
            <w:vAlign w:val="center"/>
          </w:tcPr>
          <w:p w14:paraId="16AECFD8"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B6851C2"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C155378" w14:textId="77777777" w:rsidR="007B0AB7" w:rsidRDefault="007B0AB7" w:rsidP="007D412A">
            <w:pPr>
              <w:pStyle w:val="TableParagraph"/>
              <w:spacing w:line="230" w:lineRule="exact"/>
              <w:ind w:left="110" w:right="699"/>
              <w:jc w:val="right"/>
              <w:rPr>
                <w:spacing w:val="-2"/>
              </w:rPr>
            </w:pPr>
          </w:p>
        </w:tc>
      </w:tr>
      <w:tr w:rsidR="007B0AB7" w14:paraId="6AAF4422" w14:textId="77777777" w:rsidTr="007D412A">
        <w:trPr>
          <w:trHeight w:val="553"/>
        </w:trPr>
        <w:tc>
          <w:tcPr>
            <w:tcW w:w="3402" w:type="dxa"/>
            <w:vAlign w:val="center"/>
          </w:tcPr>
          <w:p w14:paraId="24833700" w14:textId="77777777" w:rsidR="007B0AB7" w:rsidRPr="00597250" w:rsidRDefault="007B0AB7" w:rsidP="007D412A">
            <w:pPr>
              <w:pStyle w:val="TableParagraph"/>
              <w:spacing w:line="230" w:lineRule="exact"/>
              <w:ind w:left="110" w:right="172"/>
              <w:rPr>
                <w:b/>
                <w:bCs/>
                <w:i/>
                <w:iCs/>
                <w:spacing w:val="-2"/>
              </w:rPr>
            </w:pPr>
            <w:r>
              <w:rPr>
                <w:b/>
                <w:bCs/>
                <w:spacing w:val="-2"/>
              </w:rPr>
              <w:t>ELN risk 2022 group, no./no. available (%)</w:t>
            </w:r>
          </w:p>
        </w:tc>
        <w:tc>
          <w:tcPr>
            <w:tcW w:w="1560" w:type="dxa"/>
            <w:vAlign w:val="center"/>
          </w:tcPr>
          <w:p w14:paraId="58E1D25D"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A50320B" w14:textId="77777777" w:rsidR="007B0AB7" w:rsidRDefault="007B0AB7" w:rsidP="007D412A">
            <w:pPr>
              <w:pStyle w:val="TableParagraph"/>
              <w:spacing w:line="230" w:lineRule="exact"/>
              <w:ind w:left="110" w:right="699"/>
              <w:jc w:val="right"/>
              <w:rPr>
                <w:spacing w:val="-2"/>
              </w:rPr>
            </w:pPr>
          </w:p>
        </w:tc>
        <w:tc>
          <w:tcPr>
            <w:tcW w:w="1134" w:type="dxa"/>
            <w:vAlign w:val="center"/>
          </w:tcPr>
          <w:p w14:paraId="219CBE4B"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53D051C"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0F9D00C" w14:textId="77777777" w:rsidR="007B0AB7" w:rsidRDefault="007B0AB7" w:rsidP="007D412A">
            <w:pPr>
              <w:pStyle w:val="TableParagraph"/>
              <w:spacing w:line="230" w:lineRule="exact"/>
              <w:ind w:left="110" w:right="699"/>
              <w:jc w:val="right"/>
              <w:rPr>
                <w:spacing w:val="-2"/>
              </w:rPr>
            </w:pPr>
          </w:p>
        </w:tc>
      </w:tr>
      <w:tr w:rsidR="007B0AB7" w14:paraId="385DFCB9" w14:textId="77777777" w:rsidTr="007D412A">
        <w:trPr>
          <w:trHeight w:val="553"/>
        </w:trPr>
        <w:tc>
          <w:tcPr>
            <w:tcW w:w="3402" w:type="dxa"/>
            <w:vAlign w:val="center"/>
          </w:tcPr>
          <w:p w14:paraId="60D5BC25" w14:textId="77777777" w:rsidR="007B0AB7" w:rsidRPr="00597250" w:rsidRDefault="007B0AB7" w:rsidP="007D412A">
            <w:pPr>
              <w:pStyle w:val="TableParagraph"/>
              <w:spacing w:line="230" w:lineRule="exact"/>
              <w:ind w:left="110" w:right="172"/>
              <w:rPr>
                <w:spacing w:val="-2"/>
              </w:rPr>
            </w:pPr>
            <w:r>
              <w:rPr>
                <w:spacing w:val="-2"/>
              </w:rPr>
              <w:t>Favorable</w:t>
            </w:r>
          </w:p>
        </w:tc>
        <w:tc>
          <w:tcPr>
            <w:tcW w:w="1560" w:type="dxa"/>
            <w:vAlign w:val="center"/>
          </w:tcPr>
          <w:p w14:paraId="029FB196"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36C6850" w14:textId="77777777" w:rsidR="007B0AB7" w:rsidRDefault="007B0AB7" w:rsidP="007D412A">
            <w:pPr>
              <w:pStyle w:val="TableParagraph"/>
              <w:spacing w:line="230" w:lineRule="exact"/>
              <w:ind w:left="110" w:right="699"/>
              <w:jc w:val="right"/>
              <w:rPr>
                <w:spacing w:val="-2"/>
              </w:rPr>
            </w:pPr>
          </w:p>
        </w:tc>
        <w:tc>
          <w:tcPr>
            <w:tcW w:w="1134" w:type="dxa"/>
            <w:vAlign w:val="center"/>
          </w:tcPr>
          <w:p w14:paraId="30EA8DF9"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15549D2"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FFDD841" w14:textId="77777777" w:rsidR="007B0AB7" w:rsidRDefault="007B0AB7" w:rsidP="007D412A">
            <w:pPr>
              <w:pStyle w:val="TableParagraph"/>
              <w:spacing w:line="230" w:lineRule="exact"/>
              <w:ind w:left="110" w:right="699"/>
              <w:jc w:val="right"/>
              <w:rPr>
                <w:spacing w:val="-2"/>
              </w:rPr>
            </w:pPr>
          </w:p>
        </w:tc>
      </w:tr>
      <w:tr w:rsidR="007B0AB7" w14:paraId="011D5F26" w14:textId="77777777" w:rsidTr="007D412A">
        <w:trPr>
          <w:trHeight w:val="553"/>
        </w:trPr>
        <w:tc>
          <w:tcPr>
            <w:tcW w:w="3402" w:type="dxa"/>
            <w:vAlign w:val="center"/>
          </w:tcPr>
          <w:p w14:paraId="08B50726" w14:textId="77777777" w:rsidR="007B0AB7" w:rsidRDefault="007B0AB7" w:rsidP="007D412A">
            <w:pPr>
              <w:pStyle w:val="TableParagraph"/>
              <w:spacing w:line="230" w:lineRule="exact"/>
              <w:ind w:left="110" w:right="172"/>
              <w:rPr>
                <w:spacing w:val="-2"/>
              </w:rPr>
            </w:pPr>
            <w:r>
              <w:rPr>
                <w:spacing w:val="-2"/>
              </w:rPr>
              <w:t>Intermediate</w:t>
            </w:r>
          </w:p>
        </w:tc>
        <w:tc>
          <w:tcPr>
            <w:tcW w:w="1560" w:type="dxa"/>
            <w:vAlign w:val="center"/>
          </w:tcPr>
          <w:p w14:paraId="23DFEA4A"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02BD62C" w14:textId="77777777" w:rsidR="007B0AB7" w:rsidRDefault="007B0AB7" w:rsidP="007D412A">
            <w:pPr>
              <w:pStyle w:val="TableParagraph"/>
              <w:spacing w:line="230" w:lineRule="exact"/>
              <w:ind w:left="110" w:right="699"/>
              <w:jc w:val="right"/>
              <w:rPr>
                <w:spacing w:val="-2"/>
              </w:rPr>
            </w:pPr>
          </w:p>
        </w:tc>
        <w:tc>
          <w:tcPr>
            <w:tcW w:w="1134" w:type="dxa"/>
            <w:vAlign w:val="center"/>
          </w:tcPr>
          <w:p w14:paraId="0CC44628"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0C41CC9"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E9123F5" w14:textId="77777777" w:rsidR="007B0AB7" w:rsidRDefault="007B0AB7" w:rsidP="007D412A">
            <w:pPr>
              <w:pStyle w:val="TableParagraph"/>
              <w:spacing w:line="230" w:lineRule="exact"/>
              <w:ind w:left="110" w:right="699"/>
              <w:jc w:val="right"/>
              <w:rPr>
                <w:spacing w:val="-2"/>
              </w:rPr>
            </w:pPr>
          </w:p>
        </w:tc>
      </w:tr>
      <w:tr w:rsidR="007B0AB7" w14:paraId="24AE84BE" w14:textId="77777777" w:rsidTr="007D412A">
        <w:trPr>
          <w:trHeight w:val="553"/>
        </w:trPr>
        <w:tc>
          <w:tcPr>
            <w:tcW w:w="3402" w:type="dxa"/>
            <w:vAlign w:val="center"/>
          </w:tcPr>
          <w:p w14:paraId="5ED7F2EB" w14:textId="77777777" w:rsidR="007B0AB7" w:rsidRDefault="007B0AB7" w:rsidP="007D412A">
            <w:pPr>
              <w:pStyle w:val="TableParagraph"/>
              <w:spacing w:line="230" w:lineRule="exact"/>
              <w:ind w:left="110" w:right="172"/>
              <w:rPr>
                <w:spacing w:val="-2"/>
              </w:rPr>
            </w:pPr>
            <w:r>
              <w:rPr>
                <w:spacing w:val="-2"/>
              </w:rPr>
              <w:t>Adverse</w:t>
            </w:r>
          </w:p>
        </w:tc>
        <w:tc>
          <w:tcPr>
            <w:tcW w:w="1560" w:type="dxa"/>
            <w:vAlign w:val="center"/>
          </w:tcPr>
          <w:p w14:paraId="1D8F1178" w14:textId="77777777" w:rsidR="007B0AB7" w:rsidRDefault="007B0AB7" w:rsidP="007D412A">
            <w:pPr>
              <w:pStyle w:val="TableParagraph"/>
              <w:spacing w:line="230" w:lineRule="exact"/>
              <w:ind w:left="110" w:right="699"/>
              <w:jc w:val="right"/>
              <w:rPr>
                <w:spacing w:val="-2"/>
              </w:rPr>
            </w:pPr>
          </w:p>
        </w:tc>
        <w:tc>
          <w:tcPr>
            <w:tcW w:w="1275" w:type="dxa"/>
            <w:vAlign w:val="center"/>
          </w:tcPr>
          <w:p w14:paraId="149DDD59" w14:textId="77777777" w:rsidR="007B0AB7" w:rsidRDefault="007B0AB7" w:rsidP="007D412A">
            <w:pPr>
              <w:pStyle w:val="TableParagraph"/>
              <w:spacing w:line="230" w:lineRule="exact"/>
              <w:ind w:left="110" w:right="699"/>
              <w:jc w:val="right"/>
              <w:rPr>
                <w:spacing w:val="-2"/>
              </w:rPr>
            </w:pPr>
          </w:p>
        </w:tc>
        <w:tc>
          <w:tcPr>
            <w:tcW w:w="1134" w:type="dxa"/>
            <w:vAlign w:val="center"/>
          </w:tcPr>
          <w:p w14:paraId="07414E04"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F5AA925"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417EB67" w14:textId="77777777" w:rsidR="007B0AB7" w:rsidRDefault="007B0AB7" w:rsidP="007D412A">
            <w:pPr>
              <w:pStyle w:val="TableParagraph"/>
              <w:spacing w:line="230" w:lineRule="exact"/>
              <w:ind w:left="110" w:right="699"/>
              <w:jc w:val="right"/>
              <w:rPr>
                <w:spacing w:val="-2"/>
              </w:rPr>
            </w:pPr>
          </w:p>
        </w:tc>
      </w:tr>
      <w:tr w:rsidR="007B0AB7" w14:paraId="7A2A2B44" w14:textId="77777777" w:rsidTr="007D412A">
        <w:trPr>
          <w:trHeight w:val="553"/>
        </w:trPr>
        <w:tc>
          <w:tcPr>
            <w:tcW w:w="3402" w:type="dxa"/>
            <w:vAlign w:val="center"/>
          </w:tcPr>
          <w:p w14:paraId="56273AF3" w14:textId="77777777" w:rsidR="007B0AB7" w:rsidRPr="00597250" w:rsidRDefault="007B0AB7" w:rsidP="007D412A">
            <w:pPr>
              <w:pStyle w:val="TableParagraph"/>
              <w:spacing w:line="230" w:lineRule="exact"/>
              <w:ind w:left="110" w:right="172"/>
              <w:rPr>
                <w:b/>
                <w:bCs/>
                <w:spacing w:val="-2"/>
              </w:rPr>
            </w:pPr>
            <w:r>
              <w:rPr>
                <w:b/>
                <w:bCs/>
                <w:spacing w:val="-2"/>
              </w:rPr>
              <w:t>AML type, no./no. available (%)</w:t>
            </w:r>
          </w:p>
        </w:tc>
        <w:tc>
          <w:tcPr>
            <w:tcW w:w="1560" w:type="dxa"/>
            <w:vAlign w:val="center"/>
          </w:tcPr>
          <w:p w14:paraId="3A0D5285" w14:textId="77777777" w:rsidR="007B0AB7" w:rsidRDefault="007B0AB7" w:rsidP="007D412A">
            <w:pPr>
              <w:pStyle w:val="TableParagraph"/>
              <w:spacing w:line="230" w:lineRule="exact"/>
              <w:ind w:left="110" w:right="699"/>
              <w:jc w:val="right"/>
              <w:rPr>
                <w:spacing w:val="-2"/>
              </w:rPr>
            </w:pPr>
          </w:p>
        </w:tc>
        <w:tc>
          <w:tcPr>
            <w:tcW w:w="1275" w:type="dxa"/>
            <w:vAlign w:val="center"/>
          </w:tcPr>
          <w:p w14:paraId="2C2394C8" w14:textId="77777777" w:rsidR="007B0AB7" w:rsidRDefault="007B0AB7" w:rsidP="007D412A">
            <w:pPr>
              <w:pStyle w:val="TableParagraph"/>
              <w:spacing w:line="230" w:lineRule="exact"/>
              <w:ind w:left="110" w:right="699"/>
              <w:jc w:val="right"/>
              <w:rPr>
                <w:spacing w:val="-2"/>
              </w:rPr>
            </w:pPr>
          </w:p>
        </w:tc>
        <w:tc>
          <w:tcPr>
            <w:tcW w:w="1134" w:type="dxa"/>
            <w:vAlign w:val="center"/>
          </w:tcPr>
          <w:p w14:paraId="6C0F75AD"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8225074"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7754D7A" w14:textId="77777777" w:rsidR="007B0AB7" w:rsidRDefault="007B0AB7" w:rsidP="007D412A">
            <w:pPr>
              <w:pStyle w:val="TableParagraph"/>
              <w:spacing w:line="230" w:lineRule="exact"/>
              <w:ind w:left="110" w:right="699"/>
              <w:jc w:val="right"/>
              <w:rPr>
                <w:spacing w:val="-2"/>
              </w:rPr>
            </w:pPr>
          </w:p>
        </w:tc>
      </w:tr>
      <w:tr w:rsidR="007B0AB7" w14:paraId="55D68C24" w14:textId="77777777" w:rsidTr="007D412A">
        <w:trPr>
          <w:trHeight w:val="553"/>
        </w:trPr>
        <w:tc>
          <w:tcPr>
            <w:tcW w:w="3402" w:type="dxa"/>
            <w:vAlign w:val="center"/>
          </w:tcPr>
          <w:p w14:paraId="3ECAC9C3" w14:textId="77777777" w:rsidR="007B0AB7" w:rsidRPr="00597250" w:rsidRDefault="007B0AB7" w:rsidP="007D412A">
            <w:pPr>
              <w:pStyle w:val="TableParagraph"/>
              <w:spacing w:line="230" w:lineRule="exact"/>
              <w:ind w:left="110" w:right="172"/>
              <w:rPr>
                <w:spacing w:val="-2"/>
              </w:rPr>
            </w:pPr>
            <w:r>
              <w:rPr>
                <w:spacing w:val="-2"/>
              </w:rPr>
              <w:t>De novo AML</w:t>
            </w:r>
          </w:p>
        </w:tc>
        <w:tc>
          <w:tcPr>
            <w:tcW w:w="1560" w:type="dxa"/>
            <w:vAlign w:val="center"/>
          </w:tcPr>
          <w:p w14:paraId="04AB13A3" w14:textId="77777777" w:rsidR="007B0AB7" w:rsidRDefault="007B0AB7" w:rsidP="007D412A">
            <w:pPr>
              <w:pStyle w:val="TableParagraph"/>
              <w:spacing w:line="230" w:lineRule="exact"/>
              <w:ind w:left="110" w:right="699"/>
              <w:jc w:val="right"/>
              <w:rPr>
                <w:spacing w:val="-2"/>
              </w:rPr>
            </w:pPr>
          </w:p>
        </w:tc>
        <w:tc>
          <w:tcPr>
            <w:tcW w:w="1275" w:type="dxa"/>
            <w:vAlign w:val="center"/>
          </w:tcPr>
          <w:p w14:paraId="321D06DE" w14:textId="77777777" w:rsidR="007B0AB7" w:rsidRDefault="007B0AB7" w:rsidP="007D412A">
            <w:pPr>
              <w:pStyle w:val="TableParagraph"/>
              <w:spacing w:line="230" w:lineRule="exact"/>
              <w:ind w:left="110" w:right="699"/>
              <w:jc w:val="right"/>
              <w:rPr>
                <w:spacing w:val="-2"/>
              </w:rPr>
            </w:pPr>
          </w:p>
        </w:tc>
        <w:tc>
          <w:tcPr>
            <w:tcW w:w="1134" w:type="dxa"/>
            <w:vAlign w:val="center"/>
          </w:tcPr>
          <w:p w14:paraId="1E9D4466"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255B70D"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D5C37D3" w14:textId="77777777" w:rsidR="007B0AB7" w:rsidRDefault="007B0AB7" w:rsidP="007D412A">
            <w:pPr>
              <w:pStyle w:val="TableParagraph"/>
              <w:spacing w:line="230" w:lineRule="exact"/>
              <w:ind w:left="110" w:right="699"/>
              <w:jc w:val="right"/>
              <w:rPr>
                <w:spacing w:val="-2"/>
              </w:rPr>
            </w:pPr>
          </w:p>
        </w:tc>
      </w:tr>
      <w:tr w:rsidR="007B0AB7" w14:paraId="7650D2D3" w14:textId="77777777" w:rsidTr="007D412A">
        <w:trPr>
          <w:trHeight w:val="553"/>
        </w:trPr>
        <w:tc>
          <w:tcPr>
            <w:tcW w:w="3402" w:type="dxa"/>
            <w:vAlign w:val="center"/>
          </w:tcPr>
          <w:p w14:paraId="22CB2FE6" w14:textId="77777777" w:rsidR="007B0AB7" w:rsidRDefault="007B0AB7" w:rsidP="007D412A">
            <w:pPr>
              <w:pStyle w:val="TableParagraph"/>
              <w:spacing w:line="230" w:lineRule="exact"/>
              <w:ind w:left="110" w:right="172"/>
              <w:rPr>
                <w:spacing w:val="-2"/>
              </w:rPr>
            </w:pPr>
            <w:proofErr w:type="spellStart"/>
            <w:r>
              <w:rPr>
                <w:spacing w:val="-2"/>
              </w:rPr>
              <w:t>sAML</w:t>
            </w:r>
            <w:proofErr w:type="spellEnd"/>
          </w:p>
        </w:tc>
        <w:tc>
          <w:tcPr>
            <w:tcW w:w="1560" w:type="dxa"/>
            <w:vAlign w:val="center"/>
          </w:tcPr>
          <w:p w14:paraId="67F956D4"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384FFC5" w14:textId="77777777" w:rsidR="007B0AB7" w:rsidRDefault="007B0AB7" w:rsidP="007D412A">
            <w:pPr>
              <w:pStyle w:val="TableParagraph"/>
              <w:spacing w:line="230" w:lineRule="exact"/>
              <w:ind w:left="110" w:right="699"/>
              <w:jc w:val="right"/>
              <w:rPr>
                <w:spacing w:val="-2"/>
              </w:rPr>
            </w:pPr>
          </w:p>
        </w:tc>
        <w:tc>
          <w:tcPr>
            <w:tcW w:w="1134" w:type="dxa"/>
            <w:vAlign w:val="center"/>
          </w:tcPr>
          <w:p w14:paraId="005512F8"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AC564DF"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1BBA25E" w14:textId="77777777" w:rsidR="007B0AB7" w:rsidRDefault="007B0AB7" w:rsidP="007D412A">
            <w:pPr>
              <w:pStyle w:val="TableParagraph"/>
              <w:spacing w:line="230" w:lineRule="exact"/>
              <w:ind w:left="110" w:right="699"/>
              <w:jc w:val="right"/>
              <w:rPr>
                <w:spacing w:val="-2"/>
              </w:rPr>
            </w:pPr>
          </w:p>
        </w:tc>
      </w:tr>
      <w:tr w:rsidR="007B0AB7" w14:paraId="199F8717" w14:textId="77777777" w:rsidTr="007D412A">
        <w:trPr>
          <w:trHeight w:val="553"/>
        </w:trPr>
        <w:tc>
          <w:tcPr>
            <w:tcW w:w="3402" w:type="dxa"/>
            <w:vAlign w:val="center"/>
          </w:tcPr>
          <w:p w14:paraId="15B4F153" w14:textId="77777777" w:rsidR="007B0AB7" w:rsidRDefault="007B0AB7" w:rsidP="007D412A">
            <w:pPr>
              <w:pStyle w:val="TableParagraph"/>
              <w:spacing w:line="230" w:lineRule="exact"/>
              <w:ind w:left="110" w:right="172"/>
              <w:rPr>
                <w:spacing w:val="-2"/>
              </w:rPr>
            </w:pPr>
            <w:proofErr w:type="spellStart"/>
            <w:r>
              <w:rPr>
                <w:spacing w:val="-2"/>
              </w:rPr>
              <w:t>tAML</w:t>
            </w:r>
            <w:proofErr w:type="spellEnd"/>
          </w:p>
        </w:tc>
        <w:tc>
          <w:tcPr>
            <w:tcW w:w="1560" w:type="dxa"/>
            <w:vAlign w:val="center"/>
          </w:tcPr>
          <w:p w14:paraId="599ABC9E" w14:textId="77777777" w:rsidR="007B0AB7" w:rsidRDefault="007B0AB7" w:rsidP="007D412A">
            <w:pPr>
              <w:pStyle w:val="TableParagraph"/>
              <w:spacing w:line="230" w:lineRule="exact"/>
              <w:ind w:left="110" w:right="699"/>
              <w:jc w:val="right"/>
              <w:rPr>
                <w:spacing w:val="-2"/>
              </w:rPr>
            </w:pPr>
          </w:p>
        </w:tc>
        <w:tc>
          <w:tcPr>
            <w:tcW w:w="1275" w:type="dxa"/>
            <w:vAlign w:val="center"/>
          </w:tcPr>
          <w:p w14:paraId="2042CD78" w14:textId="77777777" w:rsidR="007B0AB7" w:rsidRDefault="007B0AB7" w:rsidP="007D412A">
            <w:pPr>
              <w:pStyle w:val="TableParagraph"/>
              <w:spacing w:line="230" w:lineRule="exact"/>
              <w:ind w:left="110" w:right="699"/>
              <w:jc w:val="right"/>
              <w:rPr>
                <w:spacing w:val="-2"/>
              </w:rPr>
            </w:pPr>
          </w:p>
        </w:tc>
        <w:tc>
          <w:tcPr>
            <w:tcW w:w="1134" w:type="dxa"/>
            <w:vAlign w:val="center"/>
          </w:tcPr>
          <w:p w14:paraId="3DD146CA"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0959731"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5D5E42E" w14:textId="77777777" w:rsidR="007B0AB7" w:rsidRDefault="007B0AB7" w:rsidP="007D412A">
            <w:pPr>
              <w:pStyle w:val="TableParagraph"/>
              <w:spacing w:line="230" w:lineRule="exact"/>
              <w:ind w:left="110" w:right="699"/>
              <w:jc w:val="right"/>
              <w:rPr>
                <w:spacing w:val="-2"/>
              </w:rPr>
            </w:pPr>
          </w:p>
        </w:tc>
      </w:tr>
      <w:tr w:rsidR="007B0AB7" w14:paraId="22F516D5" w14:textId="77777777" w:rsidTr="007D412A">
        <w:trPr>
          <w:trHeight w:val="481"/>
        </w:trPr>
        <w:tc>
          <w:tcPr>
            <w:tcW w:w="3402" w:type="dxa"/>
            <w:vAlign w:val="center"/>
          </w:tcPr>
          <w:p w14:paraId="180E30AF" w14:textId="77777777" w:rsidR="007B0AB7" w:rsidRPr="00597250" w:rsidRDefault="007B0AB7" w:rsidP="007D412A">
            <w:pPr>
              <w:pStyle w:val="TableParagraph"/>
              <w:spacing w:line="230" w:lineRule="exact"/>
              <w:ind w:left="110" w:right="172"/>
              <w:rPr>
                <w:b/>
                <w:bCs/>
                <w:spacing w:val="-2"/>
              </w:rPr>
            </w:pPr>
            <w:r>
              <w:rPr>
                <w:b/>
                <w:bCs/>
                <w:spacing w:val="-2"/>
              </w:rPr>
              <w:t>Cytoreductive agent pretreatment , no./no. available (%)</w:t>
            </w:r>
          </w:p>
        </w:tc>
        <w:tc>
          <w:tcPr>
            <w:tcW w:w="1560" w:type="dxa"/>
            <w:vAlign w:val="center"/>
          </w:tcPr>
          <w:p w14:paraId="736E6D4E"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E645154" w14:textId="77777777" w:rsidR="007B0AB7" w:rsidRDefault="007B0AB7" w:rsidP="007D412A">
            <w:pPr>
              <w:pStyle w:val="TableParagraph"/>
              <w:spacing w:line="230" w:lineRule="exact"/>
              <w:ind w:left="110" w:right="699"/>
              <w:jc w:val="right"/>
              <w:rPr>
                <w:spacing w:val="-2"/>
              </w:rPr>
            </w:pPr>
          </w:p>
        </w:tc>
        <w:tc>
          <w:tcPr>
            <w:tcW w:w="1134" w:type="dxa"/>
            <w:vAlign w:val="center"/>
          </w:tcPr>
          <w:p w14:paraId="1990F76F"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97110CC"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19E5A25" w14:textId="77777777" w:rsidR="007B0AB7" w:rsidRDefault="007B0AB7" w:rsidP="007D412A">
            <w:pPr>
              <w:pStyle w:val="TableParagraph"/>
              <w:spacing w:line="230" w:lineRule="exact"/>
              <w:ind w:left="110" w:right="699"/>
              <w:jc w:val="right"/>
              <w:rPr>
                <w:spacing w:val="-2"/>
              </w:rPr>
            </w:pPr>
          </w:p>
        </w:tc>
      </w:tr>
      <w:tr w:rsidR="007B0AB7" w14:paraId="32258A89" w14:textId="77777777" w:rsidTr="007D412A">
        <w:trPr>
          <w:trHeight w:val="553"/>
        </w:trPr>
        <w:tc>
          <w:tcPr>
            <w:tcW w:w="3402" w:type="dxa"/>
            <w:vAlign w:val="center"/>
          </w:tcPr>
          <w:p w14:paraId="2F79B79B" w14:textId="77777777" w:rsidR="007B0AB7" w:rsidRPr="00597250" w:rsidRDefault="007B0AB7" w:rsidP="007D412A">
            <w:pPr>
              <w:pStyle w:val="TableParagraph"/>
              <w:spacing w:line="230" w:lineRule="exact"/>
              <w:ind w:left="110" w:right="172"/>
              <w:rPr>
                <w:spacing w:val="-2"/>
              </w:rPr>
            </w:pPr>
            <w:r>
              <w:rPr>
                <w:spacing w:val="-2"/>
              </w:rPr>
              <w:t>Hydroxyurea</w:t>
            </w:r>
          </w:p>
        </w:tc>
        <w:tc>
          <w:tcPr>
            <w:tcW w:w="1560" w:type="dxa"/>
            <w:vAlign w:val="center"/>
          </w:tcPr>
          <w:p w14:paraId="6B85810F" w14:textId="77777777" w:rsidR="007B0AB7" w:rsidRDefault="007B0AB7" w:rsidP="007D412A">
            <w:pPr>
              <w:pStyle w:val="TableParagraph"/>
              <w:spacing w:line="230" w:lineRule="exact"/>
              <w:ind w:left="110" w:right="699"/>
              <w:jc w:val="right"/>
              <w:rPr>
                <w:spacing w:val="-2"/>
              </w:rPr>
            </w:pPr>
          </w:p>
        </w:tc>
        <w:tc>
          <w:tcPr>
            <w:tcW w:w="1275" w:type="dxa"/>
            <w:vAlign w:val="center"/>
          </w:tcPr>
          <w:p w14:paraId="7BB50EC9" w14:textId="77777777" w:rsidR="007B0AB7" w:rsidRDefault="007B0AB7" w:rsidP="007D412A">
            <w:pPr>
              <w:pStyle w:val="TableParagraph"/>
              <w:spacing w:line="230" w:lineRule="exact"/>
              <w:ind w:left="110" w:right="699"/>
              <w:jc w:val="right"/>
              <w:rPr>
                <w:spacing w:val="-2"/>
              </w:rPr>
            </w:pPr>
          </w:p>
        </w:tc>
        <w:tc>
          <w:tcPr>
            <w:tcW w:w="1134" w:type="dxa"/>
            <w:vAlign w:val="center"/>
          </w:tcPr>
          <w:p w14:paraId="6C053C43"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FE5D14D"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E9B2D4C" w14:textId="77777777" w:rsidR="007B0AB7" w:rsidRDefault="007B0AB7" w:rsidP="007D412A">
            <w:pPr>
              <w:pStyle w:val="TableParagraph"/>
              <w:spacing w:line="230" w:lineRule="exact"/>
              <w:ind w:left="110" w:right="699"/>
              <w:jc w:val="right"/>
              <w:rPr>
                <w:spacing w:val="-2"/>
              </w:rPr>
            </w:pPr>
          </w:p>
        </w:tc>
      </w:tr>
      <w:tr w:rsidR="007B0AB7" w14:paraId="1982EB45" w14:textId="77777777" w:rsidTr="007D412A">
        <w:trPr>
          <w:trHeight w:val="553"/>
        </w:trPr>
        <w:tc>
          <w:tcPr>
            <w:tcW w:w="3402" w:type="dxa"/>
            <w:vAlign w:val="center"/>
          </w:tcPr>
          <w:p w14:paraId="65408003" w14:textId="77777777" w:rsidR="007B0AB7" w:rsidRDefault="007B0AB7" w:rsidP="007D412A">
            <w:pPr>
              <w:pStyle w:val="TableParagraph"/>
              <w:spacing w:line="230" w:lineRule="exact"/>
              <w:ind w:left="110" w:right="172"/>
              <w:rPr>
                <w:spacing w:val="-2"/>
              </w:rPr>
            </w:pPr>
            <w:r>
              <w:rPr>
                <w:spacing w:val="-2"/>
              </w:rPr>
              <w:t>Cytarabine</w:t>
            </w:r>
          </w:p>
        </w:tc>
        <w:tc>
          <w:tcPr>
            <w:tcW w:w="1560" w:type="dxa"/>
            <w:vAlign w:val="center"/>
          </w:tcPr>
          <w:p w14:paraId="767BCF8C" w14:textId="77777777" w:rsidR="007B0AB7" w:rsidRDefault="007B0AB7" w:rsidP="007D412A">
            <w:pPr>
              <w:pStyle w:val="TableParagraph"/>
              <w:spacing w:line="230" w:lineRule="exact"/>
              <w:ind w:left="110" w:right="699"/>
              <w:jc w:val="right"/>
              <w:rPr>
                <w:spacing w:val="-2"/>
              </w:rPr>
            </w:pPr>
          </w:p>
        </w:tc>
        <w:tc>
          <w:tcPr>
            <w:tcW w:w="1275" w:type="dxa"/>
            <w:vAlign w:val="center"/>
          </w:tcPr>
          <w:p w14:paraId="06D6339C" w14:textId="77777777" w:rsidR="007B0AB7" w:rsidRDefault="007B0AB7" w:rsidP="007D412A">
            <w:pPr>
              <w:pStyle w:val="TableParagraph"/>
              <w:spacing w:line="230" w:lineRule="exact"/>
              <w:ind w:left="110" w:right="699"/>
              <w:jc w:val="right"/>
              <w:rPr>
                <w:spacing w:val="-2"/>
              </w:rPr>
            </w:pPr>
          </w:p>
        </w:tc>
        <w:tc>
          <w:tcPr>
            <w:tcW w:w="1134" w:type="dxa"/>
            <w:vAlign w:val="center"/>
          </w:tcPr>
          <w:p w14:paraId="6286A3FD"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24E0337"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5DE3ACE" w14:textId="77777777" w:rsidR="007B0AB7" w:rsidRDefault="007B0AB7" w:rsidP="007D412A">
            <w:pPr>
              <w:pStyle w:val="TableParagraph"/>
              <w:spacing w:line="230" w:lineRule="exact"/>
              <w:ind w:left="110" w:right="699"/>
              <w:jc w:val="right"/>
              <w:rPr>
                <w:spacing w:val="-2"/>
              </w:rPr>
            </w:pPr>
          </w:p>
        </w:tc>
      </w:tr>
      <w:tr w:rsidR="007B0AB7" w14:paraId="65590625" w14:textId="77777777" w:rsidTr="007D412A">
        <w:trPr>
          <w:trHeight w:val="553"/>
        </w:trPr>
        <w:tc>
          <w:tcPr>
            <w:tcW w:w="3402" w:type="dxa"/>
            <w:vAlign w:val="center"/>
          </w:tcPr>
          <w:p w14:paraId="4E888843" w14:textId="77777777" w:rsidR="007B0AB7" w:rsidRPr="00597250" w:rsidRDefault="007B0AB7" w:rsidP="007D412A">
            <w:pPr>
              <w:pStyle w:val="TableParagraph"/>
              <w:spacing w:line="230" w:lineRule="exact"/>
              <w:ind w:left="110" w:right="172"/>
              <w:rPr>
                <w:b/>
                <w:bCs/>
                <w:i/>
                <w:iCs/>
                <w:spacing w:val="-2"/>
              </w:rPr>
            </w:pPr>
            <w:r>
              <w:rPr>
                <w:b/>
                <w:bCs/>
                <w:spacing w:val="-2"/>
              </w:rPr>
              <w:lastRenderedPageBreak/>
              <w:t>TDT, d</w:t>
            </w:r>
          </w:p>
        </w:tc>
        <w:tc>
          <w:tcPr>
            <w:tcW w:w="1560" w:type="dxa"/>
            <w:vAlign w:val="center"/>
          </w:tcPr>
          <w:p w14:paraId="66E05624"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755A12F" w14:textId="77777777" w:rsidR="007B0AB7" w:rsidRDefault="007B0AB7" w:rsidP="007D412A">
            <w:pPr>
              <w:pStyle w:val="TableParagraph"/>
              <w:spacing w:line="230" w:lineRule="exact"/>
              <w:ind w:left="110" w:right="699"/>
              <w:jc w:val="right"/>
              <w:rPr>
                <w:spacing w:val="-2"/>
              </w:rPr>
            </w:pPr>
          </w:p>
        </w:tc>
        <w:tc>
          <w:tcPr>
            <w:tcW w:w="1134" w:type="dxa"/>
            <w:vAlign w:val="center"/>
          </w:tcPr>
          <w:p w14:paraId="3B155673"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CA25378"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A68E654" w14:textId="77777777" w:rsidR="007B0AB7" w:rsidRDefault="007B0AB7" w:rsidP="007D412A">
            <w:pPr>
              <w:pStyle w:val="TableParagraph"/>
              <w:spacing w:line="230" w:lineRule="exact"/>
              <w:ind w:left="110" w:right="699"/>
              <w:jc w:val="right"/>
              <w:rPr>
                <w:spacing w:val="-2"/>
              </w:rPr>
            </w:pPr>
          </w:p>
        </w:tc>
      </w:tr>
      <w:tr w:rsidR="007B0AB7" w14:paraId="5F995FF2" w14:textId="77777777" w:rsidTr="007D412A">
        <w:trPr>
          <w:trHeight w:val="553"/>
        </w:trPr>
        <w:tc>
          <w:tcPr>
            <w:tcW w:w="3402" w:type="dxa"/>
            <w:vAlign w:val="center"/>
          </w:tcPr>
          <w:p w14:paraId="234DAD48" w14:textId="77777777" w:rsidR="007B0AB7" w:rsidRPr="00597250" w:rsidRDefault="007B0AB7" w:rsidP="007D412A">
            <w:pPr>
              <w:pStyle w:val="TableParagraph"/>
              <w:spacing w:line="230" w:lineRule="exact"/>
              <w:ind w:left="110" w:right="172"/>
              <w:rPr>
                <w:spacing w:val="-2"/>
              </w:rPr>
            </w:pPr>
            <w:r>
              <w:rPr>
                <w:spacing w:val="-2"/>
              </w:rPr>
              <w:t>Mean (SD)</w:t>
            </w:r>
          </w:p>
        </w:tc>
        <w:tc>
          <w:tcPr>
            <w:tcW w:w="1560" w:type="dxa"/>
            <w:vAlign w:val="center"/>
          </w:tcPr>
          <w:p w14:paraId="75FD75F3" w14:textId="77777777" w:rsidR="007B0AB7" w:rsidRDefault="007B0AB7" w:rsidP="007D412A">
            <w:pPr>
              <w:pStyle w:val="TableParagraph"/>
              <w:spacing w:line="230" w:lineRule="exact"/>
              <w:ind w:left="110" w:right="699"/>
              <w:jc w:val="right"/>
              <w:rPr>
                <w:spacing w:val="-2"/>
              </w:rPr>
            </w:pPr>
          </w:p>
        </w:tc>
        <w:tc>
          <w:tcPr>
            <w:tcW w:w="1275" w:type="dxa"/>
            <w:vAlign w:val="center"/>
          </w:tcPr>
          <w:p w14:paraId="17A2E078" w14:textId="77777777" w:rsidR="007B0AB7" w:rsidRDefault="007B0AB7" w:rsidP="007D412A">
            <w:pPr>
              <w:pStyle w:val="TableParagraph"/>
              <w:spacing w:line="230" w:lineRule="exact"/>
              <w:ind w:left="110" w:right="699"/>
              <w:jc w:val="right"/>
              <w:rPr>
                <w:spacing w:val="-2"/>
              </w:rPr>
            </w:pPr>
          </w:p>
        </w:tc>
        <w:tc>
          <w:tcPr>
            <w:tcW w:w="1134" w:type="dxa"/>
            <w:vAlign w:val="center"/>
          </w:tcPr>
          <w:p w14:paraId="5E8A125D"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1EF7185"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9E2DF33" w14:textId="77777777" w:rsidR="007B0AB7" w:rsidRDefault="007B0AB7" w:rsidP="007D412A">
            <w:pPr>
              <w:pStyle w:val="TableParagraph"/>
              <w:spacing w:line="230" w:lineRule="exact"/>
              <w:ind w:left="110" w:right="699"/>
              <w:jc w:val="right"/>
              <w:rPr>
                <w:spacing w:val="-2"/>
              </w:rPr>
            </w:pPr>
          </w:p>
        </w:tc>
      </w:tr>
      <w:tr w:rsidR="007B0AB7" w14:paraId="766AF24D" w14:textId="77777777" w:rsidTr="007D412A">
        <w:trPr>
          <w:trHeight w:val="553"/>
        </w:trPr>
        <w:tc>
          <w:tcPr>
            <w:tcW w:w="3402" w:type="dxa"/>
            <w:vAlign w:val="center"/>
          </w:tcPr>
          <w:p w14:paraId="1A02BE81" w14:textId="77777777" w:rsidR="007B0AB7" w:rsidRDefault="007B0AB7" w:rsidP="007D412A">
            <w:pPr>
              <w:pStyle w:val="TableParagraph"/>
              <w:spacing w:line="230" w:lineRule="exact"/>
              <w:ind w:left="110" w:right="172"/>
              <w:rPr>
                <w:spacing w:val="-2"/>
              </w:rPr>
            </w:pPr>
            <w:r>
              <w:rPr>
                <w:spacing w:val="-2"/>
              </w:rPr>
              <w:t>Median (IQR)</w:t>
            </w:r>
          </w:p>
        </w:tc>
        <w:tc>
          <w:tcPr>
            <w:tcW w:w="1560" w:type="dxa"/>
            <w:vAlign w:val="center"/>
          </w:tcPr>
          <w:p w14:paraId="76530A71"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AC47800" w14:textId="77777777" w:rsidR="007B0AB7" w:rsidRDefault="007B0AB7" w:rsidP="007D412A">
            <w:pPr>
              <w:pStyle w:val="TableParagraph"/>
              <w:spacing w:line="230" w:lineRule="exact"/>
              <w:ind w:left="110" w:right="699"/>
              <w:jc w:val="right"/>
              <w:rPr>
                <w:spacing w:val="-2"/>
              </w:rPr>
            </w:pPr>
          </w:p>
        </w:tc>
        <w:tc>
          <w:tcPr>
            <w:tcW w:w="1134" w:type="dxa"/>
            <w:vAlign w:val="center"/>
          </w:tcPr>
          <w:p w14:paraId="0E3C87DF"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33530D5"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A9F2568" w14:textId="77777777" w:rsidR="007B0AB7" w:rsidRDefault="007B0AB7" w:rsidP="007D412A">
            <w:pPr>
              <w:pStyle w:val="TableParagraph"/>
              <w:spacing w:line="230" w:lineRule="exact"/>
              <w:ind w:left="110" w:right="699"/>
              <w:jc w:val="right"/>
              <w:rPr>
                <w:spacing w:val="-2"/>
              </w:rPr>
            </w:pPr>
          </w:p>
        </w:tc>
      </w:tr>
      <w:tr w:rsidR="007B0AB7" w14:paraId="0B99ECAC" w14:textId="77777777" w:rsidTr="007D412A">
        <w:trPr>
          <w:trHeight w:val="553"/>
        </w:trPr>
        <w:tc>
          <w:tcPr>
            <w:tcW w:w="3402" w:type="dxa"/>
            <w:vAlign w:val="center"/>
          </w:tcPr>
          <w:p w14:paraId="7FDE66E9" w14:textId="77777777" w:rsidR="007B0AB7" w:rsidRPr="00597250" w:rsidRDefault="007B0AB7" w:rsidP="007D412A">
            <w:pPr>
              <w:pStyle w:val="TableParagraph"/>
              <w:spacing w:line="230" w:lineRule="exact"/>
              <w:ind w:left="110" w:right="172"/>
              <w:rPr>
                <w:b/>
                <w:bCs/>
                <w:i/>
                <w:iCs/>
                <w:spacing w:val="-2"/>
              </w:rPr>
            </w:pPr>
            <w:r>
              <w:rPr>
                <w:b/>
                <w:bCs/>
                <w:spacing w:val="-2"/>
              </w:rPr>
              <w:t>WBC, x10</w:t>
            </w:r>
            <w:r w:rsidRPr="004152BE">
              <w:rPr>
                <w:b/>
                <w:bCs/>
                <w:spacing w:val="-2"/>
                <w:vertAlign w:val="superscript"/>
              </w:rPr>
              <w:t>9</w:t>
            </w:r>
            <w:r>
              <w:rPr>
                <w:b/>
                <w:bCs/>
                <w:spacing w:val="-2"/>
              </w:rPr>
              <w:t>/L</w:t>
            </w:r>
          </w:p>
        </w:tc>
        <w:tc>
          <w:tcPr>
            <w:tcW w:w="1560" w:type="dxa"/>
            <w:vAlign w:val="center"/>
          </w:tcPr>
          <w:p w14:paraId="121EEAEA"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726C6A2" w14:textId="77777777" w:rsidR="007B0AB7" w:rsidRDefault="007B0AB7" w:rsidP="007D412A">
            <w:pPr>
              <w:pStyle w:val="TableParagraph"/>
              <w:spacing w:line="230" w:lineRule="exact"/>
              <w:ind w:left="110" w:right="699"/>
              <w:jc w:val="right"/>
              <w:rPr>
                <w:spacing w:val="-2"/>
              </w:rPr>
            </w:pPr>
          </w:p>
        </w:tc>
        <w:tc>
          <w:tcPr>
            <w:tcW w:w="1134" w:type="dxa"/>
            <w:vAlign w:val="center"/>
          </w:tcPr>
          <w:p w14:paraId="359F1476"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2E0C404"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3CC9C6D" w14:textId="77777777" w:rsidR="007B0AB7" w:rsidRDefault="007B0AB7" w:rsidP="007D412A">
            <w:pPr>
              <w:pStyle w:val="TableParagraph"/>
              <w:spacing w:line="230" w:lineRule="exact"/>
              <w:ind w:left="110" w:right="699"/>
              <w:jc w:val="right"/>
              <w:rPr>
                <w:spacing w:val="-2"/>
              </w:rPr>
            </w:pPr>
          </w:p>
        </w:tc>
      </w:tr>
      <w:tr w:rsidR="007B0AB7" w14:paraId="5B70DA0F" w14:textId="77777777" w:rsidTr="007D412A">
        <w:trPr>
          <w:trHeight w:val="553"/>
        </w:trPr>
        <w:tc>
          <w:tcPr>
            <w:tcW w:w="3402" w:type="dxa"/>
            <w:vAlign w:val="center"/>
          </w:tcPr>
          <w:p w14:paraId="2B194BB1" w14:textId="77777777" w:rsidR="007B0AB7" w:rsidRPr="00597250" w:rsidRDefault="007B0AB7" w:rsidP="007D412A">
            <w:pPr>
              <w:pStyle w:val="TableParagraph"/>
              <w:spacing w:line="230" w:lineRule="exact"/>
              <w:ind w:left="110" w:right="172"/>
              <w:rPr>
                <w:spacing w:val="-2"/>
              </w:rPr>
            </w:pPr>
            <w:r>
              <w:rPr>
                <w:spacing w:val="-2"/>
              </w:rPr>
              <w:t>Mean (SD)</w:t>
            </w:r>
          </w:p>
        </w:tc>
        <w:tc>
          <w:tcPr>
            <w:tcW w:w="1560" w:type="dxa"/>
            <w:vAlign w:val="center"/>
          </w:tcPr>
          <w:p w14:paraId="04798A8A"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5C47D51" w14:textId="77777777" w:rsidR="007B0AB7" w:rsidRDefault="007B0AB7" w:rsidP="007D412A">
            <w:pPr>
              <w:pStyle w:val="TableParagraph"/>
              <w:spacing w:line="230" w:lineRule="exact"/>
              <w:ind w:left="110" w:right="699"/>
              <w:jc w:val="right"/>
              <w:rPr>
                <w:spacing w:val="-2"/>
              </w:rPr>
            </w:pPr>
          </w:p>
        </w:tc>
        <w:tc>
          <w:tcPr>
            <w:tcW w:w="1134" w:type="dxa"/>
            <w:vAlign w:val="center"/>
          </w:tcPr>
          <w:p w14:paraId="1E085436"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0934F8B"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E5F5C9D" w14:textId="77777777" w:rsidR="007B0AB7" w:rsidRDefault="007B0AB7" w:rsidP="007D412A">
            <w:pPr>
              <w:pStyle w:val="TableParagraph"/>
              <w:spacing w:line="230" w:lineRule="exact"/>
              <w:ind w:left="110" w:right="699"/>
              <w:jc w:val="right"/>
              <w:rPr>
                <w:spacing w:val="-2"/>
              </w:rPr>
            </w:pPr>
          </w:p>
        </w:tc>
      </w:tr>
      <w:tr w:rsidR="007B0AB7" w14:paraId="12920E9B" w14:textId="77777777" w:rsidTr="007D412A">
        <w:trPr>
          <w:trHeight w:val="553"/>
        </w:trPr>
        <w:tc>
          <w:tcPr>
            <w:tcW w:w="3402" w:type="dxa"/>
            <w:vAlign w:val="center"/>
          </w:tcPr>
          <w:p w14:paraId="136A685D" w14:textId="77777777" w:rsidR="007B0AB7" w:rsidRDefault="007B0AB7" w:rsidP="007D412A">
            <w:pPr>
              <w:pStyle w:val="TableParagraph"/>
              <w:spacing w:line="230" w:lineRule="exact"/>
              <w:ind w:left="110" w:right="172"/>
              <w:rPr>
                <w:spacing w:val="-2"/>
              </w:rPr>
            </w:pPr>
            <w:r>
              <w:rPr>
                <w:spacing w:val="-2"/>
              </w:rPr>
              <w:t>Median (IQR)</w:t>
            </w:r>
          </w:p>
        </w:tc>
        <w:tc>
          <w:tcPr>
            <w:tcW w:w="1560" w:type="dxa"/>
            <w:vAlign w:val="center"/>
          </w:tcPr>
          <w:p w14:paraId="74327560"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ECDC98D" w14:textId="77777777" w:rsidR="007B0AB7" w:rsidRDefault="007B0AB7" w:rsidP="007D412A">
            <w:pPr>
              <w:pStyle w:val="TableParagraph"/>
              <w:spacing w:line="230" w:lineRule="exact"/>
              <w:ind w:left="110" w:right="699"/>
              <w:jc w:val="right"/>
              <w:rPr>
                <w:spacing w:val="-2"/>
              </w:rPr>
            </w:pPr>
          </w:p>
        </w:tc>
        <w:tc>
          <w:tcPr>
            <w:tcW w:w="1134" w:type="dxa"/>
            <w:vAlign w:val="center"/>
          </w:tcPr>
          <w:p w14:paraId="47BA12CB"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86FD727"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59DD21B" w14:textId="77777777" w:rsidR="007B0AB7" w:rsidRDefault="007B0AB7" w:rsidP="007D412A">
            <w:pPr>
              <w:pStyle w:val="TableParagraph"/>
              <w:spacing w:line="230" w:lineRule="exact"/>
              <w:ind w:left="110" w:right="699"/>
              <w:jc w:val="right"/>
              <w:rPr>
                <w:spacing w:val="-2"/>
              </w:rPr>
            </w:pPr>
          </w:p>
        </w:tc>
      </w:tr>
      <w:tr w:rsidR="007B0AB7" w14:paraId="17A16CF0" w14:textId="77777777" w:rsidTr="007D412A">
        <w:trPr>
          <w:trHeight w:val="553"/>
        </w:trPr>
        <w:tc>
          <w:tcPr>
            <w:tcW w:w="3402" w:type="dxa"/>
            <w:vAlign w:val="center"/>
          </w:tcPr>
          <w:p w14:paraId="08471E03" w14:textId="77777777" w:rsidR="007B0AB7" w:rsidRPr="00597250" w:rsidRDefault="007B0AB7" w:rsidP="007D412A">
            <w:pPr>
              <w:pStyle w:val="TableParagraph"/>
              <w:spacing w:line="230" w:lineRule="exact"/>
              <w:ind w:left="110" w:right="172"/>
              <w:rPr>
                <w:b/>
                <w:bCs/>
                <w:spacing w:val="-2"/>
              </w:rPr>
            </w:pPr>
            <w:r>
              <w:rPr>
                <w:b/>
                <w:bCs/>
                <w:spacing w:val="-2"/>
              </w:rPr>
              <w:t>HL, no./no. available (%)</w:t>
            </w:r>
          </w:p>
        </w:tc>
        <w:tc>
          <w:tcPr>
            <w:tcW w:w="1560" w:type="dxa"/>
            <w:vAlign w:val="center"/>
          </w:tcPr>
          <w:p w14:paraId="2B571A6E"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79DB06C" w14:textId="77777777" w:rsidR="007B0AB7" w:rsidRDefault="007B0AB7" w:rsidP="007D412A">
            <w:pPr>
              <w:pStyle w:val="TableParagraph"/>
              <w:spacing w:line="230" w:lineRule="exact"/>
              <w:ind w:left="110" w:right="699"/>
              <w:jc w:val="right"/>
              <w:rPr>
                <w:spacing w:val="-2"/>
              </w:rPr>
            </w:pPr>
          </w:p>
        </w:tc>
        <w:tc>
          <w:tcPr>
            <w:tcW w:w="1134" w:type="dxa"/>
            <w:vAlign w:val="center"/>
          </w:tcPr>
          <w:p w14:paraId="0785FD7F"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A5AB7F2"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54F8B57" w14:textId="77777777" w:rsidR="007B0AB7" w:rsidRDefault="007B0AB7" w:rsidP="007D412A">
            <w:pPr>
              <w:pStyle w:val="TableParagraph"/>
              <w:spacing w:line="230" w:lineRule="exact"/>
              <w:ind w:left="110" w:right="699"/>
              <w:jc w:val="right"/>
              <w:rPr>
                <w:spacing w:val="-2"/>
              </w:rPr>
            </w:pPr>
          </w:p>
        </w:tc>
      </w:tr>
      <w:tr w:rsidR="007B0AB7" w14:paraId="1F20FFFF" w14:textId="77777777" w:rsidTr="007D412A">
        <w:trPr>
          <w:trHeight w:val="553"/>
        </w:trPr>
        <w:tc>
          <w:tcPr>
            <w:tcW w:w="3402" w:type="dxa"/>
            <w:vAlign w:val="center"/>
          </w:tcPr>
          <w:p w14:paraId="26DCEEFB" w14:textId="77777777" w:rsidR="007B0AB7" w:rsidRPr="00597250" w:rsidRDefault="007B0AB7" w:rsidP="007D412A">
            <w:pPr>
              <w:pStyle w:val="TableParagraph"/>
              <w:spacing w:line="230" w:lineRule="exact"/>
              <w:ind w:left="110" w:right="172"/>
              <w:rPr>
                <w:b/>
                <w:bCs/>
                <w:i/>
                <w:iCs/>
                <w:spacing w:val="-2"/>
              </w:rPr>
            </w:pPr>
            <w:r>
              <w:rPr>
                <w:b/>
                <w:bCs/>
                <w:spacing w:val="-2"/>
              </w:rPr>
              <w:t>LDH, U/L</w:t>
            </w:r>
          </w:p>
        </w:tc>
        <w:tc>
          <w:tcPr>
            <w:tcW w:w="1560" w:type="dxa"/>
            <w:vAlign w:val="center"/>
          </w:tcPr>
          <w:p w14:paraId="04C8EB14" w14:textId="77777777" w:rsidR="007B0AB7" w:rsidRDefault="007B0AB7" w:rsidP="007D412A">
            <w:pPr>
              <w:pStyle w:val="TableParagraph"/>
              <w:spacing w:line="230" w:lineRule="exact"/>
              <w:ind w:left="110" w:right="699"/>
              <w:jc w:val="right"/>
              <w:rPr>
                <w:spacing w:val="-2"/>
              </w:rPr>
            </w:pPr>
          </w:p>
        </w:tc>
        <w:tc>
          <w:tcPr>
            <w:tcW w:w="1275" w:type="dxa"/>
            <w:vAlign w:val="center"/>
          </w:tcPr>
          <w:p w14:paraId="2AEF1437" w14:textId="77777777" w:rsidR="007B0AB7" w:rsidRDefault="007B0AB7" w:rsidP="007D412A">
            <w:pPr>
              <w:pStyle w:val="TableParagraph"/>
              <w:spacing w:line="230" w:lineRule="exact"/>
              <w:ind w:left="110" w:right="699"/>
              <w:jc w:val="right"/>
              <w:rPr>
                <w:spacing w:val="-2"/>
              </w:rPr>
            </w:pPr>
          </w:p>
        </w:tc>
        <w:tc>
          <w:tcPr>
            <w:tcW w:w="1134" w:type="dxa"/>
            <w:vAlign w:val="center"/>
          </w:tcPr>
          <w:p w14:paraId="30E7536E"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5786772"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7255B00" w14:textId="77777777" w:rsidR="007B0AB7" w:rsidRDefault="007B0AB7" w:rsidP="007D412A">
            <w:pPr>
              <w:pStyle w:val="TableParagraph"/>
              <w:spacing w:line="230" w:lineRule="exact"/>
              <w:ind w:left="110" w:right="699"/>
              <w:jc w:val="right"/>
              <w:rPr>
                <w:spacing w:val="-2"/>
              </w:rPr>
            </w:pPr>
          </w:p>
        </w:tc>
      </w:tr>
      <w:tr w:rsidR="007B0AB7" w14:paraId="03EC3928" w14:textId="77777777" w:rsidTr="007D412A">
        <w:trPr>
          <w:trHeight w:val="553"/>
        </w:trPr>
        <w:tc>
          <w:tcPr>
            <w:tcW w:w="3402" w:type="dxa"/>
            <w:vAlign w:val="center"/>
          </w:tcPr>
          <w:p w14:paraId="500989D1" w14:textId="77777777" w:rsidR="007B0AB7" w:rsidRPr="00597250" w:rsidRDefault="007B0AB7" w:rsidP="007D412A">
            <w:pPr>
              <w:pStyle w:val="TableParagraph"/>
              <w:spacing w:line="230" w:lineRule="exact"/>
              <w:ind w:left="110" w:right="172"/>
              <w:rPr>
                <w:spacing w:val="-2"/>
              </w:rPr>
            </w:pPr>
            <w:r>
              <w:rPr>
                <w:spacing w:val="-2"/>
              </w:rPr>
              <w:t>Mean (SD)</w:t>
            </w:r>
          </w:p>
        </w:tc>
        <w:tc>
          <w:tcPr>
            <w:tcW w:w="1560" w:type="dxa"/>
            <w:vAlign w:val="center"/>
          </w:tcPr>
          <w:p w14:paraId="18F8E8E6" w14:textId="77777777" w:rsidR="007B0AB7" w:rsidRDefault="007B0AB7" w:rsidP="007D412A">
            <w:pPr>
              <w:pStyle w:val="TableParagraph"/>
              <w:spacing w:line="230" w:lineRule="exact"/>
              <w:ind w:left="110" w:right="699"/>
              <w:jc w:val="right"/>
              <w:rPr>
                <w:spacing w:val="-2"/>
              </w:rPr>
            </w:pPr>
          </w:p>
        </w:tc>
        <w:tc>
          <w:tcPr>
            <w:tcW w:w="1275" w:type="dxa"/>
            <w:vAlign w:val="center"/>
          </w:tcPr>
          <w:p w14:paraId="200B8E75" w14:textId="77777777" w:rsidR="007B0AB7" w:rsidRDefault="007B0AB7" w:rsidP="007D412A">
            <w:pPr>
              <w:pStyle w:val="TableParagraph"/>
              <w:spacing w:line="230" w:lineRule="exact"/>
              <w:ind w:left="110" w:right="699"/>
              <w:jc w:val="right"/>
              <w:rPr>
                <w:spacing w:val="-2"/>
              </w:rPr>
            </w:pPr>
          </w:p>
        </w:tc>
        <w:tc>
          <w:tcPr>
            <w:tcW w:w="1134" w:type="dxa"/>
            <w:vAlign w:val="center"/>
          </w:tcPr>
          <w:p w14:paraId="7664DC3E"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6622A24"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EF7650B" w14:textId="77777777" w:rsidR="007B0AB7" w:rsidRDefault="007B0AB7" w:rsidP="007D412A">
            <w:pPr>
              <w:pStyle w:val="TableParagraph"/>
              <w:spacing w:line="230" w:lineRule="exact"/>
              <w:ind w:left="110" w:right="699"/>
              <w:jc w:val="right"/>
              <w:rPr>
                <w:spacing w:val="-2"/>
              </w:rPr>
            </w:pPr>
          </w:p>
        </w:tc>
      </w:tr>
      <w:tr w:rsidR="007B0AB7" w14:paraId="4C2E336D" w14:textId="77777777" w:rsidTr="007D412A">
        <w:trPr>
          <w:trHeight w:val="553"/>
        </w:trPr>
        <w:tc>
          <w:tcPr>
            <w:tcW w:w="3402" w:type="dxa"/>
            <w:vAlign w:val="center"/>
          </w:tcPr>
          <w:p w14:paraId="18596510" w14:textId="77777777" w:rsidR="007B0AB7" w:rsidRDefault="007B0AB7" w:rsidP="007D412A">
            <w:pPr>
              <w:pStyle w:val="TableParagraph"/>
              <w:spacing w:line="230" w:lineRule="exact"/>
              <w:ind w:left="110" w:right="172"/>
              <w:rPr>
                <w:spacing w:val="-2"/>
              </w:rPr>
            </w:pPr>
            <w:r>
              <w:rPr>
                <w:spacing w:val="-2"/>
              </w:rPr>
              <w:t>Median (IQR)</w:t>
            </w:r>
          </w:p>
        </w:tc>
        <w:tc>
          <w:tcPr>
            <w:tcW w:w="1560" w:type="dxa"/>
            <w:vAlign w:val="center"/>
          </w:tcPr>
          <w:p w14:paraId="3886CCC3" w14:textId="77777777" w:rsidR="007B0AB7" w:rsidRDefault="007B0AB7" w:rsidP="007D412A">
            <w:pPr>
              <w:pStyle w:val="TableParagraph"/>
              <w:spacing w:line="230" w:lineRule="exact"/>
              <w:ind w:left="110" w:right="699"/>
              <w:jc w:val="right"/>
              <w:rPr>
                <w:spacing w:val="-2"/>
              </w:rPr>
            </w:pPr>
          </w:p>
        </w:tc>
        <w:tc>
          <w:tcPr>
            <w:tcW w:w="1275" w:type="dxa"/>
            <w:vAlign w:val="center"/>
          </w:tcPr>
          <w:p w14:paraId="266A264A" w14:textId="77777777" w:rsidR="007B0AB7" w:rsidRDefault="007B0AB7" w:rsidP="007D412A">
            <w:pPr>
              <w:pStyle w:val="TableParagraph"/>
              <w:spacing w:line="230" w:lineRule="exact"/>
              <w:ind w:left="110" w:right="699"/>
              <w:jc w:val="right"/>
              <w:rPr>
                <w:spacing w:val="-2"/>
              </w:rPr>
            </w:pPr>
          </w:p>
        </w:tc>
        <w:tc>
          <w:tcPr>
            <w:tcW w:w="1134" w:type="dxa"/>
            <w:vAlign w:val="center"/>
          </w:tcPr>
          <w:p w14:paraId="514BA95E"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EAD55BC"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ABEFE4A" w14:textId="77777777" w:rsidR="007B0AB7" w:rsidRDefault="007B0AB7" w:rsidP="007D412A">
            <w:pPr>
              <w:pStyle w:val="TableParagraph"/>
              <w:spacing w:line="230" w:lineRule="exact"/>
              <w:ind w:left="110" w:right="699"/>
              <w:jc w:val="right"/>
              <w:rPr>
                <w:spacing w:val="-2"/>
              </w:rPr>
            </w:pPr>
          </w:p>
        </w:tc>
      </w:tr>
      <w:tr w:rsidR="007B0AB7" w14:paraId="736C08F6" w14:textId="77777777" w:rsidTr="007D412A">
        <w:trPr>
          <w:trHeight w:val="553"/>
        </w:trPr>
        <w:tc>
          <w:tcPr>
            <w:tcW w:w="3402" w:type="dxa"/>
            <w:vAlign w:val="center"/>
          </w:tcPr>
          <w:p w14:paraId="2377AE92" w14:textId="77777777" w:rsidR="007B0AB7" w:rsidRPr="00597250" w:rsidRDefault="007B0AB7" w:rsidP="007D412A">
            <w:pPr>
              <w:pStyle w:val="TableParagraph"/>
              <w:spacing w:line="230" w:lineRule="exact"/>
              <w:ind w:left="110" w:right="172"/>
              <w:rPr>
                <w:b/>
                <w:bCs/>
                <w:i/>
                <w:iCs/>
                <w:spacing w:val="-2"/>
              </w:rPr>
            </w:pPr>
            <w:r>
              <w:rPr>
                <w:b/>
                <w:bCs/>
                <w:spacing w:val="-2"/>
              </w:rPr>
              <w:t>Bone marrow blast, %</w:t>
            </w:r>
          </w:p>
        </w:tc>
        <w:tc>
          <w:tcPr>
            <w:tcW w:w="1560" w:type="dxa"/>
            <w:vAlign w:val="center"/>
          </w:tcPr>
          <w:p w14:paraId="4170E5F0" w14:textId="77777777" w:rsidR="007B0AB7" w:rsidRDefault="007B0AB7" w:rsidP="007D412A">
            <w:pPr>
              <w:pStyle w:val="TableParagraph"/>
              <w:spacing w:line="230" w:lineRule="exact"/>
              <w:ind w:left="110" w:right="699"/>
              <w:jc w:val="right"/>
              <w:rPr>
                <w:spacing w:val="-2"/>
              </w:rPr>
            </w:pPr>
          </w:p>
        </w:tc>
        <w:tc>
          <w:tcPr>
            <w:tcW w:w="1275" w:type="dxa"/>
            <w:vAlign w:val="center"/>
          </w:tcPr>
          <w:p w14:paraId="23320C4B" w14:textId="77777777" w:rsidR="007B0AB7" w:rsidRDefault="007B0AB7" w:rsidP="007D412A">
            <w:pPr>
              <w:pStyle w:val="TableParagraph"/>
              <w:spacing w:line="230" w:lineRule="exact"/>
              <w:ind w:left="110" w:right="699"/>
              <w:jc w:val="right"/>
              <w:rPr>
                <w:spacing w:val="-2"/>
              </w:rPr>
            </w:pPr>
          </w:p>
        </w:tc>
        <w:tc>
          <w:tcPr>
            <w:tcW w:w="1134" w:type="dxa"/>
            <w:vAlign w:val="center"/>
          </w:tcPr>
          <w:p w14:paraId="520E667F"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D7EFA65"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B58A984" w14:textId="77777777" w:rsidR="007B0AB7" w:rsidRDefault="007B0AB7" w:rsidP="007D412A">
            <w:pPr>
              <w:pStyle w:val="TableParagraph"/>
              <w:spacing w:line="230" w:lineRule="exact"/>
              <w:ind w:left="110" w:right="699"/>
              <w:jc w:val="right"/>
              <w:rPr>
                <w:spacing w:val="-2"/>
              </w:rPr>
            </w:pPr>
          </w:p>
        </w:tc>
      </w:tr>
      <w:tr w:rsidR="007B0AB7" w14:paraId="47D8A4A0" w14:textId="77777777" w:rsidTr="007D412A">
        <w:trPr>
          <w:trHeight w:val="553"/>
        </w:trPr>
        <w:tc>
          <w:tcPr>
            <w:tcW w:w="3402" w:type="dxa"/>
            <w:vAlign w:val="center"/>
          </w:tcPr>
          <w:p w14:paraId="12A0C7AC" w14:textId="77777777" w:rsidR="007B0AB7" w:rsidRPr="00597250" w:rsidRDefault="007B0AB7" w:rsidP="007D412A">
            <w:pPr>
              <w:pStyle w:val="TableParagraph"/>
              <w:spacing w:line="230" w:lineRule="exact"/>
              <w:ind w:left="110" w:right="172"/>
              <w:rPr>
                <w:spacing w:val="-2"/>
              </w:rPr>
            </w:pPr>
            <w:r>
              <w:rPr>
                <w:spacing w:val="-2"/>
              </w:rPr>
              <w:t>Mean (SD)</w:t>
            </w:r>
          </w:p>
        </w:tc>
        <w:tc>
          <w:tcPr>
            <w:tcW w:w="1560" w:type="dxa"/>
            <w:vAlign w:val="center"/>
          </w:tcPr>
          <w:p w14:paraId="3D18C02A" w14:textId="77777777" w:rsidR="007B0AB7" w:rsidRDefault="007B0AB7" w:rsidP="007D412A">
            <w:pPr>
              <w:pStyle w:val="TableParagraph"/>
              <w:spacing w:line="230" w:lineRule="exact"/>
              <w:ind w:left="110" w:right="699"/>
              <w:jc w:val="right"/>
              <w:rPr>
                <w:spacing w:val="-2"/>
              </w:rPr>
            </w:pPr>
          </w:p>
        </w:tc>
        <w:tc>
          <w:tcPr>
            <w:tcW w:w="1275" w:type="dxa"/>
            <w:vAlign w:val="center"/>
          </w:tcPr>
          <w:p w14:paraId="7990EB50" w14:textId="77777777" w:rsidR="007B0AB7" w:rsidRDefault="007B0AB7" w:rsidP="007D412A">
            <w:pPr>
              <w:pStyle w:val="TableParagraph"/>
              <w:spacing w:line="230" w:lineRule="exact"/>
              <w:ind w:left="110" w:right="699"/>
              <w:jc w:val="right"/>
              <w:rPr>
                <w:spacing w:val="-2"/>
              </w:rPr>
            </w:pPr>
          </w:p>
        </w:tc>
        <w:tc>
          <w:tcPr>
            <w:tcW w:w="1134" w:type="dxa"/>
            <w:vAlign w:val="center"/>
          </w:tcPr>
          <w:p w14:paraId="47A05705"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D373780"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A591DC9" w14:textId="77777777" w:rsidR="007B0AB7" w:rsidRDefault="007B0AB7" w:rsidP="007D412A">
            <w:pPr>
              <w:pStyle w:val="TableParagraph"/>
              <w:spacing w:line="230" w:lineRule="exact"/>
              <w:ind w:left="110" w:right="699"/>
              <w:jc w:val="right"/>
              <w:rPr>
                <w:spacing w:val="-2"/>
              </w:rPr>
            </w:pPr>
          </w:p>
        </w:tc>
      </w:tr>
      <w:tr w:rsidR="007B0AB7" w14:paraId="4043E4ED" w14:textId="77777777" w:rsidTr="007D412A">
        <w:trPr>
          <w:trHeight w:val="553"/>
        </w:trPr>
        <w:tc>
          <w:tcPr>
            <w:tcW w:w="3402" w:type="dxa"/>
            <w:vAlign w:val="center"/>
          </w:tcPr>
          <w:p w14:paraId="5D306AA9" w14:textId="77777777" w:rsidR="007B0AB7" w:rsidRDefault="007B0AB7" w:rsidP="007D412A">
            <w:pPr>
              <w:pStyle w:val="TableParagraph"/>
              <w:spacing w:line="230" w:lineRule="exact"/>
              <w:ind w:left="110" w:right="172"/>
              <w:rPr>
                <w:spacing w:val="-2"/>
              </w:rPr>
            </w:pPr>
            <w:r>
              <w:rPr>
                <w:spacing w:val="-2"/>
              </w:rPr>
              <w:t>Median (IQR)</w:t>
            </w:r>
          </w:p>
        </w:tc>
        <w:tc>
          <w:tcPr>
            <w:tcW w:w="1560" w:type="dxa"/>
            <w:vAlign w:val="center"/>
          </w:tcPr>
          <w:p w14:paraId="2578BBC0" w14:textId="77777777" w:rsidR="007B0AB7" w:rsidRDefault="007B0AB7" w:rsidP="007D412A">
            <w:pPr>
              <w:pStyle w:val="TableParagraph"/>
              <w:spacing w:line="230" w:lineRule="exact"/>
              <w:ind w:left="110" w:right="699"/>
              <w:jc w:val="right"/>
              <w:rPr>
                <w:spacing w:val="-2"/>
              </w:rPr>
            </w:pPr>
          </w:p>
        </w:tc>
        <w:tc>
          <w:tcPr>
            <w:tcW w:w="1275" w:type="dxa"/>
            <w:vAlign w:val="center"/>
          </w:tcPr>
          <w:p w14:paraId="23C76CE0" w14:textId="77777777" w:rsidR="007B0AB7" w:rsidRDefault="007B0AB7" w:rsidP="007D412A">
            <w:pPr>
              <w:pStyle w:val="TableParagraph"/>
              <w:spacing w:line="230" w:lineRule="exact"/>
              <w:ind w:left="110" w:right="699"/>
              <w:jc w:val="right"/>
              <w:rPr>
                <w:spacing w:val="-2"/>
              </w:rPr>
            </w:pPr>
          </w:p>
        </w:tc>
        <w:tc>
          <w:tcPr>
            <w:tcW w:w="1134" w:type="dxa"/>
            <w:vAlign w:val="center"/>
          </w:tcPr>
          <w:p w14:paraId="34A882BA"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FABD9A2"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EC9014E" w14:textId="77777777" w:rsidR="007B0AB7" w:rsidRDefault="007B0AB7" w:rsidP="007D412A">
            <w:pPr>
              <w:pStyle w:val="TableParagraph"/>
              <w:spacing w:line="230" w:lineRule="exact"/>
              <w:ind w:left="110" w:right="699"/>
              <w:jc w:val="right"/>
              <w:rPr>
                <w:spacing w:val="-2"/>
              </w:rPr>
            </w:pPr>
          </w:p>
        </w:tc>
      </w:tr>
      <w:tr w:rsidR="007B0AB7" w14:paraId="1382C368" w14:textId="77777777" w:rsidTr="007D412A">
        <w:trPr>
          <w:trHeight w:val="553"/>
        </w:trPr>
        <w:tc>
          <w:tcPr>
            <w:tcW w:w="3402" w:type="dxa"/>
            <w:vAlign w:val="center"/>
          </w:tcPr>
          <w:p w14:paraId="07B23EE7" w14:textId="77777777" w:rsidR="007B0AB7" w:rsidRPr="00597250" w:rsidRDefault="007B0AB7" w:rsidP="007D412A">
            <w:pPr>
              <w:pStyle w:val="TableParagraph"/>
              <w:spacing w:line="230" w:lineRule="exact"/>
              <w:ind w:left="110" w:right="172"/>
              <w:rPr>
                <w:b/>
                <w:bCs/>
                <w:i/>
                <w:iCs/>
                <w:spacing w:val="-2"/>
              </w:rPr>
            </w:pPr>
            <w:r>
              <w:rPr>
                <w:b/>
                <w:bCs/>
                <w:spacing w:val="-2"/>
              </w:rPr>
              <w:t>Karyotype, no./no. available (%)</w:t>
            </w:r>
          </w:p>
        </w:tc>
        <w:tc>
          <w:tcPr>
            <w:tcW w:w="1560" w:type="dxa"/>
            <w:vAlign w:val="center"/>
          </w:tcPr>
          <w:p w14:paraId="5C23DF7C"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7418165" w14:textId="77777777" w:rsidR="007B0AB7" w:rsidRDefault="007B0AB7" w:rsidP="007D412A">
            <w:pPr>
              <w:pStyle w:val="TableParagraph"/>
              <w:spacing w:line="230" w:lineRule="exact"/>
              <w:ind w:left="110" w:right="699"/>
              <w:jc w:val="right"/>
              <w:rPr>
                <w:spacing w:val="-2"/>
              </w:rPr>
            </w:pPr>
          </w:p>
        </w:tc>
        <w:tc>
          <w:tcPr>
            <w:tcW w:w="1134" w:type="dxa"/>
            <w:vAlign w:val="center"/>
          </w:tcPr>
          <w:p w14:paraId="570DE85D"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B982E79"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83BA702" w14:textId="77777777" w:rsidR="007B0AB7" w:rsidRDefault="007B0AB7" w:rsidP="007D412A">
            <w:pPr>
              <w:pStyle w:val="TableParagraph"/>
              <w:spacing w:line="230" w:lineRule="exact"/>
              <w:ind w:left="110" w:right="699"/>
              <w:jc w:val="right"/>
              <w:rPr>
                <w:spacing w:val="-2"/>
              </w:rPr>
            </w:pPr>
          </w:p>
        </w:tc>
      </w:tr>
      <w:tr w:rsidR="007B0AB7" w14:paraId="20D07EAD" w14:textId="77777777" w:rsidTr="007D412A">
        <w:trPr>
          <w:trHeight w:val="553"/>
        </w:trPr>
        <w:tc>
          <w:tcPr>
            <w:tcW w:w="3402" w:type="dxa"/>
            <w:vAlign w:val="center"/>
          </w:tcPr>
          <w:p w14:paraId="1A8F31CB" w14:textId="77777777" w:rsidR="007B0AB7" w:rsidRPr="00597250" w:rsidRDefault="007B0AB7" w:rsidP="007D412A">
            <w:pPr>
              <w:pStyle w:val="TableParagraph"/>
              <w:spacing w:line="230" w:lineRule="exact"/>
              <w:ind w:left="110" w:right="172"/>
              <w:rPr>
                <w:spacing w:val="-2"/>
              </w:rPr>
            </w:pPr>
            <w:r>
              <w:rPr>
                <w:spacing w:val="-2"/>
              </w:rPr>
              <w:t>Abnormal, including complex</w:t>
            </w:r>
          </w:p>
        </w:tc>
        <w:tc>
          <w:tcPr>
            <w:tcW w:w="1560" w:type="dxa"/>
            <w:vAlign w:val="center"/>
          </w:tcPr>
          <w:p w14:paraId="0275F764" w14:textId="77777777" w:rsidR="007B0AB7" w:rsidRDefault="007B0AB7" w:rsidP="007D412A">
            <w:pPr>
              <w:pStyle w:val="TableParagraph"/>
              <w:spacing w:line="230" w:lineRule="exact"/>
              <w:ind w:left="110" w:right="699"/>
              <w:jc w:val="right"/>
              <w:rPr>
                <w:spacing w:val="-2"/>
              </w:rPr>
            </w:pPr>
          </w:p>
        </w:tc>
        <w:tc>
          <w:tcPr>
            <w:tcW w:w="1275" w:type="dxa"/>
            <w:vAlign w:val="center"/>
          </w:tcPr>
          <w:p w14:paraId="02A0651D" w14:textId="77777777" w:rsidR="007B0AB7" w:rsidRDefault="007B0AB7" w:rsidP="007D412A">
            <w:pPr>
              <w:pStyle w:val="TableParagraph"/>
              <w:spacing w:line="230" w:lineRule="exact"/>
              <w:ind w:left="110" w:right="699"/>
              <w:jc w:val="right"/>
              <w:rPr>
                <w:spacing w:val="-2"/>
              </w:rPr>
            </w:pPr>
          </w:p>
        </w:tc>
        <w:tc>
          <w:tcPr>
            <w:tcW w:w="1134" w:type="dxa"/>
            <w:vAlign w:val="center"/>
          </w:tcPr>
          <w:p w14:paraId="5E53BC56"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D6D25EC"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F54BC80" w14:textId="77777777" w:rsidR="007B0AB7" w:rsidRDefault="007B0AB7" w:rsidP="007D412A">
            <w:pPr>
              <w:pStyle w:val="TableParagraph"/>
              <w:spacing w:line="230" w:lineRule="exact"/>
              <w:ind w:left="110" w:right="699"/>
              <w:jc w:val="right"/>
              <w:rPr>
                <w:spacing w:val="-2"/>
              </w:rPr>
            </w:pPr>
          </w:p>
        </w:tc>
      </w:tr>
      <w:tr w:rsidR="007B0AB7" w14:paraId="19269719" w14:textId="77777777" w:rsidTr="007D412A">
        <w:trPr>
          <w:trHeight w:val="553"/>
        </w:trPr>
        <w:tc>
          <w:tcPr>
            <w:tcW w:w="3402" w:type="dxa"/>
            <w:vAlign w:val="center"/>
          </w:tcPr>
          <w:p w14:paraId="79987634" w14:textId="77777777" w:rsidR="007B0AB7" w:rsidRPr="00597250" w:rsidRDefault="007B0AB7" w:rsidP="007D412A">
            <w:pPr>
              <w:pStyle w:val="TableParagraph"/>
              <w:spacing w:line="230" w:lineRule="exact"/>
              <w:ind w:left="110" w:right="172"/>
              <w:rPr>
                <w:spacing w:val="-2"/>
              </w:rPr>
            </w:pPr>
            <w:r>
              <w:rPr>
                <w:spacing w:val="-2"/>
              </w:rPr>
              <w:t>Normal, including complex</w:t>
            </w:r>
          </w:p>
        </w:tc>
        <w:tc>
          <w:tcPr>
            <w:tcW w:w="1560" w:type="dxa"/>
            <w:vAlign w:val="center"/>
          </w:tcPr>
          <w:p w14:paraId="68FBB468" w14:textId="77777777" w:rsidR="007B0AB7" w:rsidRDefault="007B0AB7" w:rsidP="007D412A">
            <w:pPr>
              <w:pStyle w:val="TableParagraph"/>
              <w:spacing w:line="230" w:lineRule="exact"/>
              <w:ind w:left="110" w:right="699"/>
              <w:jc w:val="right"/>
              <w:rPr>
                <w:spacing w:val="-2"/>
              </w:rPr>
            </w:pPr>
          </w:p>
        </w:tc>
        <w:tc>
          <w:tcPr>
            <w:tcW w:w="1275" w:type="dxa"/>
            <w:vAlign w:val="center"/>
          </w:tcPr>
          <w:p w14:paraId="1B44DBDD" w14:textId="77777777" w:rsidR="007B0AB7" w:rsidRDefault="007B0AB7" w:rsidP="007D412A">
            <w:pPr>
              <w:pStyle w:val="TableParagraph"/>
              <w:spacing w:line="230" w:lineRule="exact"/>
              <w:ind w:left="110" w:right="699"/>
              <w:jc w:val="right"/>
              <w:rPr>
                <w:spacing w:val="-2"/>
              </w:rPr>
            </w:pPr>
          </w:p>
        </w:tc>
        <w:tc>
          <w:tcPr>
            <w:tcW w:w="1134" w:type="dxa"/>
            <w:vAlign w:val="center"/>
          </w:tcPr>
          <w:p w14:paraId="3BB37E35"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FFD97AF"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EB10C02" w14:textId="77777777" w:rsidR="007B0AB7" w:rsidRDefault="007B0AB7" w:rsidP="007D412A">
            <w:pPr>
              <w:pStyle w:val="TableParagraph"/>
              <w:spacing w:line="230" w:lineRule="exact"/>
              <w:ind w:left="110" w:right="699"/>
              <w:jc w:val="right"/>
              <w:rPr>
                <w:spacing w:val="-2"/>
              </w:rPr>
            </w:pPr>
          </w:p>
        </w:tc>
      </w:tr>
      <w:tr w:rsidR="007B0AB7" w14:paraId="1FC25742" w14:textId="77777777" w:rsidTr="007D412A">
        <w:trPr>
          <w:trHeight w:val="553"/>
        </w:trPr>
        <w:tc>
          <w:tcPr>
            <w:tcW w:w="3402" w:type="dxa"/>
            <w:vAlign w:val="center"/>
          </w:tcPr>
          <w:p w14:paraId="787F62FC" w14:textId="77777777" w:rsidR="007B0AB7" w:rsidRPr="00597250" w:rsidRDefault="007B0AB7" w:rsidP="007D412A">
            <w:pPr>
              <w:pStyle w:val="TableParagraph"/>
              <w:spacing w:line="230" w:lineRule="exact"/>
              <w:ind w:left="110" w:right="172"/>
              <w:rPr>
                <w:b/>
                <w:bCs/>
                <w:i/>
                <w:iCs/>
                <w:spacing w:val="-2"/>
              </w:rPr>
            </w:pPr>
            <w:r>
              <w:rPr>
                <w:b/>
                <w:bCs/>
                <w:spacing w:val="-2"/>
              </w:rPr>
              <w:t>Treatment regimen, no./no. available (%)</w:t>
            </w:r>
          </w:p>
        </w:tc>
        <w:tc>
          <w:tcPr>
            <w:tcW w:w="1560" w:type="dxa"/>
            <w:vAlign w:val="center"/>
          </w:tcPr>
          <w:p w14:paraId="4A0553A2"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96651E1" w14:textId="77777777" w:rsidR="007B0AB7" w:rsidRDefault="007B0AB7" w:rsidP="007D412A">
            <w:pPr>
              <w:pStyle w:val="TableParagraph"/>
              <w:spacing w:line="230" w:lineRule="exact"/>
              <w:ind w:left="110" w:right="699"/>
              <w:jc w:val="right"/>
              <w:rPr>
                <w:spacing w:val="-2"/>
              </w:rPr>
            </w:pPr>
          </w:p>
        </w:tc>
        <w:tc>
          <w:tcPr>
            <w:tcW w:w="1134" w:type="dxa"/>
            <w:vAlign w:val="center"/>
          </w:tcPr>
          <w:p w14:paraId="75601162"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187C4FB"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09C85B5" w14:textId="77777777" w:rsidR="007B0AB7" w:rsidRDefault="007B0AB7" w:rsidP="007D412A">
            <w:pPr>
              <w:pStyle w:val="TableParagraph"/>
              <w:spacing w:line="230" w:lineRule="exact"/>
              <w:ind w:left="110" w:right="699"/>
              <w:jc w:val="right"/>
              <w:rPr>
                <w:spacing w:val="-2"/>
              </w:rPr>
            </w:pPr>
          </w:p>
        </w:tc>
      </w:tr>
      <w:tr w:rsidR="007B0AB7" w14:paraId="3148EAD4" w14:textId="77777777" w:rsidTr="007D412A">
        <w:trPr>
          <w:trHeight w:val="553"/>
        </w:trPr>
        <w:tc>
          <w:tcPr>
            <w:tcW w:w="3402" w:type="dxa"/>
            <w:vAlign w:val="center"/>
          </w:tcPr>
          <w:p w14:paraId="7D9A507F" w14:textId="77777777" w:rsidR="007B0AB7" w:rsidRPr="00597250" w:rsidRDefault="007B0AB7" w:rsidP="007D412A">
            <w:pPr>
              <w:pStyle w:val="TableParagraph"/>
              <w:spacing w:line="230" w:lineRule="exact"/>
              <w:ind w:left="110" w:right="172"/>
              <w:rPr>
                <w:spacing w:val="-2"/>
              </w:rPr>
            </w:pPr>
            <w:r>
              <w:rPr>
                <w:spacing w:val="-2"/>
              </w:rPr>
              <w:t>7+3</w:t>
            </w:r>
          </w:p>
        </w:tc>
        <w:tc>
          <w:tcPr>
            <w:tcW w:w="1560" w:type="dxa"/>
            <w:vAlign w:val="center"/>
          </w:tcPr>
          <w:p w14:paraId="240F09F4"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FFDAC2E" w14:textId="77777777" w:rsidR="007B0AB7" w:rsidRDefault="007B0AB7" w:rsidP="007D412A">
            <w:pPr>
              <w:pStyle w:val="TableParagraph"/>
              <w:spacing w:line="230" w:lineRule="exact"/>
              <w:ind w:left="110" w:right="699"/>
              <w:jc w:val="right"/>
              <w:rPr>
                <w:spacing w:val="-2"/>
              </w:rPr>
            </w:pPr>
          </w:p>
        </w:tc>
        <w:tc>
          <w:tcPr>
            <w:tcW w:w="1134" w:type="dxa"/>
            <w:vAlign w:val="center"/>
          </w:tcPr>
          <w:p w14:paraId="71C3590B"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E3BF042"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C7CF829" w14:textId="77777777" w:rsidR="007B0AB7" w:rsidRDefault="007B0AB7" w:rsidP="007D412A">
            <w:pPr>
              <w:pStyle w:val="TableParagraph"/>
              <w:spacing w:line="230" w:lineRule="exact"/>
              <w:ind w:left="110" w:right="699"/>
              <w:jc w:val="right"/>
              <w:rPr>
                <w:spacing w:val="-2"/>
              </w:rPr>
            </w:pPr>
          </w:p>
        </w:tc>
      </w:tr>
      <w:tr w:rsidR="007B0AB7" w14:paraId="1B1139E4" w14:textId="77777777" w:rsidTr="007D412A">
        <w:trPr>
          <w:trHeight w:val="553"/>
        </w:trPr>
        <w:tc>
          <w:tcPr>
            <w:tcW w:w="3402" w:type="dxa"/>
            <w:vAlign w:val="center"/>
          </w:tcPr>
          <w:p w14:paraId="556587C1" w14:textId="77777777" w:rsidR="007B0AB7" w:rsidRDefault="007B0AB7" w:rsidP="007D412A">
            <w:pPr>
              <w:pStyle w:val="TableParagraph"/>
              <w:spacing w:line="230" w:lineRule="exact"/>
              <w:ind w:left="110" w:right="172"/>
              <w:rPr>
                <w:spacing w:val="-2"/>
              </w:rPr>
            </w:pPr>
            <w:r>
              <w:rPr>
                <w:spacing w:val="-2"/>
              </w:rPr>
              <w:t xml:space="preserve">HIDAC +/- </w:t>
            </w:r>
            <w:proofErr w:type="spellStart"/>
            <w:r>
              <w:rPr>
                <w:spacing w:val="-2"/>
              </w:rPr>
              <w:t>Doxo</w:t>
            </w:r>
            <w:proofErr w:type="spellEnd"/>
          </w:p>
        </w:tc>
        <w:tc>
          <w:tcPr>
            <w:tcW w:w="1560" w:type="dxa"/>
            <w:vAlign w:val="center"/>
          </w:tcPr>
          <w:p w14:paraId="3315CE8E"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6A1F673" w14:textId="77777777" w:rsidR="007B0AB7" w:rsidRDefault="007B0AB7" w:rsidP="007D412A">
            <w:pPr>
              <w:pStyle w:val="TableParagraph"/>
              <w:spacing w:line="230" w:lineRule="exact"/>
              <w:ind w:left="110" w:right="699"/>
              <w:jc w:val="right"/>
              <w:rPr>
                <w:spacing w:val="-2"/>
              </w:rPr>
            </w:pPr>
          </w:p>
        </w:tc>
        <w:tc>
          <w:tcPr>
            <w:tcW w:w="1134" w:type="dxa"/>
            <w:vAlign w:val="center"/>
          </w:tcPr>
          <w:p w14:paraId="6E7883F3"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06AE9E1"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09B2618" w14:textId="77777777" w:rsidR="007B0AB7" w:rsidRDefault="007B0AB7" w:rsidP="007D412A">
            <w:pPr>
              <w:pStyle w:val="TableParagraph"/>
              <w:spacing w:line="230" w:lineRule="exact"/>
              <w:ind w:left="110" w:right="699"/>
              <w:jc w:val="right"/>
              <w:rPr>
                <w:spacing w:val="-2"/>
              </w:rPr>
            </w:pPr>
          </w:p>
        </w:tc>
      </w:tr>
      <w:tr w:rsidR="007B0AB7" w14:paraId="7E9FCC2E" w14:textId="77777777" w:rsidTr="007D412A">
        <w:trPr>
          <w:trHeight w:val="553"/>
        </w:trPr>
        <w:tc>
          <w:tcPr>
            <w:tcW w:w="3402" w:type="dxa"/>
            <w:vAlign w:val="center"/>
          </w:tcPr>
          <w:p w14:paraId="7EE6AB21" w14:textId="77777777" w:rsidR="007B0AB7" w:rsidRDefault="007B0AB7" w:rsidP="007D412A">
            <w:pPr>
              <w:pStyle w:val="TableParagraph"/>
              <w:spacing w:line="230" w:lineRule="exact"/>
              <w:ind w:left="110" w:right="172"/>
              <w:rPr>
                <w:spacing w:val="-2"/>
              </w:rPr>
            </w:pPr>
            <w:r>
              <w:rPr>
                <w:spacing w:val="-2"/>
              </w:rPr>
              <w:t>HAM</w:t>
            </w:r>
          </w:p>
        </w:tc>
        <w:tc>
          <w:tcPr>
            <w:tcW w:w="1560" w:type="dxa"/>
            <w:vAlign w:val="center"/>
          </w:tcPr>
          <w:p w14:paraId="723FFFE1" w14:textId="77777777" w:rsidR="007B0AB7" w:rsidRDefault="007B0AB7" w:rsidP="007D412A">
            <w:pPr>
              <w:pStyle w:val="TableParagraph"/>
              <w:spacing w:line="230" w:lineRule="exact"/>
              <w:ind w:left="110" w:right="699"/>
              <w:jc w:val="right"/>
              <w:rPr>
                <w:spacing w:val="-2"/>
              </w:rPr>
            </w:pPr>
          </w:p>
        </w:tc>
        <w:tc>
          <w:tcPr>
            <w:tcW w:w="1275" w:type="dxa"/>
            <w:vAlign w:val="center"/>
          </w:tcPr>
          <w:p w14:paraId="1C485459" w14:textId="77777777" w:rsidR="007B0AB7" w:rsidRDefault="007B0AB7" w:rsidP="007D412A">
            <w:pPr>
              <w:pStyle w:val="TableParagraph"/>
              <w:spacing w:line="230" w:lineRule="exact"/>
              <w:ind w:left="110" w:right="699"/>
              <w:jc w:val="right"/>
              <w:rPr>
                <w:spacing w:val="-2"/>
              </w:rPr>
            </w:pPr>
          </w:p>
        </w:tc>
        <w:tc>
          <w:tcPr>
            <w:tcW w:w="1134" w:type="dxa"/>
            <w:vAlign w:val="center"/>
          </w:tcPr>
          <w:p w14:paraId="1DD8ACAE"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C655A97"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751225A" w14:textId="77777777" w:rsidR="007B0AB7" w:rsidRDefault="007B0AB7" w:rsidP="007D412A">
            <w:pPr>
              <w:pStyle w:val="TableParagraph"/>
              <w:spacing w:line="230" w:lineRule="exact"/>
              <w:ind w:left="110" w:right="699"/>
              <w:jc w:val="right"/>
              <w:rPr>
                <w:spacing w:val="-2"/>
              </w:rPr>
            </w:pPr>
          </w:p>
        </w:tc>
      </w:tr>
      <w:tr w:rsidR="007B0AB7" w14:paraId="3402732E" w14:textId="77777777" w:rsidTr="007D412A">
        <w:trPr>
          <w:trHeight w:val="553"/>
        </w:trPr>
        <w:tc>
          <w:tcPr>
            <w:tcW w:w="3402" w:type="dxa"/>
            <w:vAlign w:val="center"/>
          </w:tcPr>
          <w:p w14:paraId="5368F9B8" w14:textId="77777777" w:rsidR="007B0AB7" w:rsidRPr="00597250" w:rsidRDefault="007B0AB7" w:rsidP="007D412A">
            <w:pPr>
              <w:pStyle w:val="TableParagraph"/>
              <w:spacing w:line="230" w:lineRule="exact"/>
              <w:ind w:left="110" w:right="172"/>
              <w:rPr>
                <w:b/>
                <w:bCs/>
                <w:i/>
                <w:iCs/>
                <w:spacing w:val="-2"/>
              </w:rPr>
            </w:pPr>
            <w:r>
              <w:rPr>
                <w:b/>
                <w:bCs/>
                <w:spacing w:val="-2"/>
              </w:rPr>
              <w:t>Allogeneic SCT, no./no. available (%)</w:t>
            </w:r>
          </w:p>
        </w:tc>
        <w:tc>
          <w:tcPr>
            <w:tcW w:w="1560" w:type="dxa"/>
            <w:vAlign w:val="center"/>
          </w:tcPr>
          <w:p w14:paraId="7D40EF2B" w14:textId="77777777" w:rsidR="007B0AB7" w:rsidRDefault="007B0AB7" w:rsidP="007D412A">
            <w:pPr>
              <w:pStyle w:val="TableParagraph"/>
              <w:spacing w:line="230" w:lineRule="exact"/>
              <w:ind w:left="110" w:right="699"/>
              <w:jc w:val="right"/>
              <w:rPr>
                <w:spacing w:val="-2"/>
              </w:rPr>
            </w:pPr>
          </w:p>
        </w:tc>
        <w:tc>
          <w:tcPr>
            <w:tcW w:w="1275" w:type="dxa"/>
            <w:vAlign w:val="center"/>
          </w:tcPr>
          <w:p w14:paraId="3F2430F8" w14:textId="77777777" w:rsidR="007B0AB7" w:rsidRDefault="007B0AB7" w:rsidP="007D412A">
            <w:pPr>
              <w:pStyle w:val="TableParagraph"/>
              <w:spacing w:line="230" w:lineRule="exact"/>
              <w:ind w:left="110" w:right="699"/>
              <w:jc w:val="right"/>
              <w:rPr>
                <w:spacing w:val="-2"/>
              </w:rPr>
            </w:pPr>
          </w:p>
        </w:tc>
        <w:tc>
          <w:tcPr>
            <w:tcW w:w="1134" w:type="dxa"/>
            <w:vAlign w:val="center"/>
          </w:tcPr>
          <w:p w14:paraId="6A776698"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1A7C085"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B9165FE" w14:textId="77777777" w:rsidR="007B0AB7" w:rsidRDefault="007B0AB7" w:rsidP="007D412A">
            <w:pPr>
              <w:pStyle w:val="TableParagraph"/>
              <w:spacing w:line="230" w:lineRule="exact"/>
              <w:ind w:left="110" w:right="699"/>
              <w:jc w:val="right"/>
              <w:rPr>
                <w:spacing w:val="-2"/>
              </w:rPr>
            </w:pPr>
          </w:p>
        </w:tc>
      </w:tr>
      <w:tr w:rsidR="007B0AB7" w14:paraId="2823752B" w14:textId="77777777" w:rsidTr="007D412A">
        <w:trPr>
          <w:trHeight w:val="553"/>
        </w:trPr>
        <w:tc>
          <w:tcPr>
            <w:tcW w:w="3402" w:type="dxa"/>
            <w:vAlign w:val="center"/>
          </w:tcPr>
          <w:p w14:paraId="5D0969A3" w14:textId="77777777" w:rsidR="007B0AB7" w:rsidRDefault="007B0AB7" w:rsidP="007D412A">
            <w:pPr>
              <w:pStyle w:val="TableParagraph"/>
              <w:spacing w:line="230" w:lineRule="exact"/>
              <w:ind w:left="110" w:right="172"/>
              <w:rPr>
                <w:spacing w:val="-2"/>
              </w:rPr>
            </w:pPr>
            <w:proofErr w:type="spellStart"/>
            <w:r>
              <w:rPr>
                <w:spacing w:val="-2"/>
              </w:rPr>
              <w:t>AlloSCT</w:t>
            </w:r>
            <w:proofErr w:type="spellEnd"/>
            <w:r>
              <w:rPr>
                <w:spacing w:val="-2"/>
              </w:rPr>
              <w:t xml:space="preserve"> in CR1</w:t>
            </w:r>
          </w:p>
        </w:tc>
        <w:tc>
          <w:tcPr>
            <w:tcW w:w="1560" w:type="dxa"/>
            <w:vAlign w:val="center"/>
          </w:tcPr>
          <w:p w14:paraId="4D268411" w14:textId="77777777" w:rsidR="007B0AB7" w:rsidRDefault="007B0AB7" w:rsidP="007D412A">
            <w:pPr>
              <w:pStyle w:val="TableParagraph"/>
              <w:spacing w:line="230" w:lineRule="exact"/>
              <w:ind w:left="110" w:right="699"/>
              <w:jc w:val="right"/>
              <w:rPr>
                <w:spacing w:val="-2"/>
              </w:rPr>
            </w:pPr>
          </w:p>
        </w:tc>
        <w:tc>
          <w:tcPr>
            <w:tcW w:w="1275" w:type="dxa"/>
            <w:vAlign w:val="center"/>
          </w:tcPr>
          <w:p w14:paraId="59A56D58" w14:textId="77777777" w:rsidR="007B0AB7" w:rsidRDefault="007B0AB7" w:rsidP="007D412A">
            <w:pPr>
              <w:pStyle w:val="TableParagraph"/>
              <w:spacing w:line="230" w:lineRule="exact"/>
              <w:ind w:left="110" w:right="699"/>
              <w:jc w:val="right"/>
              <w:rPr>
                <w:spacing w:val="-2"/>
              </w:rPr>
            </w:pPr>
          </w:p>
        </w:tc>
        <w:tc>
          <w:tcPr>
            <w:tcW w:w="1134" w:type="dxa"/>
            <w:vAlign w:val="center"/>
          </w:tcPr>
          <w:p w14:paraId="3A60BBC2"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C0FE5CF"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8EFF1FD" w14:textId="77777777" w:rsidR="007B0AB7" w:rsidRDefault="007B0AB7" w:rsidP="007D412A">
            <w:pPr>
              <w:pStyle w:val="TableParagraph"/>
              <w:spacing w:line="230" w:lineRule="exact"/>
              <w:ind w:left="110" w:right="699"/>
              <w:jc w:val="right"/>
              <w:rPr>
                <w:spacing w:val="-2"/>
              </w:rPr>
            </w:pPr>
          </w:p>
        </w:tc>
      </w:tr>
      <w:tr w:rsidR="007B0AB7" w14:paraId="259815F1" w14:textId="77777777" w:rsidTr="007D412A">
        <w:trPr>
          <w:trHeight w:val="553"/>
        </w:trPr>
        <w:tc>
          <w:tcPr>
            <w:tcW w:w="3402" w:type="dxa"/>
            <w:vAlign w:val="center"/>
          </w:tcPr>
          <w:p w14:paraId="7352A8A4" w14:textId="77777777" w:rsidR="007B0AB7" w:rsidRDefault="007B0AB7" w:rsidP="007D412A">
            <w:pPr>
              <w:pStyle w:val="TableParagraph"/>
              <w:spacing w:line="230" w:lineRule="exact"/>
              <w:ind w:left="110" w:right="172"/>
              <w:rPr>
                <w:spacing w:val="-2"/>
              </w:rPr>
            </w:pPr>
            <w:proofErr w:type="spellStart"/>
            <w:r>
              <w:rPr>
                <w:spacing w:val="-2"/>
              </w:rPr>
              <w:t>AlloSCT</w:t>
            </w:r>
            <w:proofErr w:type="spellEnd"/>
            <w:r>
              <w:rPr>
                <w:spacing w:val="-2"/>
              </w:rPr>
              <w:t xml:space="preserve"> salvage</w:t>
            </w:r>
          </w:p>
        </w:tc>
        <w:tc>
          <w:tcPr>
            <w:tcW w:w="1560" w:type="dxa"/>
            <w:vAlign w:val="center"/>
          </w:tcPr>
          <w:p w14:paraId="451C9A5B" w14:textId="77777777" w:rsidR="007B0AB7" w:rsidRDefault="007B0AB7" w:rsidP="007D412A">
            <w:pPr>
              <w:pStyle w:val="TableParagraph"/>
              <w:spacing w:line="230" w:lineRule="exact"/>
              <w:ind w:left="110" w:right="699"/>
              <w:jc w:val="right"/>
              <w:rPr>
                <w:spacing w:val="-2"/>
              </w:rPr>
            </w:pPr>
          </w:p>
        </w:tc>
        <w:tc>
          <w:tcPr>
            <w:tcW w:w="1275" w:type="dxa"/>
            <w:vAlign w:val="center"/>
          </w:tcPr>
          <w:p w14:paraId="755A7BC8" w14:textId="77777777" w:rsidR="007B0AB7" w:rsidRDefault="007B0AB7" w:rsidP="007D412A">
            <w:pPr>
              <w:pStyle w:val="TableParagraph"/>
              <w:spacing w:line="230" w:lineRule="exact"/>
              <w:ind w:left="110" w:right="699"/>
              <w:jc w:val="right"/>
              <w:rPr>
                <w:spacing w:val="-2"/>
              </w:rPr>
            </w:pPr>
          </w:p>
        </w:tc>
        <w:tc>
          <w:tcPr>
            <w:tcW w:w="1134" w:type="dxa"/>
            <w:vAlign w:val="center"/>
          </w:tcPr>
          <w:p w14:paraId="2B4BA8FC"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09E92A8"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E6CF8F8" w14:textId="77777777" w:rsidR="007B0AB7" w:rsidRDefault="007B0AB7" w:rsidP="007D412A">
            <w:pPr>
              <w:pStyle w:val="TableParagraph"/>
              <w:spacing w:line="230" w:lineRule="exact"/>
              <w:ind w:left="110" w:right="699"/>
              <w:jc w:val="right"/>
              <w:rPr>
                <w:spacing w:val="-2"/>
              </w:rPr>
            </w:pPr>
          </w:p>
        </w:tc>
      </w:tr>
      <w:tr w:rsidR="007B0AB7" w14:paraId="29A32F3D" w14:textId="77777777" w:rsidTr="007D412A">
        <w:trPr>
          <w:trHeight w:val="553"/>
        </w:trPr>
        <w:tc>
          <w:tcPr>
            <w:tcW w:w="3402" w:type="dxa"/>
            <w:vAlign w:val="center"/>
          </w:tcPr>
          <w:p w14:paraId="568E7BD7" w14:textId="77777777" w:rsidR="007B0AB7" w:rsidRPr="00597250" w:rsidRDefault="007B0AB7" w:rsidP="007D412A">
            <w:pPr>
              <w:pStyle w:val="TableParagraph"/>
              <w:spacing w:line="230" w:lineRule="exact"/>
              <w:ind w:left="110" w:right="172"/>
              <w:rPr>
                <w:b/>
                <w:bCs/>
                <w:i/>
                <w:iCs/>
                <w:spacing w:val="-2"/>
              </w:rPr>
            </w:pPr>
            <w:r>
              <w:rPr>
                <w:b/>
                <w:bCs/>
                <w:spacing w:val="-2"/>
              </w:rPr>
              <w:lastRenderedPageBreak/>
              <w:t>Cause of delay of treatment, no./no. available (%)</w:t>
            </w:r>
          </w:p>
        </w:tc>
        <w:tc>
          <w:tcPr>
            <w:tcW w:w="1560" w:type="dxa"/>
            <w:vAlign w:val="center"/>
          </w:tcPr>
          <w:p w14:paraId="3331D746" w14:textId="77777777" w:rsidR="007B0AB7" w:rsidRDefault="007B0AB7" w:rsidP="007D412A">
            <w:pPr>
              <w:pStyle w:val="TableParagraph"/>
              <w:spacing w:line="230" w:lineRule="exact"/>
              <w:ind w:left="110" w:right="699"/>
              <w:jc w:val="right"/>
              <w:rPr>
                <w:spacing w:val="-2"/>
              </w:rPr>
            </w:pPr>
          </w:p>
        </w:tc>
        <w:tc>
          <w:tcPr>
            <w:tcW w:w="1275" w:type="dxa"/>
            <w:vAlign w:val="center"/>
          </w:tcPr>
          <w:p w14:paraId="1A1C6F0D" w14:textId="77777777" w:rsidR="007B0AB7" w:rsidRDefault="007B0AB7" w:rsidP="007D412A">
            <w:pPr>
              <w:pStyle w:val="TableParagraph"/>
              <w:spacing w:line="230" w:lineRule="exact"/>
              <w:ind w:left="110" w:right="699"/>
              <w:jc w:val="right"/>
              <w:rPr>
                <w:spacing w:val="-2"/>
              </w:rPr>
            </w:pPr>
          </w:p>
        </w:tc>
        <w:tc>
          <w:tcPr>
            <w:tcW w:w="1134" w:type="dxa"/>
            <w:vAlign w:val="center"/>
          </w:tcPr>
          <w:p w14:paraId="4FDCF84C"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B2E6CC0"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F0EE63A" w14:textId="77777777" w:rsidR="007B0AB7" w:rsidRDefault="007B0AB7" w:rsidP="007D412A">
            <w:pPr>
              <w:pStyle w:val="TableParagraph"/>
              <w:spacing w:line="230" w:lineRule="exact"/>
              <w:ind w:left="110" w:right="699"/>
              <w:jc w:val="right"/>
              <w:rPr>
                <w:spacing w:val="-2"/>
              </w:rPr>
            </w:pPr>
          </w:p>
        </w:tc>
      </w:tr>
      <w:tr w:rsidR="007B0AB7" w14:paraId="3D217AF6" w14:textId="77777777" w:rsidTr="007D412A">
        <w:trPr>
          <w:trHeight w:val="553"/>
        </w:trPr>
        <w:tc>
          <w:tcPr>
            <w:tcW w:w="3402" w:type="dxa"/>
            <w:vAlign w:val="center"/>
          </w:tcPr>
          <w:p w14:paraId="74580DD9" w14:textId="77777777" w:rsidR="007B0AB7" w:rsidRDefault="007B0AB7" w:rsidP="007D412A">
            <w:pPr>
              <w:pStyle w:val="TableParagraph"/>
              <w:spacing w:line="230" w:lineRule="exact"/>
              <w:ind w:left="110" w:right="172"/>
              <w:rPr>
                <w:spacing w:val="-2"/>
              </w:rPr>
            </w:pPr>
            <w:r>
              <w:rPr>
                <w:spacing w:val="-2"/>
              </w:rPr>
              <w:t>Infection</w:t>
            </w:r>
          </w:p>
        </w:tc>
        <w:tc>
          <w:tcPr>
            <w:tcW w:w="1560" w:type="dxa"/>
            <w:vAlign w:val="center"/>
          </w:tcPr>
          <w:p w14:paraId="7118441A"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AF98677" w14:textId="77777777" w:rsidR="007B0AB7" w:rsidRDefault="007B0AB7" w:rsidP="007D412A">
            <w:pPr>
              <w:pStyle w:val="TableParagraph"/>
              <w:spacing w:line="230" w:lineRule="exact"/>
              <w:ind w:left="110" w:right="699"/>
              <w:jc w:val="right"/>
              <w:rPr>
                <w:spacing w:val="-2"/>
              </w:rPr>
            </w:pPr>
          </w:p>
        </w:tc>
        <w:tc>
          <w:tcPr>
            <w:tcW w:w="1134" w:type="dxa"/>
            <w:vAlign w:val="center"/>
          </w:tcPr>
          <w:p w14:paraId="61A86828"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4B0BA13"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ADF21D3" w14:textId="77777777" w:rsidR="007B0AB7" w:rsidRDefault="007B0AB7" w:rsidP="007D412A">
            <w:pPr>
              <w:pStyle w:val="TableParagraph"/>
              <w:spacing w:line="230" w:lineRule="exact"/>
              <w:ind w:left="110" w:right="699"/>
              <w:jc w:val="right"/>
              <w:rPr>
                <w:spacing w:val="-2"/>
              </w:rPr>
            </w:pPr>
          </w:p>
        </w:tc>
      </w:tr>
      <w:tr w:rsidR="007B0AB7" w14:paraId="05690222" w14:textId="77777777" w:rsidTr="007D412A">
        <w:trPr>
          <w:trHeight w:val="553"/>
        </w:trPr>
        <w:tc>
          <w:tcPr>
            <w:tcW w:w="3402" w:type="dxa"/>
            <w:vAlign w:val="center"/>
          </w:tcPr>
          <w:p w14:paraId="48770B01" w14:textId="77777777" w:rsidR="007B0AB7" w:rsidRDefault="007B0AB7" w:rsidP="007D412A">
            <w:pPr>
              <w:pStyle w:val="TableParagraph"/>
              <w:spacing w:line="230" w:lineRule="exact"/>
              <w:ind w:left="110" w:right="172"/>
              <w:rPr>
                <w:spacing w:val="-2"/>
              </w:rPr>
            </w:pPr>
            <w:r>
              <w:rPr>
                <w:spacing w:val="-2"/>
              </w:rPr>
              <w:t>Nutritional upbuilding</w:t>
            </w:r>
          </w:p>
        </w:tc>
        <w:tc>
          <w:tcPr>
            <w:tcW w:w="1560" w:type="dxa"/>
            <w:vAlign w:val="center"/>
          </w:tcPr>
          <w:p w14:paraId="19EE04D3" w14:textId="77777777" w:rsidR="007B0AB7" w:rsidRDefault="007B0AB7" w:rsidP="007D412A">
            <w:pPr>
              <w:pStyle w:val="TableParagraph"/>
              <w:spacing w:line="230" w:lineRule="exact"/>
              <w:ind w:left="110" w:right="699"/>
              <w:jc w:val="right"/>
              <w:rPr>
                <w:spacing w:val="-2"/>
              </w:rPr>
            </w:pPr>
          </w:p>
        </w:tc>
        <w:tc>
          <w:tcPr>
            <w:tcW w:w="1275" w:type="dxa"/>
            <w:vAlign w:val="center"/>
          </w:tcPr>
          <w:p w14:paraId="5B3BD5DD" w14:textId="77777777" w:rsidR="007B0AB7" w:rsidRDefault="007B0AB7" w:rsidP="007D412A">
            <w:pPr>
              <w:pStyle w:val="TableParagraph"/>
              <w:spacing w:line="230" w:lineRule="exact"/>
              <w:ind w:left="110" w:right="699"/>
              <w:jc w:val="right"/>
              <w:rPr>
                <w:spacing w:val="-2"/>
              </w:rPr>
            </w:pPr>
          </w:p>
        </w:tc>
        <w:tc>
          <w:tcPr>
            <w:tcW w:w="1134" w:type="dxa"/>
            <w:vAlign w:val="center"/>
          </w:tcPr>
          <w:p w14:paraId="21885681"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66B56D4"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EEEACD3" w14:textId="77777777" w:rsidR="007B0AB7" w:rsidRDefault="007B0AB7" w:rsidP="007D412A">
            <w:pPr>
              <w:pStyle w:val="TableParagraph"/>
              <w:spacing w:line="230" w:lineRule="exact"/>
              <w:ind w:left="110" w:right="699"/>
              <w:jc w:val="right"/>
              <w:rPr>
                <w:spacing w:val="-2"/>
              </w:rPr>
            </w:pPr>
          </w:p>
        </w:tc>
      </w:tr>
      <w:tr w:rsidR="007B0AB7" w14:paraId="79240DBE" w14:textId="77777777" w:rsidTr="007D412A">
        <w:trPr>
          <w:trHeight w:val="553"/>
        </w:trPr>
        <w:tc>
          <w:tcPr>
            <w:tcW w:w="3402" w:type="dxa"/>
            <w:vAlign w:val="center"/>
          </w:tcPr>
          <w:p w14:paraId="28837FE9" w14:textId="77777777" w:rsidR="007B0AB7" w:rsidRDefault="007B0AB7" w:rsidP="007D412A">
            <w:pPr>
              <w:pStyle w:val="TableParagraph"/>
              <w:spacing w:line="230" w:lineRule="exact"/>
              <w:ind w:left="110" w:right="172"/>
              <w:rPr>
                <w:spacing w:val="-2"/>
              </w:rPr>
            </w:pPr>
            <w:r>
              <w:rPr>
                <w:spacing w:val="-2"/>
              </w:rPr>
              <w:t>Cost of treatment</w:t>
            </w:r>
          </w:p>
        </w:tc>
        <w:tc>
          <w:tcPr>
            <w:tcW w:w="1560" w:type="dxa"/>
            <w:vAlign w:val="center"/>
          </w:tcPr>
          <w:p w14:paraId="57CED1E7" w14:textId="77777777" w:rsidR="007B0AB7" w:rsidRDefault="007B0AB7" w:rsidP="007D412A">
            <w:pPr>
              <w:pStyle w:val="TableParagraph"/>
              <w:spacing w:line="230" w:lineRule="exact"/>
              <w:ind w:left="110" w:right="699"/>
              <w:jc w:val="right"/>
              <w:rPr>
                <w:spacing w:val="-2"/>
              </w:rPr>
            </w:pPr>
          </w:p>
        </w:tc>
        <w:tc>
          <w:tcPr>
            <w:tcW w:w="1275" w:type="dxa"/>
            <w:vAlign w:val="center"/>
          </w:tcPr>
          <w:p w14:paraId="345776F7" w14:textId="77777777" w:rsidR="007B0AB7" w:rsidRDefault="007B0AB7" w:rsidP="007D412A">
            <w:pPr>
              <w:pStyle w:val="TableParagraph"/>
              <w:spacing w:line="230" w:lineRule="exact"/>
              <w:ind w:left="110" w:right="699"/>
              <w:jc w:val="right"/>
              <w:rPr>
                <w:spacing w:val="-2"/>
              </w:rPr>
            </w:pPr>
          </w:p>
        </w:tc>
        <w:tc>
          <w:tcPr>
            <w:tcW w:w="1134" w:type="dxa"/>
            <w:vAlign w:val="center"/>
          </w:tcPr>
          <w:p w14:paraId="1A7BB8BA"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76A66A1"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7EFE4A9" w14:textId="77777777" w:rsidR="007B0AB7" w:rsidRDefault="007B0AB7" w:rsidP="007D412A">
            <w:pPr>
              <w:pStyle w:val="TableParagraph"/>
              <w:spacing w:line="230" w:lineRule="exact"/>
              <w:ind w:left="110" w:right="699"/>
              <w:jc w:val="right"/>
              <w:rPr>
                <w:spacing w:val="-2"/>
              </w:rPr>
            </w:pPr>
          </w:p>
        </w:tc>
      </w:tr>
      <w:tr w:rsidR="007B0AB7" w14:paraId="6686B3C2" w14:textId="77777777" w:rsidTr="007D412A">
        <w:trPr>
          <w:trHeight w:val="553"/>
        </w:trPr>
        <w:tc>
          <w:tcPr>
            <w:tcW w:w="3402" w:type="dxa"/>
            <w:vAlign w:val="center"/>
          </w:tcPr>
          <w:p w14:paraId="773036DE" w14:textId="77777777" w:rsidR="007B0AB7" w:rsidRDefault="007B0AB7" w:rsidP="007D412A">
            <w:pPr>
              <w:pStyle w:val="TableParagraph"/>
              <w:spacing w:line="230" w:lineRule="exact"/>
              <w:ind w:left="110" w:right="172"/>
              <w:rPr>
                <w:spacing w:val="-2"/>
              </w:rPr>
            </w:pPr>
            <w:r>
              <w:rPr>
                <w:spacing w:val="-2"/>
              </w:rPr>
              <w:t>Lack of access</w:t>
            </w:r>
          </w:p>
        </w:tc>
        <w:tc>
          <w:tcPr>
            <w:tcW w:w="1560" w:type="dxa"/>
            <w:vAlign w:val="center"/>
          </w:tcPr>
          <w:p w14:paraId="0FB5E4CD" w14:textId="77777777" w:rsidR="007B0AB7" w:rsidRDefault="007B0AB7" w:rsidP="007D412A">
            <w:pPr>
              <w:pStyle w:val="TableParagraph"/>
              <w:spacing w:line="230" w:lineRule="exact"/>
              <w:ind w:left="110" w:right="699"/>
              <w:jc w:val="right"/>
              <w:rPr>
                <w:spacing w:val="-2"/>
              </w:rPr>
            </w:pPr>
          </w:p>
        </w:tc>
        <w:tc>
          <w:tcPr>
            <w:tcW w:w="1275" w:type="dxa"/>
            <w:vAlign w:val="center"/>
          </w:tcPr>
          <w:p w14:paraId="50175394" w14:textId="77777777" w:rsidR="007B0AB7" w:rsidRDefault="007B0AB7" w:rsidP="007D412A">
            <w:pPr>
              <w:pStyle w:val="TableParagraph"/>
              <w:spacing w:line="230" w:lineRule="exact"/>
              <w:ind w:left="110" w:right="699"/>
              <w:jc w:val="right"/>
              <w:rPr>
                <w:spacing w:val="-2"/>
              </w:rPr>
            </w:pPr>
          </w:p>
        </w:tc>
        <w:tc>
          <w:tcPr>
            <w:tcW w:w="1134" w:type="dxa"/>
            <w:vAlign w:val="center"/>
          </w:tcPr>
          <w:p w14:paraId="29EE3D11"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3A98906"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9FA687A" w14:textId="77777777" w:rsidR="007B0AB7" w:rsidRDefault="007B0AB7" w:rsidP="007D412A">
            <w:pPr>
              <w:pStyle w:val="TableParagraph"/>
              <w:spacing w:line="230" w:lineRule="exact"/>
              <w:ind w:left="110" w:right="699"/>
              <w:jc w:val="right"/>
              <w:rPr>
                <w:spacing w:val="-2"/>
              </w:rPr>
            </w:pPr>
          </w:p>
        </w:tc>
      </w:tr>
      <w:tr w:rsidR="007B0AB7" w14:paraId="2C4FBA9A" w14:textId="77777777" w:rsidTr="007D412A">
        <w:trPr>
          <w:trHeight w:val="553"/>
        </w:trPr>
        <w:tc>
          <w:tcPr>
            <w:tcW w:w="3402" w:type="dxa"/>
            <w:vAlign w:val="center"/>
          </w:tcPr>
          <w:p w14:paraId="58AB1675" w14:textId="34A98A70" w:rsidR="007B0AB7" w:rsidRDefault="007B0AB7" w:rsidP="007D412A">
            <w:pPr>
              <w:pStyle w:val="TableParagraph"/>
              <w:spacing w:line="230" w:lineRule="exact"/>
              <w:ind w:left="110" w:right="172"/>
              <w:rPr>
                <w:spacing w:val="-2"/>
              </w:rPr>
            </w:pPr>
            <w:r>
              <w:rPr>
                <w:spacing w:val="-2"/>
              </w:rPr>
              <w:t>Unfamiliarity</w:t>
            </w:r>
            <w:r w:rsidR="008C5A7D">
              <w:rPr>
                <w:spacing w:val="-2"/>
              </w:rPr>
              <w:t xml:space="preserve"> </w:t>
            </w:r>
            <w:r w:rsidR="00BA726C">
              <w:rPr>
                <w:spacing w:val="-2"/>
              </w:rPr>
              <w:t>to treatment</w:t>
            </w:r>
          </w:p>
        </w:tc>
        <w:tc>
          <w:tcPr>
            <w:tcW w:w="1560" w:type="dxa"/>
            <w:vAlign w:val="center"/>
          </w:tcPr>
          <w:p w14:paraId="36895F72"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F1F6331" w14:textId="77777777" w:rsidR="007B0AB7" w:rsidRDefault="007B0AB7" w:rsidP="007D412A">
            <w:pPr>
              <w:pStyle w:val="TableParagraph"/>
              <w:spacing w:line="230" w:lineRule="exact"/>
              <w:ind w:left="110" w:right="699"/>
              <w:jc w:val="right"/>
              <w:rPr>
                <w:spacing w:val="-2"/>
              </w:rPr>
            </w:pPr>
          </w:p>
        </w:tc>
        <w:tc>
          <w:tcPr>
            <w:tcW w:w="1134" w:type="dxa"/>
            <w:vAlign w:val="center"/>
          </w:tcPr>
          <w:p w14:paraId="022D3349"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B151AE3"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3B5461E" w14:textId="77777777" w:rsidR="007B0AB7" w:rsidRDefault="007B0AB7" w:rsidP="007D412A">
            <w:pPr>
              <w:pStyle w:val="TableParagraph"/>
              <w:spacing w:line="230" w:lineRule="exact"/>
              <w:ind w:left="110" w:right="699"/>
              <w:jc w:val="right"/>
              <w:rPr>
                <w:spacing w:val="-2"/>
              </w:rPr>
            </w:pPr>
          </w:p>
        </w:tc>
      </w:tr>
    </w:tbl>
    <w:p w14:paraId="09B66749" w14:textId="77777777" w:rsidR="007B0AB7" w:rsidRDefault="007B0AB7" w:rsidP="007B0AB7">
      <w:pPr>
        <w:pStyle w:val="BodyText"/>
        <w:spacing w:line="480" w:lineRule="auto"/>
        <w:ind w:right="4"/>
        <w:jc w:val="both"/>
        <w:rPr>
          <w:b/>
          <w:bCs/>
          <w:color w:val="0D0D0D"/>
          <w:spacing w:val="-2"/>
        </w:rPr>
      </w:pPr>
    </w:p>
    <w:p w14:paraId="35A51DFB" w14:textId="77777777" w:rsidR="007B0AB7" w:rsidRDefault="007B0AB7" w:rsidP="007B0AB7">
      <w:pPr>
        <w:pStyle w:val="BodyText"/>
        <w:spacing w:line="480" w:lineRule="auto"/>
        <w:ind w:right="4"/>
        <w:jc w:val="both"/>
        <w:rPr>
          <w:b/>
          <w:bCs/>
          <w:color w:val="0D0D0D"/>
          <w:spacing w:val="-2"/>
        </w:rPr>
      </w:pPr>
      <w:r>
        <w:rPr>
          <w:b/>
          <w:bCs/>
          <w:color w:val="0D0D0D"/>
          <w:spacing w:val="-2"/>
        </w:rPr>
        <w:t>Table 5. Treatment outcomes CR/</w:t>
      </w:r>
      <w:proofErr w:type="spellStart"/>
      <w:r>
        <w:rPr>
          <w:b/>
          <w:bCs/>
          <w:color w:val="0D0D0D"/>
          <w:spacing w:val="-2"/>
        </w:rPr>
        <w:t>CRi</w:t>
      </w:r>
      <w:proofErr w:type="spellEnd"/>
      <w:r>
        <w:rPr>
          <w:b/>
          <w:bCs/>
          <w:color w:val="0D0D0D"/>
          <w:spacing w:val="-2"/>
        </w:rPr>
        <w:t>, ED,, and 1-year OS of all patients stratified for TDT group and age &lt;/= 60 years vs &gt; 60 years</w:t>
      </w:r>
    </w:p>
    <w:tbl>
      <w:tblPr>
        <w:tblW w:w="992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2"/>
        <w:gridCol w:w="1560"/>
        <w:gridCol w:w="1275"/>
        <w:gridCol w:w="1134"/>
        <w:gridCol w:w="1276"/>
        <w:gridCol w:w="1276"/>
      </w:tblGrid>
      <w:tr w:rsidR="007B0AB7" w:rsidRPr="00210B4E" w14:paraId="0FBAE25D" w14:textId="77777777" w:rsidTr="007D412A">
        <w:trPr>
          <w:trHeight w:val="601"/>
        </w:trPr>
        <w:tc>
          <w:tcPr>
            <w:tcW w:w="3402" w:type="dxa"/>
            <w:vAlign w:val="center"/>
          </w:tcPr>
          <w:p w14:paraId="1A7C0472" w14:textId="77777777" w:rsidR="007B0AB7" w:rsidRPr="00156E7A" w:rsidRDefault="007B0AB7" w:rsidP="007D412A">
            <w:pPr>
              <w:pStyle w:val="TableParagraph"/>
              <w:spacing w:line="230" w:lineRule="exact"/>
              <w:ind w:left="110" w:right="172"/>
              <w:rPr>
                <w:b/>
                <w:bCs/>
              </w:rPr>
            </w:pPr>
            <w:r>
              <w:rPr>
                <w:b/>
                <w:bCs/>
                <w:spacing w:val="-2"/>
              </w:rPr>
              <w:t>Parameter</w:t>
            </w:r>
          </w:p>
        </w:tc>
        <w:tc>
          <w:tcPr>
            <w:tcW w:w="1560" w:type="dxa"/>
            <w:vAlign w:val="center"/>
          </w:tcPr>
          <w:p w14:paraId="22C35039" w14:textId="77777777" w:rsidR="007B0AB7" w:rsidRDefault="007B0AB7" w:rsidP="007D412A">
            <w:pPr>
              <w:pStyle w:val="TableParagraph"/>
              <w:spacing w:line="230" w:lineRule="exact"/>
              <w:ind w:left="110" w:right="172"/>
              <w:rPr>
                <w:b/>
                <w:bCs/>
                <w:color w:val="0D0D0D"/>
                <w:spacing w:val="-2"/>
              </w:rPr>
            </w:pPr>
            <w:r>
              <w:rPr>
                <w:b/>
                <w:bCs/>
                <w:color w:val="0D0D0D"/>
                <w:spacing w:val="-2"/>
              </w:rPr>
              <w:t xml:space="preserve">All patients, </w:t>
            </w:r>
          </w:p>
          <w:p w14:paraId="39E96722" w14:textId="77777777" w:rsidR="007B0AB7" w:rsidRPr="00210B4E" w:rsidRDefault="007B0AB7" w:rsidP="007D412A">
            <w:pPr>
              <w:pStyle w:val="TableParagraph"/>
              <w:spacing w:line="230" w:lineRule="exact"/>
              <w:ind w:left="110" w:right="172"/>
              <w:rPr>
                <w:b/>
                <w:bCs/>
                <w:spacing w:val="-2"/>
              </w:rPr>
            </w:pPr>
            <w:r>
              <w:rPr>
                <w:b/>
                <w:bCs/>
                <w:color w:val="0D0D0D"/>
                <w:spacing w:val="-2"/>
              </w:rPr>
              <w:t xml:space="preserve">n </w:t>
            </w:r>
          </w:p>
        </w:tc>
        <w:tc>
          <w:tcPr>
            <w:tcW w:w="1275" w:type="dxa"/>
            <w:vAlign w:val="center"/>
          </w:tcPr>
          <w:p w14:paraId="4A2667AE" w14:textId="77777777" w:rsidR="007B0AB7" w:rsidRPr="00597250" w:rsidRDefault="007B0AB7" w:rsidP="007D412A">
            <w:pPr>
              <w:pStyle w:val="TableParagraph"/>
              <w:spacing w:line="230" w:lineRule="exact"/>
              <w:ind w:left="110" w:right="172"/>
              <w:rPr>
                <w:b/>
                <w:bCs/>
                <w:color w:val="0D0D0D"/>
                <w:spacing w:val="-2"/>
              </w:rPr>
            </w:pPr>
            <w:r>
              <w:rPr>
                <w:b/>
                <w:bCs/>
                <w:color w:val="0D0D0D"/>
                <w:spacing w:val="-2"/>
              </w:rPr>
              <w:t>TDT, 0-5d, n</w:t>
            </w:r>
          </w:p>
        </w:tc>
        <w:tc>
          <w:tcPr>
            <w:tcW w:w="1134" w:type="dxa"/>
            <w:vAlign w:val="center"/>
          </w:tcPr>
          <w:p w14:paraId="3E64605E" w14:textId="77777777" w:rsidR="007B0AB7" w:rsidRPr="00597250" w:rsidRDefault="007B0AB7" w:rsidP="007D412A">
            <w:pPr>
              <w:pStyle w:val="TableParagraph"/>
              <w:spacing w:line="230" w:lineRule="exact"/>
              <w:ind w:left="110" w:right="172"/>
              <w:rPr>
                <w:b/>
                <w:bCs/>
                <w:color w:val="0D0D0D"/>
                <w:spacing w:val="-2"/>
              </w:rPr>
            </w:pPr>
            <w:r>
              <w:rPr>
                <w:b/>
                <w:bCs/>
                <w:color w:val="0D0D0D"/>
                <w:spacing w:val="-2"/>
              </w:rPr>
              <w:t>TDT, 6-10d, n</w:t>
            </w:r>
          </w:p>
        </w:tc>
        <w:tc>
          <w:tcPr>
            <w:tcW w:w="1276" w:type="dxa"/>
            <w:vAlign w:val="center"/>
          </w:tcPr>
          <w:p w14:paraId="2BD1CE0A" w14:textId="77777777" w:rsidR="007B0AB7" w:rsidRPr="002C4DB8" w:rsidRDefault="007B0AB7" w:rsidP="007D412A">
            <w:pPr>
              <w:pStyle w:val="TableParagraph"/>
              <w:spacing w:line="230" w:lineRule="exact"/>
              <w:ind w:left="110" w:right="172"/>
              <w:rPr>
                <w:b/>
                <w:bCs/>
                <w:color w:val="0D0D0D"/>
                <w:spacing w:val="-2"/>
              </w:rPr>
            </w:pPr>
            <w:r>
              <w:rPr>
                <w:b/>
                <w:bCs/>
                <w:color w:val="0D0D0D"/>
                <w:spacing w:val="-2"/>
              </w:rPr>
              <w:t>TDT, 11-15d, n</w:t>
            </w:r>
          </w:p>
        </w:tc>
        <w:tc>
          <w:tcPr>
            <w:tcW w:w="1276" w:type="dxa"/>
            <w:vAlign w:val="center"/>
          </w:tcPr>
          <w:p w14:paraId="2ADA31F2" w14:textId="77777777" w:rsidR="007B0AB7" w:rsidRPr="00210B4E" w:rsidRDefault="007B0AB7" w:rsidP="007D412A">
            <w:pPr>
              <w:pStyle w:val="TableParagraph"/>
              <w:spacing w:line="230" w:lineRule="exact"/>
              <w:ind w:left="110" w:right="172"/>
              <w:rPr>
                <w:b/>
                <w:bCs/>
                <w:spacing w:val="-2"/>
              </w:rPr>
            </w:pPr>
            <w:r>
              <w:rPr>
                <w:b/>
                <w:bCs/>
                <w:color w:val="0D0D0D"/>
                <w:spacing w:val="-2"/>
              </w:rPr>
              <w:t>TDT, &gt;15d, n</w:t>
            </w:r>
          </w:p>
        </w:tc>
      </w:tr>
      <w:tr w:rsidR="007B0AB7" w14:paraId="455B56DA" w14:textId="77777777" w:rsidTr="007D412A">
        <w:trPr>
          <w:trHeight w:val="553"/>
        </w:trPr>
        <w:tc>
          <w:tcPr>
            <w:tcW w:w="3402" w:type="dxa"/>
            <w:vAlign w:val="center"/>
          </w:tcPr>
          <w:p w14:paraId="0F8ACE46" w14:textId="77777777" w:rsidR="007B0AB7" w:rsidRPr="00597250" w:rsidRDefault="007B0AB7" w:rsidP="007D412A">
            <w:pPr>
              <w:pStyle w:val="TableParagraph"/>
              <w:spacing w:line="230" w:lineRule="exact"/>
              <w:ind w:left="110" w:right="172"/>
              <w:rPr>
                <w:b/>
                <w:bCs/>
                <w:i/>
                <w:iCs/>
                <w:spacing w:val="-2"/>
              </w:rPr>
            </w:pPr>
            <w:r>
              <w:rPr>
                <w:b/>
                <w:bCs/>
                <w:spacing w:val="-2"/>
              </w:rPr>
              <w:t>All patients</w:t>
            </w:r>
          </w:p>
        </w:tc>
        <w:tc>
          <w:tcPr>
            <w:tcW w:w="1560" w:type="dxa"/>
            <w:vAlign w:val="center"/>
          </w:tcPr>
          <w:p w14:paraId="5B1807A7" w14:textId="77777777" w:rsidR="007B0AB7" w:rsidRDefault="007B0AB7" w:rsidP="007D412A">
            <w:pPr>
              <w:pStyle w:val="TableParagraph"/>
              <w:spacing w:line="230" w:lineRule="exact"/>
              <w:ind w:left="110" w:right="699"/>
              <w:jc w:val="right"/>
              <w:rPr>
                <w:spacing w:val="-2"/>
              </w:rPr>
            </w:pPr>
          </w:p>
        </w:tc>
        <w:tc>
          <w:tcPr>
            <w:tcW w:w="1275" w:type="dxa"/>
            <w:vAlign w:val="center"/>
          </w:tcPr>
          <w:p w14:paraId="43EA82A9" w14:textId="77777777" w:rsidR="007B0AB7" w:rsidRDefault="007B0AB7" w:rsidP="007D412A">
            <w:pPr>
              <w:pStyle w:val="TableParagraph"/>
              <w:spacing w:line="230" w:lineRule="exact"/>
              <w:ind w:left="110" w:right="699"/>
              <w:jc w:val="right"/>
              <w:rPr>
                <w:spacing w:val="-2"/>
              </w:rPr>
            </w:pPr>
          </w:p>
        </w:tc>
        <w:tc>
          <w:tcPr>
            <w:tcW w:w="1134" w:type="dxa"/>
            <w:vAlign w:val="center"/>
          </w:tcPr>
          <w:p w14:paraId="16A363F1"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53DC029"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D01B3CA" w14:textId="77777777" w:rsidR="007B0AB7" w:rsidRDefault="007B0AB7" w:rsidP="007D412A">
            <w:pPr>
              <w:pStyle w:val="TableParagraph"/>
              <w:spacing w:line="230" w:lineRule="exact"/>
              <w:ind w:left="110" w:right="699"/>
              <w:jc w:val="right"/>
              <w:rPr>
                <w:spacing w:val="-2"/>
              </w:rPr>
            </w:pPr>
          </w:p>
        </w:tc>
      </w:tr>
      <w:tr w:rsidR="007B0AB7" w14:paraId="33762A0D" w14:textId="77777777" w:rsidTr="007D412A">
        <w:trPr>
          <w:trHeight w:val="553"/>
        </w:trPr>
        <w:tc>
          <w:tcPr>
            <w:tcW w:w="3402" w:type="dxa"/>
            <w:vAlign w:val="center"/>
          </w:tcPr>
          <w:p w14:paraId="5C1FB672" w14:textId="77777777" w:rsidR="007B0AB7" w:rsidRPr="00E006F7" w:rsidRDefault="007B0AB7" w:rsidP="007D412A">
            <w:pPr>
              <w:pStyle w:val="TableParagraph"/>
              <w:spacing w:line="230" w:lineRule="exact"/>
              <w:ind w:left="110" w:right="172"/>
              <w:rPr>
                <w:spacing w:val="-2"/>
              </w:rPr>
            </w:pPr>
            <w:r>
              <w:rPr>
                <w:spacing w:val="-2"/>
              </w:rPr>
              <w:t>CR/</w:t>
            </w:r>
            <w:proofErr w:type="spellStart"/>
            <w:r>
              <w:rPr>
                <w:spacing w:val="-2"/>
              </w:rPr>
              <w:t>CRi</w:t>
            </w:r>
            <w:proofErr w:type="spellEnd"/>
            <w:r>
              <w:rPr>
                <w:spacing w:val="-2"/>
              </w:rPr>
              <w:t xml:space="preserve">, </w:t>
            </w:r>
            <w:r w:rsidRPr="00E006F7">
              <w:rPr>
                <w:spacing w:val="-2"/>
              </w:rPr>
              <w:t>no./no. available (%)</w:t>
            </w:r>
            <w:r>
              <w:rPr>
                <w:spacing w:val="-2"/>
              </w:rPr>
              <w:t xml:space="preserve"> [CI]</w:t>
            </w:r>
          </w:p>
        </w:tc>
        <w:tc>
          <w:tcPr>
            <w:tcW w:w="1560" w:type="dxa"/>
            <w:vAlign w:val="center"/>
          </w:tcPr>
          <w:p w14:paraId="47A717AB" w14:textId="77777777" w:rsidR="007B0AB7" w:rsidRDefault="007B0AB7" w:rsidP="007D412A">
            <w:pPr>
              <w:pStyle w:val="TableParagraph"/>
              <w:spacing w:line="230" w:lineRule="exact"/>
              <w:ind w:left="110" w:right="699"/>
              <w:jc w:val="right"/>
              <w:rPr>
                <w:spacing w:val="-2"/>
              </w:rPr>
            </w:pPr>
          </w:p>
        </w:tc>
        <w:tc>
          <w:tcPr>
            <w:tcW w:w="1275" w:type="dxa"/>
            <w:vAlign w:val="center"/>
          </w:tcPr>
          <w:p w14:paraId="7043D64E" w14:textId="77777777" w:rsidR="007B0AB7" w:rsidRDefault="007B0AB7" w:rsidP="007D412A">
            <w:pPr>
              <w:pStyle w:val="TableParagraph"/>
              <w:spacing w:line="230" w:lineRule="exact"/>
              <w:ind w:left="110" w:right="699"/>
              <w:jc w:val="right"/>
              <w:rPr>
                <w:spacing w:val="-2"/>
              </w:rPr>
            </w:pPr>
          </w:p>
        </w:tc>
        <w:tc>
          <w:tcPr>
            <w:tcW w:w="1134" w:type="dxa"/>
            <w:vAlign w:val="center"/>
          </w:tcPr>
          <w:p w14:paraId="758170B5"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1CDD20F"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0003821" w14:textId="77777777" w:rsidR="007B0AB7" w:rsidRDefault="007B0AB7" w:rsidP="007D412A">
            <w:pPr>
              <w:pStyle w:val="TableParagraph"/>
              <w:spacing w:line="230" w:lineRule="exact"/>
              <w:ind w:left="110" w:right="699"/>
              <w:jc w:val="right"/>
              <w:rPr>
                <w:spacing w:val="-2"/>
              </w:rPr>
            </w:pPr>
          </w:p>
        </w:tc>
      </w:tr>
      <w:tr w:rsidR="007B0AB7" w14:paraId="43ED73B9" w14:textId="77777777" w:rsidTr="007D412A">
        <w:trPr>
          <w:trHeight w:val="553"/>
        </w:trPr>
        <w:tc>
          <w:tcPr>
            <w:tcW w:w="3402" w:type="dxa"/>
            <w:vAlign w:val="center"/>
          </w:tcPr>
          <w:p w14:paraId="5737F9F5" w14:textId="77777777" w:rsidR="007B0AB7" w:rsidRPr="00E006F7" w:rsidRDefault="007B0AB7" w:rsidP="007D412A">
            <w:pPr>
              <w:pStyle w:val="TableParagraph"/>
              <w:spacing w:line="230" w:lineRule="exact"/>
              <w:ind w:left="110" w:right="172"/>
              <w:rPr>
                <w:spacing w:val="-2"/>
              </w:rPr>
            </w:pPr>
            <w:r>
              <w:rPr>
                <w:spacing w:val="-2"/>
              </w:rPr>
              <w:t xml:space="preserve">ED, </w:t>
            </w:r>
            <w:r w:rsidRPr="00E006F7">
              <w:rPr>
                <w:spacing w:val="-2"/>
              </w:rPr>
              <w:t>no./no. available (%)</w:t>
            </w:r>
            <w:r>
              <w:rPr>
                <w:spacing w:val="-2"/>
              </w:rPr>
              <w:t xml:space="preserve"> [CI]</w:t>
            </w:r>
          </w:p>
        </w:tc>
        <w:tc>
          <w:tcPr>
            <w:tcW w:w="1560" w:type="dxa"/>
            <w:vAlign w:val="center"/>
          </w:tcPr>
          <w:p w14:paraId="197CFF8D"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B648C00" w14:textId="77777777" w:rsidR="007B0AB7" w:rsidRDefault="007B0AB7" w:rsidP="007D412A">
            <w:pPr>
              <w:pStyle w:val="TableParagraph"/>
              <w:spacing w:line="230" w:lineRule="exact"/>
              <w:ind w:left="110" w:right="699"/>
              <w:jc w:val="right"/>
              <w:rPr>
                <w:spacing w:val="-2"/>
              </w:rPr>
            </w:pPr>
          </w:p>
        </w:tc>
        <w:tc>
          <w:tcPr>
            <w:tcW w:w="1134" w:type="dxa"/>
            <w:vAlign w:val="center"/>
          </w:tcPr>
          <w:p w14:paraId="0B5BDCA8"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E2CC7DC"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6FC30EA" w14:textId="77777777" w:rsidR="007B0AB7" w:rsidRDefault="007B0AB7" w:rsidP="007D412A">
            <w:pPr>
              <w:pStyle w:val="TableParagraph"/>
              <w:spacing w:line="230" w:lineRule="exact"/>
              <w:ind w:left="110" w:right="699"/>
              <w:jc w:val="right"/>
              <w:rPr>
                <w:spacing w:val="-2"/>
              </w:rPr>
            </w:pPr>
          </w:p>
        </w:tc>
      </w:tr>
      <w:tr w:rsidR="007B0AB7" w14:paraId="2FA6EB09" w14:textId="77777777" w:rsidTr="007D412A">
        <w:trPr>
          <w:trHeight w:val="553"/>
        </w:trPr>
        <w:tc>
          <w:tcPr>
            <w:tcW w:w="3402" w:type="dxa"/>
            <w:vAlign w:val="center"/>
          </w:tcPr>
          <w:p w14:paraId="077D5DA5" w14:textId="77777777" w:rsidR="007B0AB7" w:rsidRPr="00E006F7" w:rsidRDefault="007B0AB7" w:rsidP="007D412A">
            <w:pPr>
              <w:pStyle w:val="TableParagraph"/>
              <w:spacing w:line="230" w:lineRule="exact"/>
              <w:ind w:left="110" w:right="172"/>
              <w:rPr>
                <w:spacing w:val="-2"/>
              </w:rPr>
            </w:pPr>
            <w:r>
              <w:rPr>
                <w:spacing w:val="-2"/>
              </w:rPr>
              <w:t xml:space="preserve">RFS, </w:t>
            </w:r>
            <w:r w:rsidRPr="00E006F7">
              <w:rPr>
                <w:spacing w:val="-2"/>
              </w:rPr>
              <w:t>no./no. available (%)</w:t>
            </w:r>
            <w:r>
              <w:rPr>
                <w:spacing w:val="-2"/>
              </w:rPr>
              <w:t xml:space="preserve"> [CI]</w:t>
            </w:r>
          </w:p>
        </w:tc>
        <w:tc>
          <w:tcPr>
            <w:tcW w:w="1560" w:type="dxa"/>
            <w:vAlign w:val="center"/>
          </w:tcPr>
          <w:p w14:paraId="6F7E49D2" w14:textId="77777777" w:rsidR="007B0AB7" w:rsidRDefault="007B0AB7" w:rsidP="007D412A">
            <w:pPr>
              <w:pStyle w:val="TableParagraph"/>
              <w:spacing w:line="230" w:lineRule="exact"/>
              <w:ind w:left="110" w:right="699"/>
              <w:jc w:val="right"/>
              <w:rPr>
                <w:spacing w:val="-2"/>
              </w:rPr>
            </w:pPr>
          </w:p>
        </w:tc>
        <w:tc>
          <w:tcPr>
            <w:tcW w:w="1275" w:type="dxa"/>
            <w:vAlign w:val="center"/>
          </w:tcPr>
          <w:p w14:paraId="5AE2F70C" w14:textId="77777777" w:rsidR="007B0AB7" w:rsidRDefault="007B0AB7" w:rsidP="007D412A">
            <w:pPr>
              <w:pStyle w:val="TableParagraph"/>
              <w:spacing w:line="230" w:lineRule="exact"/>
              <w:ind w:left="110" w:right="699"/>
              <w:jc w:val="right"/>
              <w:rPr>
                <w:spacing w:val="-2"/>
              </w:rPr>
            </w:pPr>
          </w:p>
        </w:tc>
        <w:tc>
          <w:tcPr>
            <w:tcW w:w="1134" w:type="dxa"/>
            <w:vAlign w:val="center"/>
          </w:tcPr>
          <w:p w14:paraId="502C67A4"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290E814"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C241784" w14:textId="77777777" w:rsidR="007B0AB7" w:rsidRDefault="007B0AB7" w:rsidP="007D412A">
            <w:pPr>
              <w:pStyle w:val="TableParagraph"/>
              <w:spacing w:line="230" w:lineRule="exact"/>
              <w:ind w:left="110" w:right="699"/>
              <w:jc w:val="right"/>
              <w:rPr>
                <w:spacing w:val="-2"/>
              </w:rPr>
            </w:pPr>
          </w:p>
        </w:tc>
      </w:tr>
      <w:tr w:rsidR="007B0AB7" w14:paraId="35A27849" w14:textId="77777777" w:rsidTr="007D412A">
        <w:trPr>
          <w:trHeight w:val="553"/>
        </w:trPr>
        <w:tc>
          <w:tcPr>
            <w:tcW w:w="3402" w:type="dxa"/>
            <w:vAlign w:val="center"/>
          </w:tcPr>
          <w:p w14:paraId="31938812" w14:textId="77777777" w:rsidR="007B0AB7" w:rsidRPr="00E006F7" w:rsidRDefault="007B0AB7" w:rsidP="007D412A">
            <w:pPr>
              <w:pStyle w:val="TableParagraph"/>
              <w:spacing w:line="230" w:lineRule="exact"/>
              <w:ind w:left="110" w:right="172"/>
              <w:rPr>
                <w:spacing w:val="-2"/>
              </w:rPr>
            </w:pPr>
            <w:r>
              <w:rPr>
                <w:spacing w:val="-2"/>
              </w:rPr>
              <w:t xml:space="preserve">OS, </w:t>
            </w:r>
            <w:r w:rsidRPr="00E006F7">
              <w:rPr>
                <w:spacing w:val="-2"/>
              </w:rPr>
              <w:t>no./no. available (%)</w:t>
            </w:r>
            <w:r>
              <w:rPr>
                <w:spacing w:val="-2"/>
              </w:rPr>
              <w:t xml:space="preserve"> [CI]</w:t>
            </w:r>
          </w:p>
        </w:tc>
        <w:tc>
          <w:tcPr>
            <w:tcW w:w="1560" w:type="dxa"/>
            <w:vAlign w:val="center"/>
          </w:tcPr>
          <w:p w14:paraId="03D7DF2D" w14:textId="77777777" w:rsidR="007B0AB7" w:rsidRDefault="007B0AB7" w:rsidP="007D412A">
            <w:pPr>
              <w:pStyle w:val="TableParagraph"/>
              <w:spacing w:line="230" w:lineRule="exact"/>
              <w:ind w:left="110" w:right="699"/>
              <w:jc w:val="right"/>
              <w:rPr>
                <w:spacing w:val="-2"/>
              </w:rPr>
            </w:pPr>
          </w:p>
        </w:tc>
        <w:tc>
          <w:tcPr>
            <w:tcW w:w="1275" w:type="dxa"/>
            <w:vAlign w:val="center"/>
          </w:tcPr>
          <w:p w14:paraId="0B998383" w14:textId="77777777" w:rsidR="007B0AB7" w:rsidRDefault="007B0AB7" w:rsidP="007D412A">
            <w:pPr>
              <w:pStyle w:val="TableParagraph"/>
              <w:spacing w:line="230" w:lineRule="exact"/>
              <w:ind w:left="110" w:right="699"/>
              <w:jc w:val="right"/>
              <w:rPr>
                <w:spacing w:val="-2"/>
              </w:rPr>
            </w:pPr>
          </w:p>
        </w:tc>
        <w:tc>
          <w:tcPr>
            <w:tcW w:w="1134" w:type="dxa"/>
            <w:vAlign w:val="center"/>
          </w:tcPr>
          <w:p w14:paraId="1B56FAFB"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2E7201C"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7C7C377" w14:textId="77777777" w:rsidR="007B0AB7" w:rsidRDefault="007B0AB7" w:rsidP="007D412A">
            <w:pPr>
              <w:pStyle w:val="TableParagraph"/>
              <w:spacing w:line="230" w:lineRule="exact"/>
              <w:ind w:left="110" w:right="699"/>
              <w:jc w:val="right"/>
              <w:rPr>
                <w:spacing w:val="-2"/>
              </w:rPr>
            </w:pPr>
          </w:p>
        </w:tc>
      </w:tr>
      <w:tr w:rsidR="007B0AB7" w14:paraId="5F607108" w14:textId="77777777" w:rsidTr="007D412A">
        <w:trPr>
          <w:trHeight w:val="553"/>
        </w:trPr>
        <w:tc>
          <w:tcPr>
            <w:tcW w:w="3402" w:type="dxa"/>
            <w:vAlign w:val="center"/>
          </w:tcPr>
          <w:p w14:paraId="34ED4A02" w14:textId="77777777" w:rsidR="007B0AB7" w:rsidRPr="00597250" w:rsidRDefault="007B0AB7" w:rsidP="007D412A">
            <w:pPr>
              <w:pStyle w:val="TableParagraph"/>
              <w:spacing w:line="230" w:lineRule="exact"/>
              <w:ind w:left="110" w:right="172"/>
              <w:rPr>
                <w:b/>
                <w:bCs/>
                <w:i/>
                <w:iCs/>
                <w:spacing w:val="-2"/>
              </w:rPr>
            </w:pPr>
            <w:r>
              <w:rPr>
                <w:b/>
                <w:bCs/>
                <w:spacing w:val="-2"/>
              </w:rPr>
              <w:t>Age &lt;/= 60 y</w:t>
            </w:r>
          </w:p>
        </w:tc>
        <w:tc>
          <w:tcPr>
            <w:tcW w:w="1560" w:type="dxa"/>
            <w:vAlign w:val="center"/>
          </w:tcPr>
          <w:p w14:paraId="0E3CFF21" w14:textId="77777777" w:rsidR="007B0AB7" w:rsidRDefault="007B0AB7" w:rsidP="007D412A">
            <w:pPr>
              <w:pStyle w:val="TableParagraph"/>
              <w:spacing w:line="230" w:lineRule="exact"/>
              <w:ind w:left="110" w:right="699"/>
              <w:jc w:val="right"/>
              <w:rPr>
                <w:spacing w:val="-2"/>
              </w:rPr>
            </w:pPr>
          </w:p>
        </w:tc>
        <w:tc>
          <w:tcPr>
            <w:tcW w:w="1275" w:type="dxa"/>
            <w:vAlign w:val="center"/>
          </w:tcPr>
          <w:p w14:paraId="551444A4" w14:textId="77777777" w:rsidR="007B0AB7" w:rsidRDefault="007B0AB7" w:rsidP="007D412A">
            <w:pPr>
              <w:pStyle w:val="TableParagraph"/>
              <w:spacing w:line="230" w:lineRule="exact"/>
              <w:ind w:left="110" w:right="699"/>
              <w:jc w:val="right"/>
              <w:rPr>
                <w:spacing w:val="-2"/>
              </w:rPr>
            </w:pPr>
          </w:p>
        </w:tc>
        <w:tc>
          <w:tcPr>
            <w:tcW w:w="1134" w:type="dxa"/>
            <w:vAlign w:val="center"/>
          </w:tcPr>
          <w:p w14:paraId="059A3580"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80334E3"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E10A394" w14:textId="77777777" w:rsidR="007B0AB7" w:rsidRDefault="007B0AB7" w:rsidP="007D412A">
            <w:pPr>
              <w:pStyle w:val="TableParagraph"/>
              <w:spacing w:line="230" w:lineRule="exact"/>
              <w:ind w:left="110" w:right="699"/>
              <w:jc w:val="right"/>
              <w:rPr>
                <w:spacing w:val="-2"/>
              </w:rPr>
            </w:pPr>
          </w:p>
        </w:tc>
      </w:tr>
      <w:tr w:rsidR="007B0AB7" w14:paraId="54DCBE5E" w14:textId="77777777" w:rsidTr="007D412A">
        <w:trPr>
          <w:trHeight w:val="553"/>
        </w:trPr>
        <w:tc>
          <w:tcPr>
            <w:tcW w:w="3402" w:type="dxa"/>
            <w:vAlign w:val="center"/>
          </w:tcPr>
          <w:p w14:paraId="11DD1AF3" w14:textId="77777777" w:rsidR="007B0AB7" w:rsidRPr="00E006F7" w:rsidRDefault="007B0AB7" w:rsidP="007D412A">
            <w:pPr>
              <w:pStyle w:val="TableParagraph"/>
              <w:spacing w:line="230" w:lineRule="exact"/>
              <w:ind w:left="110" w:right="172"/>
              <w:rPr>
                <w:spacing w:val="-2"/>
              </w:rPr>
            </w:pPr>
            <w:r>
              <w:rPr>
                <w:spacing w:val="-2"/>
              </w:rPr>
              <w:t>CR/</w:t>
            </w:r>
            <w:proofErr w:type="spellStart"/>
            <w:r>
              <w:rPr>
                <w:spacing w:val="-2"/>
              </w:rPr>
              <w:t>CRi</w:t>
            </w:r>
            <w:proofErr w:type="spellEnd"/>
            <w:r>
              <w:rPr>
                <w:spacing w:val="-2"/>
              </w:rPr>
              <w:t xml:space="preserve">, </w:t>
            </w:r>
            <w:r w:rsidRPr="00E006F7">
              <w:rPr>
                <w:spacing w:val="-2"/>
              </w:rPr>
              <w:t>no./no. available (%)</w:t>
            </w:r>
            <w:r>
              <w:rPr>
                <w:spacing w:val="-2"/>
              </w:rPr>
              <w:t xml:space="preserve"> [CI]</w:t>
            </w:r>
          </w:p>
        </w:tc>
        <w:tc>
          <w:tcPr>
            <w:tcW w:w="1560" w:type="dxa"/>
            <w:vAlign w:val="center"/>
          </w:tcPr>
          <w:p w14:paraId="6A5F83FD" w14:textId="77777777" w:rsidR="007B0AB7" w:rsidRDefault="007B0AB7" w:rsidP="007D412A">
            <w:pPr>
              <w:pStyle w:val="TableParagraph"/>
              <w:spacing w:line="230" w:lineRule="exact"/>
              <w:ind w:left="110" w:right="699"/>
              <w:jc w:val="right"/>
              <w:rPr>
                <w:spacing w:val="-2"/>
              </w:rPr>
            </w:pPr>
          </w:p>
        </w:tc>
        <w:tc>
          <w:tcPr>
            <w:tcW w:w="1275" w:type="dxa"/>
            <w:vAlign w:val="center"/>
          </w:tcPr>
          <w:p w14:paraId="6D576516" w14:textId="77777777" w:rsidR="007B0AB7" w:rsidRDefault="007B0AB7" w:rsidP="007D412A">
            <w:pPr>
              <w:pStyle w:val="TableParagraph"/>
              <w:spacing w:line="230" w:lineRule="exact"/>
              <w:ind w:left="110" w:right="699"/>
              <w:jc w:val="right"/>
              <w:rPr>
                <w:spacing w:val="-2"/>
              </w:rPr>
            </w:pPr>
          </w:p>
        </w:tc>
        <w:tc>
          <w:tcPr>
            <w:tcW w:w="1134" w:type="dxa"/>
            <w:vAlign w:val="center"/>
          </w:tcPr>
          <w:p w14:paraId="4CCDF793" w14:textId="77777777" w:rsidR="007B0AB7" w:rsidRDefault="007B0AB7" w:rsidP="007D412A">
            <w:pPr>
              <w:pStyle w:val="TableParagraph"/>
              <w:spacing w:line="230" w:lineRule="exact"/>
              <w:ind w:left="110" w:right="699"/>
              <w:jc w:val="right"/>
              <w:rPr>
                <w:spacing w:val="-2"/>
              </w:rPr>
            </w:pPr>
          </w:p>
        </w:tc>
        <w:tc>
          <w:tcPr>
            <w:tcW w:w="1276" w:type="dxa"/>
            <w:vAlign w:val="center"/>
          </w:tcPr>
          <w:p w14:paraId="149FA28A"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B2B3D55" w14:textId="77777777" w:rsidR="007B0AB7" w:rsidRDefault="007B0AB7" w:rsidP="007D412A">
            <w:pPr>
              <w:pStyle w:val="TableParagraph"/>
              <w:spacing w:line="230" w:lineRule="exact"/>
              <w:ind w:left="110" w:right="699"/>
              <w:jc w:val="right"/>
              <w:rPr>
                <w:spacing w:val="-2"/>
              </w:rPr>
            </w:pPr>
          </w:p>
        </w:tc>
      </w:tr>
      <w:tr w:rsidR="007B0AB7" w14:paraId="7C1B86F5" w14:textId="77777777" w:rsidTr="007D412A">
        <w:trPr>
          <w:trHeight w:val="553"/>
        </w:trPr>
        <w:tc>
          <w:tcPr>
            <w:tcW w:w="3402" w:type="dxa"/>
            <w:vAlign w:val="center"/>
          </w:tcPr>
          <w:p w14:paraId="338009D8" w14:textId="77777777" w:rsidR="007B0AB7" w:rsidRPr="00E006F7" w:rsidRDefault="007B0AB7" w:rsidP="007D412A">
            <w:pPr>
              <w:pStyle w:val="TableParagraph"/>
              <w:spacing w:line="230" w:lineRule="exact"/>
              <w:ind w:left="110" w:right="172"/>
              <w:rPr>
                <w:spacing w:val="-2"/>
              </w:rPr>
            </w:pPr>
            <w:r>
              <w:rPr>
                <w:spacing w:val="-2"/>
              </w:rPr>
              <w:t xml:space="preserve">ED, </w:t>
            </w:r>
            <w:r w:rsidRPr="00E006F7">
              <w:rPr>
                <w:spacing w:val="-2"/>
              </w:rPr>
              <w:t>no./no. available (%)</w:t>
            </w:r>
            <w:r>
              <w:rPr>
                <w:spacing w:val="-2"/>
              </w:rPr>
              <w:t xml:space="preserve"> [CI]</w:t>
            </w:r>
          </w:p>
        </w:tc>
        <w:tc>
          <w:tcPr>
            <w:tcW w:w="1560" w:type="dxa"/>
            <w:vAlign w:val="center"/>
          </w:tcPr>
          <w:p w14:paraId="52067A4F" w14:textId="77777777" w:rsidR="007B0AB7" w:rsidRDefault="007B0AB7" w:rsidP="007D412A">
            <w:pPr>
              <w:pStyle w:val="TableParagraph"/>
              <w:spacing w:line="230" w:lineRule="exact"/>
              <w:ind w:left="110" w:right="699"/>
              <w:jc w:val="right"/>
              <w:rPr>
                <w:spacing w:val="-2"/>
              </w:rPr>
            </w:pPr>
          </w:p>
        </w:tc>
        <w:tc>
          <w:tcPr>
            <w:tcW w:w="1275" w:type="dxa"/>
            <w:vAlign w:val="center"/>
          </w:tcPr>
          <w:p w14:paraId="5D8F168B" w14:textId="77777777" w:rsidR="007B0AB7" w:rsidRDefault="007B0AB7" w:rsidP="007D412A">
            <w:pPr>
              <w:pStyle w:val="TableParagraph"/>
              <w:spacing w:line="230" w:lineRule="exact"/>
              <w:ind w:left="110" w:right="699"/>
              <w:jc w:val="right"/>
              <w:rPr>
                <w:spacing w:val="-2"/>
              </w:rPr>
            </w:pPr>
          </w:p>
        </w:tc>
        <w:tc>
          <w:tcPr>
            <w:tcW w:w="1134" w:type="dxa"/>
            <w:vAlign w:val="center"/>
          </w:tcPr>
          <w:p w14:paraId="5560B746"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A63DE07"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449BE6F" w14:textId="77777777" w:rsidR="007B0AB7" w:rsidRDefault="007B0AB7" w:rsidP="007D412A">
            <w:pPr>
              <w:pStyle w:val="TableParagraph"/>
              <w:spacing w:line="230" w:lineRule="exact"/>
              <w:ind w:left="110" w:right="699"/>
              <w:jc w:val="right"/>
              <w:rPr>
                <w:spacing w:val="-2"/>
              </w:rPr>
            </w:pPr>
          </w:p>
        </w:tc>
      </w:tr>
      <w:tr w:rsidR="007B0AB7" w14:paraId="18480BEF" w14:textId="77777777" w:rsidTr="007D412A">
        <w:trPr>
          <w:trHeight w:val="553"/>
        </w:trPr>
        <w:tc>
          <w:tcPr>
            <w:tcW w:w="3402" w:type="dxa"/>
            <w:vAlign w:val="center"/>
          </w:tcPr>
          <w:p w14:paraId="47154EA7" w14:textId="77777777" w:rsidR="007B0AB7" w:rsidRPr="00E006F7" w:rsidRDefault="007B0AB7" w:rsidP="007D412A">
            <w:pPr>
              <w:pStyle w:val="TableParagraph"/>
              <w:spacing w:line="230" w:lineRule="exact"/>
              <w:ind w:left="110" w:right="172"/>
              <w:rPr>
                <w:spacing w:val="-2"/>
              </w:rPr>
            </w:pPr>
            <w:r>
              <w:rPr>
                <w:spacing w:val="-2"/>
              </w:rPr>
              <w:t xml:space="preserve">RFS, </w:t>
            </w:r>
            <w:r w:rsidRPr="00E006F7">
              <w:rPr>
                <w:spacing w:val="-2"/>
              </w:rPr>
              <w:t>no./no. available (%)</w:t>
            </w:r>
            <w:r>
              <w:rPr>
                <w:spacing w:val="-2"/>
              </w:rPr>
              <w:t xml:space="preserve"> [CI]</w:t>
            </w:r>
          </w:p>
        </w:tc>
        <w:tc>
          <w:tcPr>
            <w:tcW w:w="1560" w:type="dxa"/>
            <w:vAlign w:val="center"/>
          </w:tcPr>
          <w:p w14:paraId="17773ADB" w14:textId="77777777" w:rsidR="007B0AB7" w:rsidRDefault="007B0AB7" w:rsidP="007D412A">
            <w:pPr>
              <w:pStyle w:val="TableParagraph"/>
              <w:spacing w:line="230" w:lineRule="exact"/>
              <w:ind w:left="110" w:right="699"/>
              <w:jc w:val="right"/>
              <w:rPr>
                <w:spacing w:val="-2"/>
              </w:rPr>
            </w:pPr>
          </w:p>
        </w:tc>
        <w:tc>
          <w:tcPr>
            <w:tcW w:w="1275" w:type="dxa"/>
            <w:vAlign w:val="center"/>
          </w:tcPr>
          <w:p w14:paraId="5419A366" w14:textId="77777777" w:rsidR="007B0AB7" w:rsidRDefault="007B0AB7" w:rsidP="007D412A">
            <w:pPr>
              <w:pStyle w:val="TableParagraph"/>
              <w:spacing w:line="230" w:lineRule="exact"/>
              <w:ind w:left="110" w:right="699"/>
              <w:jc w:val="right"/>
              <w:rPr>
                <w:spacing w:val="-2"/>
              </w:rPr>
            </w:pPr>
          </w:p>
        </w:tc>
        <w:tc>
          <w:tcPr>
            <w:tcW w:w="1134" w:type="dxa"/>
            <w:vAlign w:val="center"/>
          </w:tcPr>
          <w:p w14:paraId="769E5099"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28707E7"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146E83D" w14:textId="77777777" w:rsidR="007B0AB7" w:rsidRDefault="007B0AB7" w:rsidP="007D412A">
            <w:pPr>
              <w:pStyle w:val="TableParagraph"/>
              <w:spacing w:line="230" w:lineRule="exact"/>
              <w:ind w:left="110" w:right="699"/>
              <w:jc w:val="right"/>
              <w:rPr>
                <w:spacing w:val="-2"/>
              </w:rPr>
            </w:pPr>
          </w:p>
        </w:tc>
      </w:tr>
      <w:tr w:rsidR="007B0AB7" w14:paraId="0977BF17" w14:textId="77777777" w:rsidTr="007D412A">
        <w:trPr>
          <w:trHeight w:val="553"/>
        </w:trPr>
        <w:tc>
          <w:tcPr>
            <w:tcW w:w="3402" w:type="dxa"/>
            <w:vAlign w:val="center"/>
          </w:tcPr>
          <w:p w14:paraId="1EFE83E7" w14:textId="77777777" w:rsidR="007B0AB7" w:rsidRPr="00E006F7" w:rsidRDefault="007B0AB7" w:rsidP="007D412A">
            <w:pPr>
              <w:pStyle w:val="TableParagraph"/>
              <w:spacing w:line="230" w:lineRule="exact"/>
              <w:ind w:left="110" w:right="172"/>
              <w:rPr>
                <w:spacing w:val="-2"/>
              </w:rPr>
            </w:pPr>
            <w:r>
              <w:rPr>
                <w:spacing w:val="-2"/>
              </w:rPr>
              <w:t xml:space="preserve">OS, </w:t>
            </w:r>
            <w:r w:rsidRPr="00E006F7">
              <w:rPr>
                <w:spacing w:val="-2"/>
              </w:rPr>
              <w:t>no./no. available (%)</w:t>
            </w:r>
            <w:r>
              <w:rPr>
                <w:spacing w:val="-2"/>
              </w:rPr>
              <w:t xml:space="preserve"> [CI]</w:t>
            </w:r>
          </w:p>
        </w:tc>
        <w:tc>
          <w:tcPr>
            <w:tcW w:w="1560" w:type="dxa"/>
            <w:vAlign w:val="center"/>
          </w:tcPr>
          <w:p w14:paraId="2516FD1D" w14:textId="77777777" w:rsidR="007B0AB7" w:rsidRDefault="007B0AB7" w:rsidP="007D412A">
            <w:pPr>
              <w:pStyle w:val="TableParagraph"/>
              <w:spacing w:line="230" w:lineRule="exact"/>
              <w:ind w:left="110" w:right="699"/>
              <w:jc w:val="right"/>
              <w:rPr>
                <w:spacing w:val="-2"/>
              </w:rPr>
            </w:pPr>
          </w:p>
        </w:tc>
        <w:tc>
          <w:tcPr>
            <w:tcW w:w="1275" w:type="dxa"/>
            <w:vAlign w:val="center"/>
          </w:tcPr>
          <w:p w14:paraId="7DF9089A" w14:textId="77777777" w:rsidR="007B0AB7" w:rsidRDefault="007B0AB7" w:rsidP="007D412A">
            <w:pPr>
              <w:pStyle w:val="TableParagraph"/>
              <w:spacing w:line="230" w:lineRule="exact"/>
              <w:ind w:left="110" w:right="699"/>
              <w:jc w:val="right"/>
              <w:rPr>
                <w:spacing w:val="-2"/>
              </w:rPr>
            </w:pPr>
          </w:p>
        </w:tc>
        <w:tc>
          <w:tcPr>
            <w:tcW w:w="1134" w:type="dxa"/>
            <w:vAlign w:val="center"/>
          </w:tcPr>
          <w:p w14:paraId="55CBF3F1" w14:textId="77777777" w:rsidR="007B0AB7" w:rsidRDefault="007B0AB7" w:rsidP="007D412A">
            <w:pPr>
              <w:pStyle w:val="TableParagraph"/>
              <w:spacing w:line="230" w:lineRule="exact"/>
              <w:ind w:left="110" w:right="699"/>
              <w:jc w:val="right"/>
              <w:rPr>
                <w:spacing w:val="-2"/>
              </w:rPr>
            </w:pPr>
          </w:p>
        </w:tc>
        <w:tc>
          <w:tcPr>
            <w:tcW w:w="1276" w:type="dxa"/>
            <w:vAlign w:val="center"/>
          </w:tcPr>
          <w:p w14:paraId="0C5A4DAE" w14:textId="77777777" w:rsidR="007B0AB7" w:rsidRDefault="007B0AB7" w:rsidP="007D412A">
            <w:pPr>
              <w:pStyle w:val="TableParagraph"/>
              <w:spacing w:line="230" w:lineRule="exact"/>
              <w:ind w:left="110" w:right="699"/>
              <w:jc w:val="right"/>
              <w:rPr>
                <w:spacing w:val="-2"/>
              </w:rPr>
            </w:pPr>
          </w:p>
        </w:tc>
        <w:tc>
          <w:tcPr>
            <w:tcW w:w="1276" w:type="dxa"/>
            <w:vAlign w:val="center"/>
          </w:tcPr>
          <w:p w14:paraId="7F62B99D" w14:textId="77777777" w:rsidR="007B0AB7" w:rsidRDefault="007B0AB7" w:rsidP="007D412A">
            <w:pPr>
              <w:pStyle w:val="TableParagraph"/>
              <w:spacing w:line="230" w:lineRule="exact"/>
              <w:ind w:left="110" w:right="699"/>
              <w:jc w:val="right"/>
              <w:rPr>
                <w:spacing w:val="-2"/>
              </w:rPr>
            </w:pPr>
          </w:p>
        </w:tc>
      </w:tr>
      <w:tr w:rsidR="007B0AB7" w14:paraId="16C1DCA5" w14:textId="77777777" w:rsidTr="007D412A">
        <w:trPr>
          <w:trHeight w:val="553"/>
        </w:trPr>
        <w:tc>
          <w:tcPr>
            <w:tcW w:w="3402" w:type="dxa"/>
            <w:vAlign w:val="center"/>
          </w:tcPr>
          <w:p w14:paraId="51EA7CFE" w14:textId="77777777" w:rsidR="007B0AB7" w:rsidRPr="00597250" w:rsidRDefault="007B0AB7" w:rsidP="007D412A">
            <w:pPr>
              <w:pStyle w:val="TableParagraph"/>
              <w:spacing w:line="230" w:lineRule="exact"/>
              <w:ind w:left="110" w:right="172"/>
              <w:rPr>
                <w:b/>
                <w:bCs/>
                <w:i/>
                <w:iCs/>
                <w:spacing w:val="-2"/>
              </w:rPr>
            </w:pPr>
            <w:r>
              <w:rPr>
                <w:b/>
                <w:bCs/>
                <w:spacing w:val="-2"/>
              </w:rPr>
              <w:t>Age &gt; 60 y</w:t>
            </w:r>
          </w:p>
        </w:tc>
        <w:tc>
          <w:tcPr>
            <w:tcW w:w="1560" w:type="dxa"/>
            <w:vAlign w:val="center"/>
          </w:tcPr>
          <w:p w14:paraId="2BC9F97C" w14:textId="77777777" w:rsidR="007B0AB7" w:rsidRDefault="007B0AB7" w:rsidP="007D412A">
            <w:pPr>
              <w:pStyle w:val="TableParagraph"/>
              <w:spacing w:line="230" w:lineRule="exact"/>
              <w:ind w:left="110" w:right="699"/>
              <w:jc w:val="right"/>
              <w:rPr>
                <w:spacing w:val="-2"/>
              </w:rPr>
            </w:pPr>
          </w:p>
        </w:tc>
        <w:tc>
          <w:tcPr>
            <w:tcW w:w="1275" w:type="dxa"/>
            <w:vAlign w:val="center"/>
          </w:tcPr>
          <w:p w14:paraId="7E74E262" w14:textId="77777777" w:rsidR="007B0AB7" w:rsidRDefault="007B0AB7" w:rsidP="007D412A">
            <w:pPr>
              <w:pStyle w:val="TableParagraph"/>
              <w:spacing w:line="230" w:lineRule="exact"/>
              <w:ind w:left="110" w:right="699"/>
              <w:jc w:val="right"/>
              <w:rPr>
                <w:spacing w:val="-2"/>
              </w:rPr>
            </w:pPr>
          </w:p>
        </w:tc>
        <w:tc>
          <w:tcPr>
            <w:tcW w:w="1134" w:type="dxa"/>
            <w:vAlign w:val="center"/>
          </w:tcPr>
          <w:p w14:paraId="651DCFB9"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3B6CB4B" w14:textId="77777777" w:rsidR="007B0AB7" w:rsidRDefault="007B0AB7" w:rsidP="007D412A">
            <w:pPr>
              <w:pStyle w:val="TableParagraph"/>
              <w:spacing w:line="230" w:lineRule="exact"/>
              <w:ind w:left="110" w:right="699"/>
              <w:jc w:val="right"/>
              <w:rPr>
                <w:spacing w:val="-2"/>
              </w:rPr>
            </w:pPr>
          </w:p>
        </w:tc>
        <w:tc>
          <w:tcPr>
            <w:tcW w:w="1276" w:type="dxa"/>
            <w:vAlign w:val="center"/>
          </w:tcPr>
          <w:p w14:paraId="56A1C2FA" w14:textId="77777777" w:rsidR="007B0AB7" w:rsidRDefault="007B0AB7" w:rsidP="007D412A">
            <w:pPr>
              <w:pStyle w:val="TableParagraph"/>
              <w:spacing w:line="230" w:lineRule="exact"/>
              <w:ind w:left="110" w:right="699"/>
              <w:jc w:val="right"/>
              <w:rPr>
                <w:spacing w:val="-2"/>
              </w:rPr>
            </w:pPr>
          </w:p>
        </w:tc>
      </w:tr>
      <w:tr w:rsidR="007B0AB7" w14:paraId="499211D0" w14:textId="77777777" w:rsidTr="007D412A">
        <w:trPr>
          <w:trHeight w:val="553"/>
        </w:trPr>
        <w:tc>
          <w:tcPr>
            <w:tcW w:w="3402" w:type="dxa"/>
            <w:vAlign w:val="center"/>
          </w:tcPr>
          <w:p w14:paraId="263A6808" w14:textId="77777777" w:rsidR="007B0AB7" w:rsidRPr="00E006F7" w:rsidRDefault="007B0AB7" w:rsidP="007D412A">
            <w:pPr>
              <w:pStyle w:val="TableParagraph"/>
              <w:spacing w:line="230" w:lineRule="exact"/>
              <w:ind w:left="110" w:right="172"/>
              <w:rPr>
                <w:spacing w:val="-2"/>
              </w:rPr>
            </w:pPr>
            <w:r>
              <w:rPr>
                <w:spacing w:val="-2"/>
              </w:rPr>
              <w:t>CR/</w:t>
            </w:r>
            <w:proofErr w:type="spellStart"/>
            <w:r>
              <w:rPr>
                <w:spacing w:val="-2"/>
              </w:rPr>
              <w:t>CRi</w:t>
            </w:r>
            <w:proofErr w:type="spellEnd"/>
            <w:r>
              <w:rPr>
                <w:spacing w:val="-2"/>
              </w:rPr>
              <w:t xml:space="preserve">, </w:t>
            </w:r>
            <w:r w:rsidRPr="00E006F7">
              <w:rPr>
                <w:spacing w:val="-2"/>
              </w:rPr>
              <w:t>no./no. available (%)</w:t>
            </w:r>
            <w:r>
              <w:rPr>
                <w:spacing w:val="-2"/>
              </w:rPr>
              <w:t xml:space="preserve"> [CI]</w:t>
            </w:r>
          </w:p>
        </w:tc>
        <w:tc>
          <w:tcPr>
            <w:tcW w:w="1560" w:type="dxa"/>
            <w:vAlign w:val="center"/>
          </w:tcPr>
          <w:p w14:paraId="29B5B653" w14:textId="77777777" w:rsidR="007B0AB7" w:rsidRDefault="007B0AB7" w:rsidP="007D412A">
            <w:pPr>
              <w:pStyle w:val="TableParagraph"/>
              <w:spacing w:line="230" w:lineRule="exact"/>
              <w:ind w:left="110" w:right="699"/>
              <w:jc w:val="right"/>
              <w:rPr>
                <w:spacing w:val="-2"/>
              </w:rPr>
            </w:pPr>
          </w:p>
        </w:tc>
        <w:tc>
          <w:tcPr>
            <w:tcW w:w="1275" w:type="dxa"/>
            <w:vAlign w:val="center"/>
          </w:tcPr>
          <w:p w14:paraId="3B206991" w14:textId="77777777" w:rsidR="007B0AB7" w:rsidRDefault="007B0AB7" w:rsidP="007D412A">
            <w:pPr>
              <w:pStyle w:val="TableParagraph"/>
              <w:spacing w:line="230" w:lineRule="exact"/>
              <w:ind w:left="110" w:right="699"/>
              <w:jc w:val="right"/>
              <w:rPr>
                <w:spacing w:val="-2"/>
              </w:rPr>
            </w:pPr>
          </w:p>
        </w:tc>
        <w:tc>
          <w:tcPr>
            <w:tcW w:w="1134" w:type="dxa"/>
            <w:vAlign w:val="center"/>
          </w:tcPr>
          <w:p w14:paraId="657EAA3A"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7556902" w14:textId="77777777" w:rsidR="007B0AB7" w:rsidRDefault="007B0AB7" w:rsidP="007D412A">
            <w:pPr>
              <w:pStyle w:val="TableParagraph"/>
              <w:spacing w:line="230" w:lineRule="exact"/>
              <w:ind w:left="110" w:right="699"/>
              <w:jc w:val="right"/>
              <w:rPr>
                <w:spacing w:val="-2"/>
              </w:rPr>
            </w:pPr>
          </w:p>
        </w:tc>
        <w:tc>
          <w:tcPr>
            <w:tcW w:w="1276" w:type="dxa"/>
            <w:vAlign w:val="center"/>
          </w:tcPr>
          <w:p w14:paraId="32AA47D2" w14:textId="77777777" w:rsidR="007B0AB7" w:rsidRDefault="007B0AB7" w:rsidP="007D412A">
            <w:pPr>
              <w:pStyle w:val="TableParagraph"/>
              <w:spacing w:line="230" w:lineRule="exact"/>
              <w:ind w:left="110" w:right="699"/>
              <w:jc w:val="right"/>
              <w:rPr>
                <w:spacing w:val="-2"/>
              </w:rPr>
            </w:pPr>
          </w:p>
        </w:tc>
      </w:tr>
      <w:tr w:rsidR="007B0AB7" w14:paraId="0D2AC0BA" w14:textId="77777777" w:rsidTr="007D412A">
        <w:trPr>
          <w:trHeight w:val="553"/>
        </w:trPr>
        <w:tc>
          <w:tcPr>
            <w:tcW w:w="3402" w:type="dxa"/>
            <w:vAlign w:val="center"/>
          </w:tcPr>
          <w:p w14:paraId="03C24031" w14:textId="77777777" w:rsidR="007B0AB7" w:rsidRPr="00E006F7" w:rsidRDefault="007B0AB7" w:rsidP="007D412A">
            <w:pPr>
              <w:pStyle w:val="TableParagraph"/>
              <w:spacing w:line="230" w:lineRule="exact"/>
              <w:ind w:left="110" w:right="172"/>
              <w:rPr>
                <w:spacing w:val="-2"/>
              </w:rPr>
            </w:pPr>
            <w:r>
              <w:rPr>
                <w:spacing w:val="-2"/>
              </w:rPr>
              <w:lastRenderedPageBreak/>
              <w:t xml:space="preserve">ED, </w:t>
            </w:r>
            <w:r w:rsidRPr="00E006F7">
              <w:rPr>
                <w:spacing w:val="-2"/>
              </w:rPr>
              <w:t>no./no. available (%)</w:t>
            </w:r>
            <w:r>
              <w:rPr>
                <w:spacing w:val="-2"/>
              </w:rPr>
              <w:t xml:space="preserve"> [CI]</w:t>
            </w:r>
          </w:p>
        </w:tc>
        <w:tc>
          <w:tcPr>
            <w:tcW w:w="1560" w:type="dxa"/>
            <w:vAlign w:val="center"/>
          </w:tcPr>
          <w:p w14:paraId="4E25534B" w14:textId="77777777" w:rsidR="007B0AB7" w:rsidRDefault="007B0AB7" w:rsidP="007D412A">
            <w:pPr>
              <w:pStyle w:val="TableParagraph"/>
              <w:spacing w:line="230" w:lineRule="exact"/>
              <w:ind w:left="110" w:right="699"/>
              <w:jc w:val="right"/>
              <w:rPr>
                <w:spacing w:val="-2"/>
              </w:rPr>
            </w:pPr>
          </w:p>
        </w:tc>
        <w:tc>
          <w:tcPr>
            <w:tcW w:w="1275" w:type="dxa"/>
            <w:vAlign w:val="center"/>
          </w:tcPr>
          <w:p w14:paraId="08F946A1" w14:textId="77777777" w:rsidR="007B0AB7" w:rsidRDefault="007B0AB7" w:rsidP="007D412A">
            <w:pPr>
              <w:pStyle w:val="TableParagraph"/>
              <w:spacing w:line="230" w:lineRule="exact"/>
              <w:ind w:left="110" w:right="699"/>
              <w:jc w:val="right"/>
              <w:rPr>
                <w:spacing w:val="-2"/>
              </w:rPr>
            </w:pPr>
          </w:p>
        </w:tc>
        <w:tc>
          <w:tcPr>
            <w:tcW w:w="1134" w:type="dxa"/>
            <w:vAlign w:val="center"/>
          </w:tcPr>
          <w:p w14:paraId="5E1754EB" w14:textId="77777777" w:rsidR="007B0AB7" w:rsidRDefault="007B0AB7" w:rsidP="007D412A">
            <w:pPr>
              <w:pStyle w:val="TableParagraph"/>
              <w:spacing w:line="230" w:lineRule="exact"/>
              <w:ind w:left="110" w:right="699"/>
              <w:jc w:val="right"/>
              <w:rPr>
                <w:spacing w:val="-2"/>
              </w:rPr>
            </w:pPr>
          </w:p>
        </w:tc>
        <w:tc>
          <w:tcPr>
            <w:tcW w:w="1276" w:type="dxa"/>
            <w:vAlign w:val="center"/>
          </w:tcPr>
          <w:p w14:paraId="4021B1AF"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7AA5925" w14:textId="77777777" w:rsidR="007B0AB7" w:rsidRDefault="007B0AB7" w:rsidP="007D412A">
            <w:pPr>
              <w:pStyle w:val="TableParagraph"/>
              <w:spacing w:line="230" w:lineRule="exact"/>
              <w:ind w:left="110" w:right="699"/>
              <w:jc w:val="right"/>
              <w:rPr>
                <w:spacing w:val="-2"/>
              </w:rPr>
            </w:pPr>
          </w:p>
        </w:tc>
      </w:tr>
      <w:tr w:rsidR="007B0AB7" w14:paraId="6F7B0E75" w14:textId="77777777" w:rsidTr="007D412A">
        <w:trPr>
          <w:trHeight w:val="553"/>
        </w:trPr>
        <w:tc>
          <w:tcPr>
            <w:tcW w:w="3402" w:type="dxa"/>
            <w:vAlign w:val="center"/>
          </w:tcPr>
          <w:p w14:paraId="3C3062B5" w14:textId="77777777" w:rsidR="007B0AB7" w:rsidRPr="00E006F7" w:rsidRDefault="007B0AB7" w:rsidP="007D412A">
            <w:pPr>
              <w:pStyle w:val="TableParagraph"/>
              <w:spacing w:line="230" w:lineRule="exact"/>
              <w:ind w:left="110" w:right="172"/>
              <w:rPr>
                <w:spacing w:val="-2"/>
              </w:rPr>
            </w:pPr>
            <w:r>
              <w:rPr>
                <w:spacing w:val="-2"/>
              </w:rPr>
              <w:t xml:space="preserve">RFS, </w:t>
            </w:r>
            <w:r w:rsidRPr="00E006F7">
              <w:rPr>
                <w:spacing w:val="-2"/>
              </w:rPr>
              <w:t>no./no. available (%)</w:t>
            </w:r>
            <w:r>
              <w:rPr>
                <w:spacing w:val="-2"/>
              </w:rPr>
              <w:t xml:space="preserve"> [CI]</w:t>
            </w:r>
          </w:p>
        </w:tc>
        <w:tc>
          <w:tcPr>
            <w:tcW w:w="1560" w:type="dxa"/>
            <w:vAlign w:val="center"/>
          </w:tcPr>
          <w:p w14:paraId="27478A01" w14:textId="77777777" w:rsidR="007B0AB7" w:rsidRDefault="007B0AB7" w:rsidP="007D412A">
            <w:pPr>
              <w:pStyle w:val="TableParagraph"/>
              <w:spacing w:line="230" w:lineRule="exact"/>
              <w:ind w:left="110" w:right="699"/>
              <w:jc w:val="right"/>
              <w:rPr>
                <w:spacing w:val="-2"/>
              </w:rPr>
            </w:pPr>
          </w:p>
        </w:tc>
        <w:tc>
          <w:tcPr>
            <w:tcW w:w="1275" w:type="dxa"/>
            <w:vAlign w:val="center"/>
          </w:tcPr>
          <w:p w14:paraId="7E861071" w14:textId="77777777" w:rsidR="007B0AB7" w:rsidRDefault="007B0AB7" w:rsidP="007D412A">
            <w:pPr>
              <w:pStyle w:val="TableParagraph"/>
              <w:spacing w:line="230" w:lineRule="exact"/>
              <w:ind w:left="110" w:right="699"/>
              <w:jc w:val="right"/>
              <w:rPr>
                <w:spacing w:val="-2"/>
              </w:rPr>
            </w:pPr>
          </w:p>
        </w:tc>
        <w:tc>
          <w:tcPr>
            <w:tcW w:w="1134" w:type="dxa"/>
            <w:vAlign w:val="center"/>
          </w:tcPr>
          <w:p w14:paraId="7831B536"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601C3B1"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CBD2682" w14:textId="77777777" w:rsidR="007B0AB7" w:rsidRDefault="007B0AB7" w:rsidP="007D412A">
            <w:pPr>
              <w:pStyle w:val="TableParagraph"/>
              <w:spacing w:line="230" w:lineRule="exact"/>
              <w:ind w:left="110" w:right="699"/>
              <w:jc w:val="right"/>
              <w:rPr>
                <w:spacing w:val="-2"/>
              </w:rPr>
            </w:pPr>
          </w:p>
        </w:tc>
      </w:tr>
      <w:tr w:rsidR="007B0AB7" w14:paraId="66EBD951" w14:textId="77777777" w:rsidTr="007D412A">
        <w:trPr>
          <w:trHeight w:val="553"/>
        </w:trPr>
        <w:tc>
          <w:tcPr>
            <w:tcW w:w="3402" w:type="dxa"/>
            <w:vAlign w:val="center"/>
          </w:tcPr>
          <w:p w14:paraId="5EE69869" w14:textId="77777777" w:rsidR="007B0AB7" w:rsidRPr="00E006F7" w:rsidRDefault="007B0AB7" w:rsidP="007D412A">
            <w:pPr>
              <w:pStyle w:val="TableParagraph"/>
              <w:spacing w:line="230" w:lineRule="exact"/>
              <w:ind w:left="110" w:right="172"/>
              <w:rPr>
                <w:spacing w:val="-2"/>
              </w:rPr>
            </w:pPr>
            <w:r>
              <w:rPr>
                <w:spacing w:val="-2"/>
              </w:rPr>
              <w:t xml:space="preserve">OS, </w:t>
            </w:r>
            <w:r w:rsidRPr="00E006F7">
              <w:rPr>
                <w:spacing w:val="-2"/>
              </w:rPr>
              <w:t>no./no. available (%)</w:t>
            </w:r>
            <w:r>
              <w:rPr>
                <w:spacing w:val="-2"/>
              </w:rPr>
              <w:t xml:space="preserve"> [CI]</w:t>
            </w:r>
          </w:p>
        </w:tc>
        <w:tc>
          <w:tcPr>
            <w:tcW w:w="1560" w:type="dxa"/>
            <w:vAlign w:val="center"/>
          </w:tcPr>
          <w:p w14:paraId="4F71E25D" w14:textId="77777777" w:rsidR="007B0AB7" w:rsidRDefault="007B0AB7" w:rsidP="007D412A">
            <w:pPr>
              <w:pStyle w:val="TableParagraph"/>
              <w:spacing w:line="230" w:lineRule="exact"/>
              <w:ind w:left="110" w:right="699"/>
              <w:jc w:val="right"/>
              <w:rPr>
                <w:spacing w:val="-2"/>
              </w:rPr>
            </w:pPr>
          </w:p>
        </w:tc>
        <w:tc>
          <w:tcPr>
            <w:tcW w:w="1275" w:type="dxa"/>
            <w:vAlign w:val="center"/>
          </w:tcPr>
          <w:p w14:paraId="5F05EB0A" w14:textId="77777777" w:rsidR="007B0AB7" w:rsidRDefault="007B0AB7" w:rsidP="007D412A">
            <w:pPr>
              <w:pStyle w:val="TableParagraph"/>
              <w:spacing w:line="230" w:lineRule="exact"/>
              <w:ind w:left="110" w:right="699"/>
              <w:jc w:val="right"/>
              <w:rPr>
                <w:spacing w:val="-2"/>
              </w:rPr>
            </w:pPr>
          </w:p>
        </w:tc>
        <w:tc>
          <w:tcPr>
            <w:tcW w:w="1134" w:type="dxa"/>
            <w:vAlign w:val="center"/>
          </w:tcPr>
          <w:p w14:paraId="0116D5FF" w14:textId="77777777" w:rsidR="007B0AB7" w:rsidRDefault="007B0AB7" w:rsidP="007D412A">
            <w:pPr>
              <w:pStyle w:val="TableParagraph"/>
              <w:spacing w:line="230" w:lineRule="exact"/>
              <w:ind w:left="110" w:right="699"/>
              <w:jc w:val="right"/>
              <w:rPr>
                <w:spacing w:val="-2"/>
              </w:rPr>
            </w:pPr>
          </w:p>
        </w:tc>
        <w:tc>
          <w:tcPr>
            <w:tcW w:w="1276" w:type="dxa"/>
            <w:vAlign w:val="center"/>
          </w:tcPr>
          <w:p w14:paraId="641C58AC" w14:textId="77777777" w:rsidR="007B0AB7" w:rsidRDefault="007B0AB7" w:rsidP="007D412A">
            <w:pPr>
              <w:pStyle w:val="TableParagraph"/>
              <w:spacing w:line="230" w:lineRule="exact"/>
              <w:ind w:left="110" w:right="699"/>
              <w:jc w:val="right"/>
              <w:rPr>
                <w:spacing w:val="-2"/>
              </w:rPr>
            </w:pPr>
          </w:p>
        </w:tc>
        <w:tc>
          <w:tcPr>
            <w:tcW w:w="1276" w:type="dxa"/>
            <w:vAlign w:val="center"/>
          </w:tcPr>
          <w:p w14:paraId="2E82B1CD" w14:textId="77777777" w:rsidR="007B0AB7" w:rsidRDefault="007B0AB7" w:rsidP="007D412A">
            <w:pPr>
              <w:pStyle w:val="TableParagraph"/>
              <w:spacing w:line="230" w:lineRule="exact"/>
              <w:ind w:left="110" w:right="699"/>
              <w:jc w:val="right"/>
              <w:rPr>
                <w:spacing w:val="-2"/>
              </w:rPr>
            </w:pPr>
          </w:p>
        </w:tc>
      </w:tr>
    </w:tbl>
    <w:p w14:paraId="00FCDC16" w14:textId="77777777" w:rsidR="007B0AB7" w:rsidRPr="00820A6A" w:rsidRDefault="007B0AB7" w:rsidP="007B0AB7">
      <w:pPr>
        <w:pStyle w:val="BodyText"/>
        <w:spacing w:line="480" w:lineRule="auto"/>
        <w:ind w:right="4"/>
        <w:jc w:val="both"/>
        <w:rPr>
          <w:b/>
          <w:bCs/>
          <w:color w:val="0D0D0D"/>
          <w:spacing w:val="-2"/>
        </w:rPr>
      </w:pPr>
    </w:p>
    <w:p w14:paraId="7F93DB6E" w14:textId="77777777" w:rsidR="007B0AB7" w:rsidRDefault="007B0AB7" w:rsidP="007B0AB7">
      <w:pPr>
        <w:pStyle w:val="BodyText"/>
        <w:spacing w:line="480" w:lineRule="auto"/>
        <w:ind w:right="4"/>
        <w:jc w:val="both"/>
        <w:rPr>
          <w:b/>
          <w:bCs/>
        </w:rPr>
      </w:pPr>
      <w:r>
        <w:rPr>
          <w:b/>
          <w:bCs/>
        </w:rPr>
        <w:t>Table 6. ORs for achievement of CR/</w:t>
      </w:r>
      <w:proofErr w:type="spellStart"/>
      <w:r>
        <w:rPr>
          <w:b/>
          <w:bCs/>
        </w:rPr>
        <w:t>CRi</w:t>
      </w:r>
      <w:proofErr w:type="spellEnd"/>
      <w:r>
        <w:rPr>
          <w:b/>
          <w:bCs/>
        </w:rPr>
        <w:t>, ED and HRs for RFS, OS</w:t>
      </w:r>
    </w:p>
    <w:tbl>
      <w:tblPr>
        <w:tblW w:w="10492" w:type="dxa"/>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709"/>
        <w:gridCol w:w="709"/>
        <w:gridCol w:w="709"/>
        <w:gridCol w:w="709"/>
        <w:gridCol w:w="709"/>
        <w:gridCol w:w="709"/>
        <w:gridCol w:w="709"/>
        <w:gridCol w:w="709"/>
        <w:gridCol w:w="709"/>
        <w:gridCol w:w="709"/>
        <w:gridCol w:w="850"/>
        <w:gridCol w:w="851"/>
      </w:tblGrid>
      <w:tr w:rsidR="007B0AB7" w14:paraId="5F5774BD" w14:textId="77777777" w:rsidTr="007D412A">
        <w:trPr>
          <w:trHeight w:val="553"/>
        </w:trPr>
        <w:tc>
          <w:tcPr>
            <w:tcW w:w="1701" w:type="dxa"/>
            <w:vAlign w:val="center"/>
          </w:tcPr>
          <w:p w14:paraId="665607F1" w14:textId="77777777" w:rsidR="007B0AB7" w:rsidRPr="00E006F7" w:rsidRDefault="007B0AB7" w:rsidP="007D412A">
            <w:pPr>
              <w:pStyle w:val="TableParagraph"/>
              <w:spacing w:line="230" w:lineRule="exact"/>
              <w:ind w:left="110" w:right="172"/>
              <w:rPr>
                <w:spacing w:val="-2"/>
              </w:rPr>
            </w:pPr>
          </w:p>
        </w:tc>
        <w:tc>
          <w:tcPr>
            <w:tcW w:w="2127" w:type="dxa"/>
            <w:gridSpan w:val="3"/>
            <w:vAlign w:val="center"/>
          </w:tcPr>
          <w:p w14:paraId="0D7B8D08" w14:textId="77777777" w:rsidR="007B0AB7" w:rsidRDefault="007B0AB7" w:rsidP="007D412A">
            <w:pPr>
              <w:pStyle w:val="TableParagraph"/>
              <w:spacing w:line="230" w:lineRule="exact"/>
              <w:ind w:left="136" w:right="138"/>
              <w:jc w:val="center"/>
              <w:rPr>
                <w:spacing w:val="-2"/>
              </w:rPr>
            </w:pPr>
            <w:r>
              <w:rPr>
                <w:spacing w:val="-2"/>
              </w:rPr>
              <w:t>Complete Remission</w:t>
            </w:r>
          </w:p>
        </w:tc>
        <w:tc>
          <w:tcPr>
            <w:tcW w:w="2127" w:type="dxa"/>
            <w:gridSpan w:val="3"/>
            <w:vAlign w:val="center"/>
          </w:tcPr>
          <w:p w14:paraId="57DE35A2" w14:textId="77777777" w:rsidR="007B0AB7" w:rsidRDefault="007B0AB7" w:rsidP="007D412A">
            <w:pPr>
              <w:pStyle w:val="TableParagraph"/>
              <w:spacing w:line="230" w:lineRule="exact"/>
              <w:ind w:left="136" w:right="138"/>
              <w:jc w:val="center"/>
              <w:rPr>
                <w:spacing w:val="-2"/>
              </w:rPr>
            </w:pPr>
            <w:r>
              <w:rPr>
                <w:spacing w:val="-2"/>
              </w:rPr>
              <w:t>Early Death</w:t>
            </w:r>
          </w:p>
        </w:tc>
        <w:tc>
          <w:tcPr>
            <w:tcW w:w="2127" w:type="dxa"/>
            <w:gridSpan w:val="3"/>
            <w:vAlign w:val="center"/>
          </w:tcPr>
          <w:p w14:paraId="02BC7DDE" w14:textId="77777777" w:rsidR="007B0AB7" w:rsidRDefault="007B0AB7" w:rsidP="007D412A">
            <w:pPr>
              <w:pStyle w:val="TableParagraph"/>
              <w:spacing w:line="230" w:lineRule="exact"/>
              <w:ind w:left="136" w:right="138"/>
              <w:jc w:val="center"/>
              <w:rPr>
                <w:spacing w:val="-2"/>
              </w:rPr>
            </w:pPr>
            <w:r>
              <w:rPr>
                <w:spacing w:val="-2"/>
              </w:rPr>
              <w:t>Event-free Survival</w:t>
            </w:r>
          </w:p>
        </w:tc>
        <w:tc>
          <w:tcPr>
            <w:tcW w:w="2410" w:type="dxa"/>
            <w:gridSpan w:val="3"/>
            <w:vAlign w:val="center"/>
          </w:tcPr>
          <w:p w14:paraId="14356459" w14:textId="77777777" w:rsidR="007B0AB7" w:rsidRDefault="007B0AB7" w:rsidP="007D412A">
            <w:pPr>
              <w:pStyle w:val="TableParagraph"/>
              <w:spacing w:line="230" w:lineRule="exact"/>
              <w:ind w:left="136" w:right="138"/>
              <w:jc w:val="center"/>
              <w:rPr>
                <w:spacing w:val="-2"/>
              </w:rPr>
            </w:pPr>
            <w:r>
              <w:rPr>
                <w:spacing w:val="-2"/>
              </w:rPr>
              <w:t>Overall Survival</w:t>
            </w:r>
          </w:p>
        </w:tc>
      </w:tr>
      <w:tr w:rsidR="007B0AB7" w:rsidRPr="001B6823" w14:paraId="25AD3E7C" w14:textId="77777777" w:rsidTr="007D412A">
        <w:trPr>
          <w:trHeight w:val="553"/>
        </w:trPr>
        <w:tc>
          <w:tcPr>
            <w:tcW w:w="1701" w:type="dxa"/>
            <w:vAlign w:val="center"/>
          </w:tcPr>
          <w:p w14:paraId="39264F4D" w14:textId="77777777" w:rsidR="007B0AB7" w:rsidRPr="001B6823" w:rsidRDefault="007B0AB7" w:rsidP="007D412A">
            <w:pPr>
              <w:pStyle w:val="TableParagraph"/>
              <w:spacing w:line="230" w:lineRule="exact"/>
              <w:ind w:left="110" w:right="172"/>
              <w:rPr>
                <w:spacing w:val="-2"/>
                <w:sz w:val="22"/>
                <w:szCs w:val="22"/>
              </w:rPr>
            </w:pPr>
          </w:p>
        </w:tc>
        <w:tc>
          <w:tcPr>
            <w:tcW w:w="709" w:type="dxa"/>
            <w:vAlign w:val="center"/>
          </w:tcPr>
          <w:p w14:paraId="0DBD123F" w14:textId="77777777" w:rsidR="007B0AB7" w:rsidRPr="001B6823" w:rsidRDefault="007B0AB7" w:rsidP="007D412A">
            <w:pPr>
              <w:pStyle w:val="TableParagraph"/>
              <w:spacing w:line="230" w:lineRule="exact"/>
              <w:ind w:left="110" w:right="-87"/>
              <w:rPr>
                <w:spacing w:val="-2"/>
                <w:sz w:val="22"/>
                <w:szCs w:val="22"/>
              </w:rPr>
            </w:pPr>
            <w:r w:rsidRPr="001B6823">
              <w:rPr>
                <w:spacing w:val="-2"/>
                <w:sz w:val="22"/>
                <w:szCs w:val="22"/>
              </w:rPr>
              <w:t>OR</w:t>
            </w:r>
          </w:p>
        </w:tc>
        <w:tc>
          <w:tcPr>
            <w:tcW w:w="709" w:type="dxa"/>
            <w:vAlign w:val="center"/>
          </w:tcPr>
          <w:p w14:paraId="2971A320" w14:textId="77777777" w:rsidR="007B0AB7" w:rsidRPr="001B6823" w:rsidRDefault="007B0AB7" w:rsidP="007D412A">
            <w:pPr>
              <w:pStyle w:val="TableParagraph"/>
              <w:spacing w:line="230" w:lineRule="exact"/>
              <w:ind w:left="110" w:right="187"/>
              <w:rPr>
                <w:spacing w:val="-2"/>
                <w:sz w:val="22"/>
                <w:szCs w:val="22"/>
              </w:rPr>
            </w:pPr>
            <w:r w:rsidRPr="001B6823">
              <w:rPr>
                <w:spacing w:val="-2"/>
                <w:sz w:val="22"/>
                <w:szCs w:val="22"/>
              </w:rPr>
              <w:t>95% CI</w:t>
            </w:r>
          </w:p>
        </w:tc>
        <w:tc>
          <w:tcPr>
            <w:tcW w:w="709" w:type="dxa"/>
            <w:vAlign w:val="center"/>
          </w:tcPr>
          <w:p w14:paraId="078BCADC" w14:textId="77777777" w:rsidR="007B0AB7" w:rsidRPr="001B6823" w:rsidRDefault="007B0AB7" w:rsidP="007D412A">
            <w:pPr>
              <w:pStyle w:val="TableParagraph"/>
              <w:spacing w:line="230" w:lineRule="exact"/>
              <w:ind w:left="110" w:right="2"/>
              <w:rPr>
                <w:spacing w:val="-2"/>
                <w:sz w:val="18"/>
                <w:szCs w:val="18"/>
              </w:rPr>
            </w:pPr>
            <w:r w:rsidRPr="001B6823">
              <w:rPr>
                <w:spacing w:val="-2"/>
                <w:sz w:val="22"/>
                <w:szCs w:val="22"/>
              </w:rPr>
              <w:t>p-value</w:t>
            </w:r>
          </w:p>
        </w:tc>
        <w:tc>
          <w:tcPr>
            <w:tcW w:w="709" w:type="dxa"/>
            <w:vAlign w:val="center"/>
          </w:tcPr>
          <w:p w14:paraId="18F2114C" w14:textId="77777777" w:rsidR="007B0AB7" w:rsidRPr="001B6823" w:rsidRDefault="007B0AB7" w:rsidP="007D412A">
            <w:pPr>
              <w:pStyle w:val="TableParagraph"/>
              <w:spacing w:line="230" w:lineRule="exact"/>
              <w:ind w:left="110" w:right="-87"/>
              <w:rPr>
                <w:spacing w:val="-2"/>
                <w:sz w:val="22"/>
                <w:szCs w:val="22"/>
              </w:rPr>
            </w:pPr>
            <w:r w:rsidRPr="001B6823">
              <w:rPr>
                <w:spacing w:val="-2"/>
                <w:sz w:val="22"/>
                <w:szCs w:val="22"/>
              </w:rPr>
              <w:t>OR</w:t>
            </w:r>
          </w:p>
        </w:tc>
        <w:tc>
          <w:tcPr>
            <w:tcW w:w="709" w:type="dxa"/>
            <w:vAlign w:val="center"/>
          </w:tcPr>
          <w:p w14:paraId="198E4D01" w14:textId="77777777" w:rsidR="007B0AB7" w:rsidRPr="001B6823" w:rsidRDefault="007B0AB7" w:rsidP="007D412A">
            <w:pPr>
              <w:pStyle w:val="TableParagraph"/>
              <w:spacing w:line="230" w:lineRule="exact"/>
              <w:ind w:left="110" w:right="187"/>
              <w:rPr>
                <w:spacing w:val="-2"/>
                <w:sz w:val="22"/>
                <w:szCs w:val="22"/>
              </w:rPr>
            </w:pPr>
            <w:r w:rsidRPr="001B6823">
              <w:rPr>
                <w:spacing w:val="-2"/>
                <w:sz w:val="22"/>
                <w:szCs w:val="22"/>
              </w:rPr>
              <w:t>95% CI</w:t>
            </w:r>
          </w:p>
        </w:tc>
        <w:tc>
          <w:tcPr>
            <w:tcW w:w="709" w:type="dxa"/>
            <w:vAlign w:val="center"/>
          </w:tcPr>
          <w:p w14:paraId="032CE247" w14:textId="77777777" w:rsidR="007B0AB7" w:rsidRPr="001B6823" w:rsidRDefault="007B0AB7" w:rsidP="007D412A">
            <w:pPr>
              <w:pStyle w:val="TableParagraph"/>
              <w:spacing w:line="230" w:lineRule="exact"/>
              <w:ind w:left="110" w:right="2"/>
              <w:rPr>
                <w:spacing w:val="-2"/>
                <w:sz w:val="18"/>
                <w:szCs w:val="18"/>
              </w:rPr>
            </w:pPr>
            <w:r w:rsidRPr="001B6823">
              <w:rPr>
                <w:spacing w:val="-2"/>
                <w:sz w:val="22"/>
                <w:szCs w:val="22"/>
              </w:rPr>
              <w:t>p-value</w:t>
            </w:r>
          </w:p>
        </w:tc>
        <w:tc>
          <w:tcPr>
            <w:tcW w:w="709" w:type="dxa"/>
            <w:vAlign w:val="center"/>
          </w:tcPr>
          <w:p w14:paraId="6BF17922" w14:textId="77777777" w:rsidR="007B0AB7" w:rsidRPr="001B6823" w:rsidRDefault="007B0AB7" w:rsidP="007D412A">
            <w:pPr>
              <w:pStyle w:val="TableParagraph"/>
              <w:spacing w:line="230" w:lineRule="exact"/>
              <w:ind w:left="110" w:right="-87"/>
              <w:rPr>
                <w:spacing w:val="-2"/>
                <w:sz w:val="22"/>
                <w:szCs w:val="22"/>
              </w:rPr>
            </w:pPr>
            <w:r>
              <w:rPr>
                <w:spacing w:val="-2"/>
              </w:rPr>
              <w:t>HR</w:t>
            </w:r>
          </w:p>
        </w:tc>
        <w:tc>
          <w:tcPr>
            <w:tcW w:w="709" w:type="dxa"/>
            <w:vAlign w:val="center"/>
          </w:tcPr>
          <w:p w14:paraId="29C1082A" w14:textId="77777777" w:rsidR="007B0AB7" w:rsidRPr="001B6823" w:rsidRDefault="007B0AB7" w:rsidP="007D412A">
            <w:pPr>
              <w:pStyle w:val="TableParagraph"/>
              <w:spacing w:line="230" w:lineRule="exact"/>
              <w:ind w:left="110" w:right="187"/>
              <w:rPr>
                <w:spacing w:val="-2"/>
                <w:sz w:val="22"/>
                <w:szCs w:val="22"/>
              </w:rPr>
            </w:pPr>
            <w:r w:rsidRPr="001B6823">
              <w:rPr>
                <w:spacing w:val="-2"/>
                <w:sz w:val="22"/>
                <w:szCs w:val="22"/>
              </w:rPr>
              <w:t>95% CI</w:t>
            </w:r>
          </w:p>
        </w:tc>
        <w:tc>
          <w:tcPr>
            <w:tcW w:w="709" w:type="dxa"/>
            <w:vAlign w:val="center"/>
          </w:tcPr>
          <w:p w14:paraId="6D62F292" w14:textId="77777777" w:rsidR="007B0AB7" w:rsidRPr="001B6823" w:rsidRDefault="007B0AB7" w:rsidP="007D412A">
            <w:pPr>
              <w:pStyle w:val="TableParagraph"/>
              <w:spacing w:line="230" w:lineRule="exact"/>
              <w:ind w:left="110" w:right="2"/>
              <w:rPr>
                <w:spacing w:val="-2"/>
                <w:sz w:val="18"/>
                <w:szCs w:val="18"/>
              </w:rPr>
            </w:pPr>
            <w:r w:rsidRPr="001B6823">
              <w:rPr>
                <w:spacing w:val="-2"/>
                <w:sz w:val="22"/>
                <w:szCs w:val="22"/>
              </w:rPr>
              <w:t>p-value</w:t>
            </w:r>
          </w:p>
        </w:tc>
        <w:tc>
          <w:tcPr>
            <w:tcW w:w="709" w:type="dxa"/>
            <w:vAlign w:val="center"/>
          </w:tcPr>
          <w:p w14:paraId="0800B78A" w14:textId="77777777" w:rsidR="007B0AB7" w:rsidRPr="001B6823" w:rsidRDefault="007B0AB7" w:rsidP="007D412A">
            <w:pPr>
              <w:pStyle w:val="TableParagraph"/>
              <w:spacing w:line="230" w:lineRule="exact"/>
              <w:ind w:left="110" w:right="-87"/>
              <w:rPr>
                <w:spacing w:val="-2"/>
                <w:sz w:val="22"/>
                <w:szCs w:val="22"/>
              </w:rPr>
            </w:pPr>
            <w:r>
              <w:rPr>
                <w:spacing w:val="-2"/>
              </w:rPr>
              <w:t>HR</w:t>
            </w:r>
          </w:p>
        </w:tc>
        <w:tc>
          <w:tcPr>
            <w:tcW w:w="850" w:type="dxa"/>
            <w:vAlign w:val="center"/>
          </w:tcPr>
          <w:p w14:paraId="1E8DDD36" w14:textId="77777777" w:rsidR="007B0AB7" w:rsidRPr="001B6823" w:rsidRDefault="007B0AB7" w:rsidP="007D412A">
            <w:pPr>
              <w:pStyle w:val="TableParagraph"/>
              <w:spacing w:line="230" w:lineRule="exact"/>
              <w:ind w:left="110" w:right="187"/>
              <w:rPr>
                <w:spacing w:val="-2"/>
                <w:sz w:val="22"/>
                <w:szCs w:val="22"/>
              </w:rPr>
            </w:pPr>
            <w:r w:rsidRPr="001B6823">
              <w:rPr>
                <w:spacing w:val="-2"/>
                <w:sz w:val="22"/>
                <w:szCs w:val="22"/>
              </w:rPr>
              <w:t>95% CI</w:t>
            </w:r>
          </w:p>
        </w:tc>
        <w:tc>
          <w:tcPr>
            <w:tcW w:w="851" w:type="dxa"/>
            <w:vAlign w:val="center"/>
          </w:tcPr>
          <w:p w14:paraId="436C1D4F" w14:textId="77777777" w:rsidR="007B0AB7" w:rsidRPr="001B6823" w:rsidRDefault="007B0AB7" w:rsidP="007D412A">
            <w:pPr>
              <w:pStyle w:val="TableParagraph"/>
              <w:spacing w:line="230" w:lineRule="exact"/>
              <w:ind w:left="110" w:right="2"/>
              <w:rPr>
                <w:spacing w:val="-2"/>
                <w:sz w:val="18"/>
                <w:szCs w:val="18"/>
              </w:rPr>
            </w:pPr>
            <w:r w:rsidRPr="001B6823">
              <w:rPr>
                <w:spacing w:val="-2"/>
                <w:sz w:val="22"/>
                <w:szCs w:val="22"/>
              </w:rPr>
              <w:t>p-value</w:t>
            </w:r>
          </w:p>
        </w:tc>
      </w:tr>
      <w:tr w:rsidR="007B0AB7" w14:paraId="0E2FA5BE" w14:textId="77777777" w:rsidTr="007D412A">
        <w:trPr>
          <w:trHeight w:val="553"/>
        </w:trPr>
        <w:tc>
          <w:tcPr>
            <w:tcW w:w="1701" w:type="dxa"/>
            <w:vAlign w:val="center"/>
          </w:tcPr>
          <w:p w14:paraId="0242EC46" w14:textId="77777777" w:rsidR="007B0AB7" w:rsidRPr="00E006F7" w:rsidRDefault="007B0AB7" w:rsidP="007D412A">
            <w:pPr>
              <w:pStyle w:val="TableParagraph"/>
              <w:spacing w:line="230" w:lineRule="exact"/>
              <w:ind w:left="110" w:right="172"/>
              <w:rPr>
                <w:spacing w:val="-2"/>
              </w:rPr>
            </w:pPr>
            <w:r>
              <w:rPr>
                <w:spacing w:val="-2"/>
              </w:rPr>
              <w:t>TDT</w:t>
            </w:r>
          </w:p>
        </w:tc>
        <w:tc>
          <w:tcPr>
            <w:tcW w:w="709" w:type="dxa"/>
            <w:vAlign w:val="center"/>
          </w:tcPr>
          <w:p w14:paraId="5C6EE90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5EDD8AF"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09E6BB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89749E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EFA4D5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3763EE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A57E93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99B309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1A3AE2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F5CE8D4" w14:textId="77777777" w:rsidR="007B0AB7" w:rsidRDefault="007B0AB7" w:rsidP="007D412A">
            <w:pPr>
              <w:pStyle w:val="TableParagraph"/>
              <w:spacing w:line="230" w:lineRule="exact"/>
              <w:ind w:left="110" w:right="699"/>
              <w:jc w:val="center"/>
              <w:rPr>
                <w:spacing w:val="-2"/>
              </w:rPr>
            </w:pPr>
          </w:p>
        </w:tc>
        <w:tc>
          <w:tcPr>
            <w:tcW w:w="850" w:type="dxa"/>
            <w:vAlign w:val="center"/>
          </w:tcPr>
          <w:p w14:paraId="5A5D04F9" w14:textId="77777777" w:rsidR="007B0AB7" w:rsidRDefault="007B0AB7" w:rsidP="007D412A">
            <w:pPr>
              <w:pStyle w:val="TableParagraph"/>
              <w:spacing w:line="230" w:lineRule="exact"/>
              <w:ind w:left="110" w:right="699"/>
              <w:jc w:val="center"/>
              <w:rPr>
                <w:spacing w:val="-2"/>
              </w:rPr>
            </w:pPr>
          </w:p>
        </w:tc>
        <w:tc>
          <w:tcPr>
            <w:tcW w:w="851" w:type="dxa"/>
            <w:vAlign w:val="center"/>
          </w:tcPr>
          <w:p w14:paraId="3D94BD51" w14:textId="77777777" w:rsidR="007B0AB7" w:rsidRDefault="007B0AB7" w:rsidP="007D412A">
            <w:pPr>
              <w:pStyle w:val="TableParagraph"/>
              <w:spacing w:line="230" w:lineRule="exact"/>
              <w:ind w:left="110" w:right="699"/>
              <w:jc w:val="center"/>
              <w:rPr>
                <w:spacing w:val="-2"/>
              </w:rPr>
            </w:pPr>
          </w:p>
        </w:tc>
      </w:tr>
      <w:tr w:rsidR="007B0AB7" w14:paraId="0C3A6A7A" w14:textId="77777777" w:rsidTr="007D412A">
        <w:trPr>
          <w:trHeight w:val="715"/>
        </w:trPr>
        <w:tc>
          <w:tcPr>
            <w:tcW w:w="1701" w:type="dxa"/>
            <w:vAlign w:val="center"/>
          </w:tcPr>
          <w:p w14:paraId="54F63147" w14:textId="77777777" w:rsidR="007B0AB7" w:rsidRPr="00A62736" w:rsidRDefault="007B0AB7" w:rsidP="007D412A">
            <w:pPr>
              <w:pStyle w:val="TableParagraph"/>
              <w:spacing w:line="230" w:lineRule="exact"/>
              <w:ind w:left="110" w:right="172"/>
              <w:rPr>
                <w:b/>
                <w:bCs/>
                <w:spacing w:val="-2"/>
              </w:rPr>
            </w:pPr>
            <w:r>
              <w:rPr>
                <w:b/>
                <w:bCs/>
                <w:spacing w:val="-2"/>
              </w:rPr>
              <w:t>ENL risk group</w:t>
            </w:r>
          </w:p>
        </w:tc>
        <w:tc>
          <w:tcPr>
            <w:tcW w:w="709" w:type="dxa"/>
            <w:vAlign w:val="center"/>
          </w:tcPr>
          <w:p w14:paraId="03CD670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9F66981"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D3A84A1"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8FEFD9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95443E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0BCF26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BABD67F"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A509CC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19A710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CEFF0DE" w14:textId="77777777" w:rsidR="007B0AB7" w:rsidRDefault="007B0AB7" w:rsidP="007D412A">
            <w:pPr>
              <w:pStyle w:val="TableParagraph"/>
              <w:spacing w:line="230" w:lineRule="exact"/>
              <w:ind w:left="110" w:right="699"/>
              <w:jc w:val="center"/>
              <w:rPr>
                <w:spacing w:val="-2"/>
              </w:rPr>
            </w:pPr>
          </w:p>
        </w:tc>
        <w:tc>
          <w:tcPr>
            <w:tcW w:w="850" w:type="dxa"/>
            <w:vAlign w:val="center"/>
          </w:tcPr>
          <w:p w14:paraId="6BF832C3" w14:textId="77777777" w:rsidR="007B0AB7" w:rsidRDefault="007B0AB7" w:rsidP="007D412A">
            <w:pPr>
              <w:pStyle w:val="TableParagraph"/>
              <w:spacing w:line="230" w:lineRule="exact"/>
              <w:ind w:left="110" w:right="699"/>
              <w:jc w:val="center"/>
              <w:rPr>
                <w:spacing w:val="-2"/>
              </w:rPr>
            </w:pPr>
          </w:p>
        </w:tc>
        <w:tc>
          <w:tcPr>
            <w:tcW w:w="851" w:type="dxa"/>
            <w:vAlign w:val="center"/>
          </w:tcPr>
          <w:p w14:paraId="2BC052EF" w14:textId="77777777" w:rsidR="007B0AB7" w:rsidRDefault="007B0AB7" w:rsidP="007D412A">
            <w:pPr>
              <w:pStyle w:val="TableParagraph"/>
              <w:spacing w:line="230" w:lineRule="exact"/>
              <w:ind w:left="110" w:right="699"/>
              <w:jc w:val="center"/>
              <w:rPr>
                <w:spacing w:val="-2"/>
              </w:rPr>
            </w:pPr>
          </w:p>
        </w:tc>
      </w:tr>
      <w:tr w:rsidR="007B0AB7" w14:paraId="6020FCFA" w14:textId="77777777" w:rsidTr="007D412A">
        <w:trPr>
          <w:trHeight w:val="553"/>
        </w:trPr>
        <w:tc>
          <w:tcPr>
            <w:tcW w:w="1701" w:type="dxa"/>
            <w:vAlign w:val="center"/>
          </w:tcPr>
          <w:p w14:paraId="38138105" w14:textId="77777777" w:rsidR="007B0AB7" w:rsidRPr="00597250" w:rsidRDefault="007B0AB7" w:rsidP="007D412A">
            <w:pPr>
              <w:pStyle w:val="TableParagraph"/>
              <w:spacing w:line="230" w:lineRule="exact"/>
              <w:ind w:left="110" w:right="172"/>
              <w:rPr>
                <w:spacing w:val="-2"/>
              </w:rPr>
            </w:pPr>
            <w:r>
              <w:rPr>
                <w:spacing w:val="-2"/>
              </w:rPr>
              <w:t>Favorable</w:t>
            </w:r>
          </w:p>
        </w:tc>
        <w:tc>
          <w:tcPr>
            <w:tcW w:w="709" w:type="dxa"/>
            <w:vAlign w:val="center"/>
          </w:tcPr>
          <w:p w14:paraId="5F49673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E09B75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5CB894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C5F431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D9E77D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36857D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4FD7ED6"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BF79B0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50339B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7CA7AC5" w14:textId="77777777" w:rsidR="007B0AB7" w:rsidRDefault="007B0AB7" w:rsidP="007D412A">
            <w:pPr>
              <w:pStyle w:val="TableParagraph"/>
              <w:spacing w:line="230" w:lineRule="exact"/>
              <w:ind w:left="110" w:right="699"/>
              <w:jc w:val="center"/>
              <w:rPr>
                <w:spacing w:val="-2"/>
              </w:rPr>
            </w:pPr>
          </w:p>
        </w:tc>
        <w:tc>
          <w:tcPr>
            <w:tcW w:w="850" w:type="dxa"/>
            <w:vAlign w:val="center"/>
          </w:tcPr>
          <w:p w14:paraId="2DD4CE7B" w14:textId="77777777" w:rsidR="007B0AB7" w:rsidRDefault="007B0AB7" w:rsidP="007D412A">
            <w:pPr>
              <w:pStyle w:val="TableParagraph"/>
              <w:spacing w:line="230" w:lineRule="exact"/>
              <w:ind w:left="110" w:right="699"/>
              <w:jc w:val="center"/>
              <w:rPr>
                <w:spacing w:val="-2"/>
              </w:rPr>
            </w:pPr>
          </w:p>
        </w:tc>
        <w:tc>
          <w:tcPr>
            <w:tcW w:w="851" w:type="dxa"/>
            <w:vAlign w:val="center"/>
          </w:tcPr>
          <w:p w14:paraId="58020259" w14:textId="77777777" w:rsidR="007B0AB7" w:rsidRDefault="007B0AB7" w:rsidP="007D412A">
            <w:pPr>
              <w:pStyle w:val="TableParagraph"/>
              <w:spacing w:line="230" w:lineRule="exact"/>
              <w:ind w:left="110" w:right="699"/>
              <w:jc w:val="center"/>
              <w:rPr>
                <w:spacing w:val="-2"/>
              </w:rPr>
            </w:pPr>
          </w:p>
        </w:tc>
      </w:tr>
      <w:tr w:rsidR="007B0AB7" w14:paraId="280CCBC8" w14:textId="77777777" w:rsidTr="007D412A">
        <w:trPr>
          <w:trHeight w:val="553"/>
        </w:trPr>
        <w:tc>
          <w:tcPr>
            <w:tcW w:w="1701" w:type="dxa"/>
            <w:vAlign w:val="center"/>
          </w:tcPr>
          <w:p w14:paraId="6C95EB31" w14:textId="77777777" w:rsidR="007B0AB7" w:rsidRDefault="007B0AB7" w:rsidP="007D412A">
            <w:pPr>
              <w:pStyle w:val="TableParagraph"/>
              <w:spacing w:line="230" w:lineRule="exact"/>
              <w:ind w:left="110" w:right="172"/>
              <w:rPr>
                <w:spacing w:val="-2"/>
              </w:rPr>
            </w:pPr>
            <w:r>
              <w:rPr>
                <w:spacing w:val="-2"/>
              </w:rPr>
              <w:t>Intermediate</w:t>
            </w:r>
          </w:p>
        </w:tc>
        <w:tc>
          <w:tcPr>
            <w:tcW w:w="709" w:type="dxa"/>
            <w:vAlign w:val="center"/>
          </w:tcPr>
          <w:p w14:paraId="4E6CB7F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BDAD15B"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49E5A3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9F8A941"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3820D5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F4582B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8B4795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EA0477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5E35F6C"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ED0AA59" w14:textId="77777777" w:rsidR="007B0AB7" w:rsidRDefault="007B0AB7" w:rsidP="007D412A">
            <w:pPr>
              <w:pStyle w:val="TableParagraph"/>
              <w:spacing w:line="230" w:lineRule="exact"/>
              <w:ind w:left="110" w:right="699"/>
              <w:jc w:val="center"/>
              <w:rPr>
                <w:spacing w:val="-2"/>
              </w:rPr>
            </w:pPr>
          </w:p>
        </w:tc>
        <w:tc>
          <w:tcPr>
            <w:tcW w:w="850" w:type="dxa"/>
            <w:vAlign w:val="center"/>
          </w:tcPr>
          <w:p w14:paraId="1623D268" w14:textId="77777777" w:rsidR="007B0AB7" w:rsidRDefault="007B0AB7" w:rsidP="007D412A">
            <w:pPr>
              <w:pStyle w:val="TableParagraph"/>
              <w:spacing w:line="230" w:lineRule="exact"/>
              <w:ind w:left="110" w:right="699"/>
              <w:jc w:val="center"/>
              <w:rPr>
                <w:spacing w:val="-2"/>
              </w:rPr>
            </w:pPr>
          </w:p>
        </w:tc>
        <w:tc>
          <w:tcPr>
            <w:tcW w:w="851" w:type="dxa"/>
            <w:vAlign w:val="center"/>
          </w:tcPr>
          <w:p w14:paraId="774B8A7D" w14:textId="77777777" w:rsidR="007B0AB7" w:rsidRDefault="007B0AB7" w:rsidP="007D412A">
            <w:pPr>
              <w:pStyle w:val="TableParagraph"/>
              <w:spacing w:line="230" w:lineRule="exact"/>
              <w:ind w:left="110" w:right="699"/>
              <w:jc w:val="center"/>
              <w:rPr>
                <w:spacing w:val="-2"/>
              </w:rPr>
            </w:pPr>
          </w:p>
        </w:tc>
      </w:tr>
      <w:tr w:rsidR="007B0AB7" w14:paraId="3F07D9D8" w14:textId="77777777" w:rsidTr="007D412A">
        <w:trPr>
          <w:trHeight w:val="553"/>
        </w:trPr>
        <w:tc>
          <w:tcPr>
            <w:tcW w:w="1701" w:type="dxa"/>
            <w:vAlign w:val="center"/>
          </w:tcPr>
          <w:p w14:paraId="0DF28091" w14:textId="77777777" w:rsidR="007B0AB7" w:rsidRDefault="007B0AB7" w:rsidP="007D412A">
            <w:pPr>
              <w:pStyle w:val="TableParagraph"/>
              <w:spacing w:line="230" w:lineRule="exact"/>
              <w:ind w:left="110" w:right="172"/>
              <w:rPr>
                <w:spacing w:val="-2"/>
              </w:rPr>
            </w:pPr>
            <w:r>
              <w:rPr>
                <w:spacing w:val="-2"/>
              </w:rPr>
              <w:t>Adverse</w:t>
            </w:r>
          </w:p>
        </w:tc>
        <w:tc>
          <w:tcPr>
            <w:tcW w:w="709" w:type="dxa"/>
            <w:vAlign w:val="center"/>
          </w:tcPr>
          <w:p w14:paraId="2B3AE40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D4B114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3E37D4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9490EF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2D0DAB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163CAB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C65A534"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27F8EFC"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29D444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64FF189" w14:textId="77777777" w:rsidR="007B0AB7" w:rsidRDefault="007B0AB7" w:rsidP="007D412A">
            <w:pPr>
              <w:pStyle w:val="TableParagraph"/>
              <w:spacing w:line="230" w:lineRule="exact"/>
              <w:ind w:left="110" w:right="699"/>
              <w:jc w:val="center"/>
              <w:rPr>
                <w:spacing w:val="-2"/>
              </w:rPr>
            </w:pPr>
          </w:p>
        </w:tc>
        <w:tc>
          <w:tcPr>
            <w:tcW w:w="850" w:type="dxa"/>
            <w:vAlign w:val="center"/>
          </w:tcPr>
          <w:p w14:paraId="23F20E02" w14:textId="77777777" w:rsidR="007B0AB7" w:rsidRDefault="007B0AB7" w:rsidP="007D412A">
            <w:pPr>
              <w:pStyle w:val="TableParagraph"/>
              <w:spacing w:line="230" w:lineRule="exact"/>
              <w:ind w:left="110" w:right="699"/>
              <w:jc w:val="center"/>
              <w:rPr>
                <w:spacing w:val="-2"/>
              </w:rPr>
            </w:pPr>
          </w:p>
        </w:tc>
        <w:tc>
          <w:tcPr>
            <w:tcW w:w="851" w:type="dxa"/>
            <w:vAlign w:val="center"/>
          </w:tcPr>
          <w:p w14:paraId="18102929" w14:textId="77777777" w:rsidR="007B0AB7" w:rsidRDefault="007B0AB7" w:rsidP="007D412A">
            <w:pPr>
              <w:pStyle w:val="TableParagraph"/>
              <w:spacing w:line="230" w:lineRule="exact"/>
              <w:ind w:left="110" w:right="699"/>
              <w:jc w:val="center"/>
              <w:rPr>
                <w:spacing w:val="-2"/>
              </w:rPr>
            </w:pPr>
          </w:p>
        </w:tc>
      </w:tr>
      <w:tr w:rsidR="007B0AB7" w14:paraId="5EC637B3" w14:textId="77777777" w:rsidTr="007D412A">
        <w:trPr>
          <w:trHeight w:val="692"/>
        </w:trPr>
        <w:tc>
          <w:tcPr>
            <w:tcW w:w="1701" w:type="dxa"/>
            <w:vAlign w:val="center"/>
          </w:tcPr>
          <w:p w14:paraId="2B3D060B" w14:textId="77777777" w:rsidR="007B0AB7" w:rsidRDefault="007B0AB7" w:rsidP="007D412A">
            <w:pPr>
              <w:pStyle w:val="TableParagraph"/>
              <w:spacing w:line="230" w:lineRule="exact"/>
              <w:ind w:left="110" w:right="172"/>
              <w:rPr>
                <w:b/>
                <w:bCs/>
                <w:spacing w:val="-2"/>
              </w:rPr>
            </w:pPr>
            <w:r>
              <w:rPr>
                <w:b/>
                <w:bCs/>
                <w:spacing w:val="-2"/>
              </w:rPr>
              <w:t xml:space="preserve">Age, </w:t>
            </w:r>
          </w:p>
          <w:p w14:paraId="5F1D8DEA" w14:textId="77777777" w:rsidR="007B0AB7" w:rsidRPr="005741FB" w:rsidRDefault="007B0AB7" w:rsidP="007D412A">
            <w:pPr>
              <w:pStyle w:val="TableParagraph"/>
              <w:spacing w:line="230" w:lineRule="exact"/>
              <w:ind w:left="110" w:right="172"/>
              <w:rPr>
                <w:b/>
                <w:bCs/>
                <w:spacing w:val="-2"/>
              </w:rPr>
            </w:pPr>
            <w:r>
              <w:rPr>
                <w:b/>
                <w:bCs/>
                <w:spacing w:val="-2"/>
              </w:rPr>
              <w:t>per 10 y</w:t>
            </w:r>
          </w:p>
        </w:tc>
        <w:tc>
          <w:tcPr>
            <w:tcW w:w="709" w:type="dxa"/>
            <w:vAlign w:val="center"/>
          </w:tcPr>
          <w:p w14:paraId="0BDA338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CF6D27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3F55A6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699F13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AC7B5FB"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A9D205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8EEB8B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931422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1C303A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16F9CFF" w14:textId="77777777" w:rsidR="007B0AB7" w:rsidRDefault="007B0AB7" w:rsidP="007D412A">
            <w:pPr>
              <w:pStyle w:val="TableParagraph"/>
              <w:spacing w:line="230" w:lineRule="exact"/>
              <w:ind w:left="110" w:right="699"/>
              <w:jc w:val="center"/>
              <w:rPr>
                <w:spacing w:val="-2"/>
              </w:rPr>
            </w:pPr>
          </w:p>
        </w:tc>
        <w:tc>
          <w:tcPr>
            <w:tcW w:w="850" w:type="dxa"/>
            <w:vAlign w:val="center"/>
          </w:tcPr>
          <w:p w14:paraId="31E6A420" w14:textId="77777777" w:rsidR="007B0AB7" w:rsidRDefault="007B0AB7" w:rsidP="007D412A">
            <w:pPr>
              <w:pStyle w:val="TableParagraph"/>
              <w:spacing w:line="230" w:lineRule="exact"/>
              <w:ind w:left="110" w:right="699"/>
              <w:jc w:val="center"/>
              <w:rPr>
                <w:spacing w:val="-2"/>
              </w:rPr>
            </w:pPr>
          </w:p>
        </w:tc>
        <w:tc>
          <w:tcPr>
            <w:tcW w:w="851" w:type="dxa"/>
            <w:vAlign w:val="center"/>
          </w:tcPr>
          <w:p w14:paraId="78333005" w14:textId="77777777" w:rsidR="007B0AB7" w:rsidRDefault="007B0AB7" w:rsidP="007D412A">
            <w:pPr>
              <w:pStyle w:val="TableParagraph"/>
              <w:spacing w:line="230" w:lineRule="exact"/>
              <w:ind w:left="110" w:right="699"/>
              <w:jc w:val="center"/>
              <w:rPr>
                <w:spacing w:val="-2"/>
              </w:rPr>
            </w:pPr>
          </w:p>
        </w:tc>
      </w:tr>
      <w:tr w:rsidR="007B0AB7" w14:paraId="147EC063" w14:textId="77777777" w:rsidTr="007D412A">
        <w:trPr>
          <w:trHeight w:val="844"/>
        </w:trPr>
        <w:tc>
          <w:tcPr>
            <w:tcW w:w="1701" w:type="dxa"/>
            <w:vAlign w:val="center"/>
          </w:tcPr>
          <w:p w14:paraId="7553A444" w14:textId="77777777" w:rsidR="007B0AB7" w:rsidRDefault="007B0AB7" w:rsidP="007D412A">
            <w:pPr>
              <w:pStyle w:val="TableParagraph"/>
              <w:spacing w:line="230" w:lineRule="exact"/>
              <w:ind w:left="110" w:right="172"/>
              <w:rPr>
                <w:b/>
                <w:bCs/>
                <w:spacing w:val="-2"/>
              </w:rPr>
            </w:pPr>
            <w:r>
              <w:rPr>
                <w:b/>
                <w:bCs/>
                <w:spacing w:val="-2"/>
              </w:rPr>
              <w:t>Log2 of WBC in x 10</w:t>
            </w:r>
            <w:r w:rsidRPr="005741FB">
              <w:rPr>
                <w:b/>
                <w:bCs/>
                <w:spacing w:val="-2"/>
                <w:vertAlign w:val="superscript"/>
              </w:rPr>
              <w:t>9</w:t>
            </w:r>
            <w:r>
              <w:rPr>
                <w:b/>
                <w:bCs/>
                <w:spacing w:val="-2"/>
              </w:rPr>
              <w:t>/L</w:t>
            </w:r>
          </w:p>
        </w:tc>
        <w:tc>
          <w:tcPr>
            <w:tcW w:w="709" w:type="dxa"/>
            <w:vAlign w:val="center"/>
          </w:tcPr>
          <w:p w14:paraId="24D1C78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EE0656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19FE93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EC24B3B"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ECCDA0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3D4C58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4AA084F"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A0D90B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576C54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87A2E98" w14:textId="77777777" w:rsidR="007B0AB7" w:rsidRDefault="007B0AB7" w:rsidP="007D412A">
            <w:pPr>
              <w:pStyle w:val="TableParagraph"/>
              <w:spacing w:line="230" w:lineRule="exact"/>
              <w:ind w:left="110" w:right="699"/>
              <w:jc w:val="center"/>
              <w:rPr>
                <w:spacing w:val="-2"/>
              </w:rPr>
            </w:pPr>
          </w:p>
        </w:tc>
        <w:tc>
          <w:tcPr>
            <w:tcW w:w="850" w:type="dxa"/>
            <w:vAlign w:val="center"/>
          </w:tcPr>
          <w:p w14:paraId="325A7149" w14:textId="77777777" w:rsidR="007B0AB7" w:rsidRDefault="007B0AB7" w:rsidP="007D412A">
            <w:pPr>
              <w:pStyle w:val="TableParagraph"/>
              <w:spacing w:line="230" w:lineRule="exact"/>
              <w:ind w:left="110" w:right="699"/>
              <w:jc w:val="center"/>
              <w:rPr>
                <w:spacing w:val="-2"/>
              </w:rPr>
            </w:pPr>
          </w:p>
        </w:tc>
        <w:tc>
          <w:tcPr>
            <w:tcW w:w="851" w:type="dxa"/>
            <w:vAlign w:val="center"/>
          </w:tcPr>
          <w:p w14:paraId="52B8BEDB" w14:textId="77777777" w:rsidR="007B0AB7" w:rsidRDefault="007B0AB7" w:rsidP="007D412A">
            <w:pPr>
              <w:pStyle w:val="TableParagraph"/>
              <w:spacing w:line="230" w:lineRule="exact"/>
              <w:ind w:left="110" w:right="699"/>
              <w:jc w:val="center"/>
              <w:rPr>
                <w:spacing w:val="-2"/>
              </w:rPr>
            </w:pPr>
          </w:p>
        </w:tc>
      </w:tr>
      <w:tr w:rsidR="007B0AB7" w14:paraId="1AD7512D" w14:textId="77777777" w:rsidTr="007D412A">
        <w:trPr>
          <w:trHeight w:val="856"/>
        </w:trPr>
        <w:tc>
          <w:tcPr>
            <w:tcW w:w="1701" w:type="dxa"/>
            <w:vAlign w:val="center"/>
          </w:tcPr>
          <w:p w14:paraId="5DA74DDC" w14:textId="77777777" w:rsidR="007B0AB7" w:rsidRDefault="007B0AB7" w:rsidP="007D412A">
            <w:pPr>
              <w:pStyle w:val="TableParagraph"/>
              <w:spacing w:line="230" w:lineRule="exact"/>
              <w:ind w:left="110" w:right="172"/>
              <w:rPr>
                <w:b/>
                <w:bCs/>
                <w:spacing w:val="-2"/>
              </w:rPr>
            </w:pPr>
            <w:r>
              <w:rPr>
                <w:b/>
                <w:bCs/>
                <w:spacing w:val="-2"/>
              </w:rPr>
              <w:t>Log2 of LDH in x U/L</w:t>
            </w:r>
          </w:p>
        </w:tc>
        <w:tc>
          <w:tcPr>
            <w:tcW w:w="709" w:type="dxa"/>
            <w:vAlign w:val="center"/>
          </w:tcPr>
          <w:p w14:paraId="7662DE1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9EF0B2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28B6EC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A255DB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6895A1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E524D6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66FED2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EE9429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5AB68E6"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BE4308B" w14:textId="77777777" w:rsidR="007B0AB7" w:rsidRDefault="007B0AB7" w:rsidP="007D412A">
            <w:pPr>
              <w:pStyle w:val="TableParagraph"/>
              <w:spacing w:line="230" w:lineRule="exact"/>
              <w:ind w:left="110" w:right="699"/>
              <w:jc w:val="center"/>
              <w:rPr>
                <w:spacing w:val="-2"/>
              </w:rPr>
            </w:pPr>
          </w:p>
        </w:tc>
        <w:tc>
          <w:tcPr>
            <w:tcW w:w="850" w:type="dxa"/>
            <w:vAlign w:val="center"/>
          </w:tcPr>
          <w:p w14:paraId="7C274166" w14:textId="77777777" w:rsidR="007B0AB7" w:rsidRDefault="007B0AB7" w:rsidP="007D412A">
            <w:pPr>
              <w:pStyle w:val="TableParagraph"/>
              <w:spacing w:line="230" w:lineRule="exact"/>
              <w:ind w:left="110" w:right="699"/>
              <w:jc w:val="center"/>
              <w:rPr>
                <w:spacing w:val="-2"/>
              </w:rPr>
            </w:pPr>
          </w:p>
        </w:tc>
        <w:tc>
          <w:tcPr>
            <w:tcW w:w="851" w:type="dxa"/>
            <w:vAlign w:val="center"/>
          </w:tcPr>
          <w:p w14:paraId="0904DE78" w14:textId="77777777" w:rsidR="007B0AB7" w:rsidRDefault="007B0AB7" w:rsidP="007D412A">
            <w:pPr>
              <w:pStyle w:val="TableParagraph"/>
              <w:spacing w:line="230" w:lineRule="exact"/>
              <w:ind w:left="110" w:right="699"/>
              <w:jc w:val="center"/>
              <w:rPr>
                <w:spacing w:val="-2"/>
              </w:rPr>
            </w:pPr>
          </w:p>
        </w:tc>
      </w:tr>
      <w:tr w:rsidR="007B0AB7" w14:paraId="0AF8E355" w14:textId="77777777" w:rsidTr="007D412A">
        <w:trPr>
          <w:trHeight w:val="553"/>
        </w:trPr>
        <w:tc>
          <w:tcPr>
            <w:tcW w:w="1701" w:type="dxa"/>
            <w:vAlign w:val="center"/>
          </w:tcPr>
          <w:p w14:paraId="5151EBEF" w14:textId="77777777" w:rsidR="007B0AB7" w:rsidRDefault="007B0AB7" w:rsidP="007D412A">
            <w:pPr>
              <w:pStyle w:val="TableParagraph"/>
              <w:spacing w:line="230" w:lineRule="exact"/>
              <w:ind w:left="110" w:right="172"/>
              <w:rPr>
                <w:b/>
                <w:bCs/>
                <w:spacing w:val="-2"/>
              </w:rPr>
            </w:pPr>
            <w:r>
              <w:rPr>
                <w:b/>
                <w:bCs/>
                <w:spacing w:val="-2"/>
              </w:rPr>
              <w:t>AML type</w:t>
            </w:r>
          </w:p>
        </w:tc>
        <w:tc>
          <w:tcPr>
            <w:tcW w:w="709" w:type="dxa"/>
            <w:vAlign w:val="center"/>
          </w:tcPr>
          <w:p w14:paraId="4ED51FB1"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12DAA6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FEF413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8A5578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A1BEEF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CAB95E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DA1C74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26605B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EF730E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C1BD074" w14:textId="77777777" w:rsidR="007B0AB7" w:rsidRDefault="007B0AB7" w:rsidP="007D412A">
            <w:pPr>
              <w:pStyle w:val="TableParagraph"/>
              <w:spacing w:line="230" w:lineRule="exact"/>
              <w:ind w:left="110" w:right="699"/>
              <w:jc w:val="center"/>
              <w:rPr>
                <w:spacing w:val="-2"/>
              </w:rPr>
            </w:pPr>
          </w:p>
        </w:tc>
        <w:tc>
          <w:tcPr>
            <w:tcW w:w="850" w:type="dxa"/>
            <w:vAlign w:val="center"/>
          </w:tcPr>
          <w:p w14:paraId="3218D75F" w14:textId="77777777" w:rsidR="007B0AB7" w:rsidRDefault="007B0AB7" w:rsidP="007D412A">
            <w:pPr>
              <w:pStyle w:val="TableParagraph"/>
              <w:spacing w:line="230" w:lineRule="exact"/>
              <w:ind w:left="110" w:right="699"/>
              <w:jc w:val="center"/>
              <w:rPr>
                <w:spacing w:val="-2"/>
              </w:rPr>
            </w:pPr>
          </w:p>
        </w:tc>
        <w:tc>
          <w:tcPr>
            <w:tcW w:w="851" w:type="dxa"/>
            <w:vAlign w:val="center"/>
          </w:tcPr>
          <w:p w14:paraId="7E0B1A32" w14:textId="77777777" w:rsidR="007B0AB7" w:rsidRDefault="007B0AB7" w:rsidP="007D412A">
            <w:pPr>
              <w:pStyle w:val="TableParagraph"/>
              <w:spacing w:line="230" w:lineRule="exact"/>
              <w:ind w:left="110" w:right="699"/>
              <w:jc w:val="center"/>
              <w:rPr>
                <w:spacing w:val="-2"/>
              </w:rPr>
            </w:pPr>
          </w:p>
        </w:tc>
      </w:tr>
      <w:tr w:rsidR="007B0AB7" w14:paraId="755E8D8C" w14:textId="77777777" w:rsidTr="007D412A">
        <w:trPr>
          <w:trHeight w:val="692"/>
        </w:trPr>
        <w:tc>
          <w:tcPr>
            <w:tcW w:w="1701" w:type="dxa"/>
            <w:vAlign w:val="center"/>
          </w:tcPr>
          <w:p w14:paraId="0935EE67" w14:textId="77777777" w:rsidR="007B0AB7" w:rsidRPr="00597250" w:rsidRDefault="007B0AB7" w:rsidP="007D412A">
            <w:pPr>
              <w:pStyle w:val="TableParagraph"/>
              <w:spacing w:line="230" w:lineRule="exact"/>
              <w:ind w:left="110" w:right="172"/>
              <w:rPr>
                <w:spacing w:val="-2"/>
              </w:rPr>
            </w:pPr>
            <w:r>
              <w:rPr>
                <w:spacing w:val="-2"/>
              </w:rPr>
              <w:t>De novo AML</w:t>
            </w:r>
          </w:p>
        </w:tc>
        <w:tc>
          <w:tcPr>
            <w:tcW w:w="709" w:type="dxa"/>
            <w:vAlign w:val="center"/>
          </w:tcPr>
          <w:p w14:paraId="7507939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EB5440C"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B004B8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55DC18C"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8D6F35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9426EDB"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4A39304"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24BB08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CC128F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94CEBA9" w14:textId="77777777" w:rsidR="007B0AB7" w:rsidRDefault="007B0AB7" w:rsidP="007D412A">
            <w:pPr>
              <w:pStyle w:val="TableParagraph"/>
              <w:spacing w:line="230" w:lineRule="exact"/>
              <w:ind w:left="110" w:right="699"/>
              <w:jc w:val="center"/>
              <w:rPr>
                <w:spacing w:val="-2"/>
              </w:rPr>
            </w:pPr>
          </w:p>
        </w:tc>
        <w:tc>
          <w:tcPr>
            <w:tcW w:w="850" w:type="dxa"/>
            <w:vAlign w:val="center"/>
          </w:tcPr>
          <w:p w14:paraId="46F99620" w14:textId="77777777" w:rsidR="007B0AB7" w:rsidRDefault="007B0AB7" w:rsidP="007D412A">
            <w:pPr>
              <w:pStyle w:val="TableParagraph"/>
              <w:spacing w:line="230" w:lineRule="exact"/>
              <w:ind w:left="110" w:right="699"/>
              <w:jc w:val="center"/>
              <w:rPr>
                <w:spacing w:val="-2"/>
              </w:rPr>
            </w:pPr>
          </w:p>
        </w:tc>
        <w:tc>
          <w:tcPr>
            <w:tcW w:w="851" w:type="dxa"/>
            <w:vAlign w:val="center"/>
          </w:tcPr>
          <w:p w14:paraId="70011A65" w14:textId="77777777" w:rsidR="007B0AB7" w:rsidRDefault="007B0AB7" w:rsidP="007D412A">
            <w:pPr>
              <w:pStyle w:val="TableParagraph"/>
              <w:spacing w:line="230" w:lineRule="exact"/>
              <w:ind w:left="110" w:right="699"/>
              <w:jc w:val="center"/>
              <w:rPr>
                <w:spacing w:val="-2"/>
              </w:rPr>
            </w:pPr>
          </w:p>
        </w:tc>
      </w:tr>
      <w:tr w:rsidR="007B0AB7" w14:paraId="3044A8E5" w14:textId="77777777" w:rsidTr="007D412A">
        <w:trPr>
          <w:trHeight w:val="553"/>
        </w:trPr>
        <w:tc>
          <w:tcPr>
            <w:tcW w:w="1701" w:type="dxa"/>
            <w:vAlign w:val="center"/>
          </w:tcPr>
          <w:p w14:paraId="4769339D" w14:textId="77777777" w:rsidR="007B0AB7" w:rsidRDefault="007B0AB7" w:rsidP="007D412A">
            <w:pPr>
              <w:pStyle w:val="TableParagraph"/>
              <w:spacing w:line="230" w:lineRule="exact"/>
              <w:ind w:left="110" w:right="172"/>
              <w:rPr>
                <w:spacing w:val="-2"/>
              </w:rPr>
            </w:pPr>
            <w:proofErr w:type="spellStart"/>
            <w:r>
              <w:rPr>
                <w:spacing w:val="-2"/>
              </w:rPr>
              <w:t>sAML</w:t>
            </w:r>
            <w:proofErr w:type="spellEnd"/>
          </w:p>
        </w:tc>
        <w:tc>
          <w:tcPr>
            <w:tcW w:w="709" w:type="dxa"/>
            <w:vAlign w:val="center"/>
          </w:tcPr>
          <w:p w14:paraId="29EDDC56"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52AA1F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F944896"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6B183C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3182DC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19FDFC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D59155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D9463A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0BED3CF"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3D06824" w14:textId="77777777" w:rsidR="007B0AB7" w:rsidRDefault="007B0AB7" w:rsidP="007D412A">
            <w:pPr>
              <w:pStyle w:val="TableParagraph"/>
              <w:spacing w:line="230" w:lineRule="exact"/>
              <w:ind w:left="110" w:right="699"/>
              <w:jc w:val="center"/>
              <w:rPr>
                <w:spacing w:val="-2"/>
              </w:rPr>
            </w:pPr>
          </w:p>
        </w:tc>
        <w:tc>
          <w:tcPr>
            <w:tcW w:w="850" w:type="dxa"/>
            <w:vAlign w:val="center"/>
          </w:tcPr>
          <w:p w14:paraId="7D3812E7" w14:textId="77777777" w:rsidR="007B0AB7" w:rsidRDefault="007B0AB7" w:rsidP="007D412A">
            <w:pPr>
              <w:pStyle w:val="TableParagraph"/>
              <w:spacing w:line="230" w:lineRule="exact"/>
              <w:ind w:left="110" w:right="699"/>
              <w:jc w:val="center"/>
              <w:rPr>
                <w:spacing w:val="-2"/>
              </w:rPr>
            </w:pPr>
          </w:p>
        </w:tc>
        <w:tc>
          <w:tcPr>
            <w:tcW w:w="851" w:type="dxa"/>
            <w:vAlign w:val="center"/>
          </w:tcPr>
          <w:p w14:paraId="6B3A2259" w14:textId="77777777" w:rsidR="007B0AB7" w:rsidRDefault="007B0AB7" w:rsidP="007D412A">
            <w:pPr>
              <w:pStyle w:val="TableParagraph"/>
              <w:spacing w:line="230" w:lineRule="exact"/>
              <w:ind w:left="110" w:right="699"/>
              <w:jc w:val="center"/>
              <w:rPr>
                <w:spacing w:val="-2"/>
              </w:rPr>
            </w:pPr>
          </w:p>
        </w:tc>
      </w:tr>
      <w:tr w:rsidR="007B0AB7" w14:paraId="69EF80F5" w14:textId="77777777" w:rsidTr="007D412A">
        <w:trPr>
          <w:trHeight w:val="553"/>
        </w:trPr>
        <w:tc>
          <w:tcPr>
            <w:tcW w:w="1701" w:type="dxa"/>
            <w:vAlign w:val="center"/>
          </w:tcPr>
          <w:p w14:paraId="551016B5" w14:textId="77777777" w:rsidR="007B0AB7" w:rsidRDefault="007B0AB7" w:rsidP="007D412A">
            <w:pPr>
              <w:pStyle w:val="TableParagraph"/>
              <w:spacing w:line="230" w:lineRule="exact"/>
              <w:ind w:left="110" w:right="172"/>
              <w:rPr>
                <w:spacing w:val="-2"/>
              </w:rPr>
            </w:pPr>
            <w:proofErr w:type="spellStart"/>
            <w:r>
              <w:rPr>
                <w:spacing w:val="-2"/>
              </w:rPr>
              <w:t>tAML</w:t>
            </w:r>
            <w:proofErr w:type="spellEnd"/>
          </w:p>
        </w:tc>
        <w:tc>
          <w:tcPr>
            <w:tcW w:w="709" w:type="dxa"/>
            <w:vAlign w:val="center"/>
          </w:tcPr>
          <w:p w14:paraId="6543FC76"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C392B7B"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8460E1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2982EBF"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34648C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A62C9A4"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ADE8021"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4E64CE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22013E1"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3A764CC" w14:textId="77777777" w:rsidR="007B0AB7" w:rsidRDefault="007B0AB7" w:rsidP="007D412A">
            <w:pPr>
              <w:pStyle w:val="TableParagraph"/>
              <w:spacing w:line="230" w:lineRule="exact"/>
              <w:ind w:left="110" w:right="699"/>
              <w:jc w:val="center"/>
              <w:rPr>
                <w:spacing w:val="-2"/>
              </w:rPr>
            </w:pPr>
          </w:p>
        </w:tc>
        <w:tc>
          <w:tcPr>
            <w:tcW w:w="850" w:type="dxa"/>
            <w:vAlign w:val="center"/>
          </w:tcPr>
          <w:p w14:paraId="07D2B995" w14:textId="77777777" w:rsidR="007B0AB7" w:rsidRDefault="007B0AB7" w:rsidP="007D412A">
            <w:pPr>
              <w:pStyle w:val="TableParagraph"/>
              <w:spacing w:line="230" w:lineRule="exact"/>
              <w:ind w:left="110" w:right="699"/>
              <w:jc w:val="center"/>
              <w:rPr>
                <w:spacing w:val="-2"/>
              </w:rPr>
            </w:pPr>
          </w:p>
        </w:tc>
        <w:tc>
          <w:tcPr>
            <w:tcW w:w="851" w:type="dxa"/>
            <w:vAlign w:val="center"/>
          </w:tcPr>
          <w:p w14:paraId="3A2649F1" w14:textId="77777777" w:rsidR="007B0AB7" w:rsidRDefault="007B0AB7" w:rsidP="007D412A">
            <w:pPr>
              <w:pStyle w:val="TableParagraph"/>
              <w:spacing w:line="230" w:lineRule="exact"/>
              <w:ind w:left="110" w:right="699"/>
              <w:jc w:val="center"/>
              <w:rPr>
                <w:spacing w:val="-2"/>
              </w:rPr>
            </w:pPr>
          </w:p>
        </w:tc>
      </w:tr>
      <w:tr w:rsidR="007B0AB7" w14:paraId="35764D2A" w14:textId="77777777" w:rsidTr="007D412A">
        <w:trPr>
          <w:trHeight w:val="553"/>
        </w:trPr>
        <w:tc>
          <w:tcPr>
            <w:tcW w:w="1701" w:type="dxa"/>
            <w:vAlign w:val="center"/>
          </w:tcPr>
          <w:p w14:paraId="2433321D" w14:textId="77777777" w:rsidR="007B0AB7" w:rsidRDefault="007B0AB7" w:rsidP="007D412A">
            <w:pPr>
              <w:pStyle w:val="TableParagraph"/>
              <w:spacing w:line="230" w:lineRule="exact"/>
              <w:ind w:left="110" w:right="172"/>
              <w:rPr>
                <w:b/>
                <w:bCs/>
                <w:spacing w:val="-2"/>
              </w:rPr>
            </w:pPr>
            <w:r>
              <w:rPr>
                <w:b/>
                <w:bCs/>
                <w:spacing w:val="-2"/>
              </w:rPr>
              <w:t>ECOG 0-1</w:t>
            </w:r>
          </w:p>
        </w:tc>
        <w:tc>
          <w:tcPr>
            <w:tcW w:w="709" w:type="dxa"/>
            <w:vAlign w:val="center"/>
          </w:tcPr>
          <w:p w14:paraId="5B1646B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0A3E5E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AB869D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FC17EE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D2D42EF"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C6DAE1C"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6BD0F2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DFA769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CA3BC7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08223FC" w14:textId="77777777" w:rsidR="007B0AB7" w:rsidRDefault="007B0AB7" w:rsidP="007D412A">
            <w:pPr>
              <w:pStyle w:val="TableParagraph"/>
              <w:spacing w:line="230" w:lineRule="exact"/>
              <w:ind w:left="110" w:right="699"/>
              <w:jc w:val="center"/>
              <w:rPr>
                <w:spacing w:val="-2"/>
              </w:rPr>
            </w:pPr>
          </w:p>
        </w:tc>
        <w:tc>
          <w:tcPr>
            <w:tcW w:w="850" w:type="dxa"/>
            <w:vAlign w:val="center"/>
          </w:tcPr>
          <w:p w14:paraId="1BAB2C9A" w14:textId="77777777" w:rsidR="007B0AB7" w:rsidRDefault="007B0AB7" w:rsidP="007D412A">
            <w:pPr>
              <w:pStyle w:val="TableParagraph"/>
              <w:spacing w:line="230" w:lineRule="exact"/>
              <w:ind w:left="110" w:right="699"/>
              <w:jc w:val="center"/>
              <w:rPr>
                <w:spacing w:val="-2"/>
              </w:rPr>
            </w:pPr>
          </w:p>
        </w:tc>
        <w:tc>
          <w:tcPr>
            <w:tcW w:w="851" w:type="dxa"/>
            <w:vAlign w:val="center"/>
          </w:tcPr>
          <w:p w14:paraId="10DAD050" w14:textId="77777777" w:rsidR="007B0AB7" w:rsidRDefault="007B0AB7" w:rsidP="007D412A">
            <w:pPr>
              <w:pStyle w:val="TableParagraph"/>
              <w:spacing w:line="230" w:lineRule="exact"/>
              <w:ind w:left="110" w:right="699"/>
              <w:jc w:val="center"/>
              <w:rPr>
                <w:spacing w:val="-2"/>
              </w:rPr>
            </w:pPr>
          </w:p>
        </w:tc>
      </w:tr>
      <w:tr w:rsidR="007B0AB7" w14:paraId="404531B2" w14:textId="77777777" w:rsidTr="007D412A">
        <w:trPr>
          <w:trHeight w:val="553"/>
        </w:trPr>
        <w:tc>
          <w:tcPr>
            <w:tcW w:w="1701" w:type="dxa"/>
            <w:vAlign w:val="center"/>
          </w:tcPr>
          <w:p w14:paraId="167B1A04" w14:textId="77777777" w:rsidR="007B0AB7" w:rsidRDefault="007B0AB7" w:rsidP="007D412A">
            <w:pPr>
              <w:pStyle w:val="TableParagraph"/>
              <w:spacing w:line="230" w:lineRule="exact"/>
              <w:ind w:left="110" w:right="172"/>
              <w:rPr>
                <w:b/>
                <w:bCs/>
                <w:spacing w:val="-2"/>
              </w:rPr>
            </w:pPr>
            <w:r>
              <w:rPr>
                <w:b/>
                <w:bCs/>
                <w:spacing w:val="-2"/>
              </w:rPr>
              <w:t>HCT-CI &gt;2</w:t>
            </w:r>
          </w:p>
        </w:tc>
        <w:tc>
          <w:tcPr>
            <w:tcW w:w="709" w:type="dxa"/>
            <w:vAlign w:val="center"/>
          </w:tcPr>
          <w:p w14:paraId="0BA1CDD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962886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4177BFC"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3FC3E9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EFA5B6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59281B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0876C4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652948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917B3C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D5821B3" w14:textId="77777777" w:rsidR="007B0AB7" w:rsidRDefault="007B0AB7" w:rsidP="007D412A">
            <w:pPr>
              <w:pStyle w:val="TableParagraph"/>
              <w:spacing w:line="230" w:lineRule="exact"/>
              <w:ind w:left="110" w:right="699"/>
              <w:jc w:val="center"/>
              <w:rPr>
                <w:spacing w:val="-2"/>
              </w:rPr>
            </w:pPr>
          </w:p>
        </w:tc>
        <w:tc>
          <w:tcPr>
            <w:tcW w:w="850" w:type="dxa"/>
            <w:vAlign w:val="center"/>
          </w:tcPr>
          <w:p w14:paraId="29118C0C" w14:textId="77777777" w:rsidR="007B0AB7" w:rsidRDefault="007B0AB7" w:rsidP="007D412A">
            <w:pPr>
              <w:pStyle w:val="TableParagraph"/>
              <w:spacing w:line="230" w:lineRule="exact"/>
              <w:ind w:left="110" w:right="699"/>
              <w:jc w:val="center"/>
              <w:rPr>
                <w:spacing w:val="-2"/>
              </w:rPr>
            </w:pPr>
          </w:p>
        </w:tc>
        <w:tc>
          <w:tcPr>
            <w:tcW w:w="851" w:type="dxa"/>
            <w:vAlign w:val="center"/>
          </w:tcPr>
          <w:p w14:paraId="21366ECB" w14:textId="77777777" w:rsidR="007B0AB7" w:rsidRDefault="007B0AB7" w:rsidP="007D412A">
            <w:pPr>
              <w:pStyle w:val="TableParagraph"/>
              <w:spacing w:line="230" w:lineRule="exact"/>
              <w:ind w:left="110" w:right="699"/>
              <w:jc w:val="center"/>
              <w:rPr>
                <w:spacing w:val="-2"/>
              </w:rPr>
            </w:pPr>
          </w:p>
        </w:tc>
      </w:tr>
      <w:tr w:rsidR="007B0AB7" w14:paraId="762CAF7B" w14:textId="77777777" w:rsidTr="007D412A">
        <w:trPr>
          <w:trHeight w:val="990"/>
        </w:trPr>
        <w:tc>
          <w:tcPr>
            <w:tcW w:w="1701" w:type="dxa"/>
            <w:vAlign w:val="center"/>
          </w:tcPr>
          <w:p w14:paraId="39904C3C" w14:textId="77777777" w:rsidR="007B0AB7" w:rsidRPr="00597250" w:rsidRDefault="007B0AB7" w:rsidP="007D412A">
            <w:pPr>
              <w:pStyle w:val="TableParagraph"/>
              <w:spacing w:line="230" w:lineRule="exact"/>
              <w:ind w:left="110" w:right="172"/>
              <w:rPr>
                <w:b/>
                <w:bCs/>
                <w:i/>
                <w:iCs/>
                <w:spacing w:val="-2"/>
              </w:rPr>
            </w:pPr>
            <w:r>
              <w:rPr>
                <w:b/>
                <w:bCs/>
                <w:spacing w:val="-2"/>
              </w:rPr>
              <w:lastRenderedPageBreak/>
              <w:t xml:space="preserve">Cause of delay of treatment, </w:t>
            </w:r>
          </w:p>
        </w:tc>
        <w:tc>
          <w:tcPr>
            <w:tcW w:w="709" w:type="dxa"/>
            <w:vAlign w:val="center"/>
          </w:tcPr>
          <w:p w14:paraId="6FC97A14"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F5D3AC4"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6A4417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66FC73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93AA58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9EC30F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51E305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230780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87A88C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FDD1B84" w14:textId="77777777" w:rsidR="007B0AB7" w:rsidRDefault="007B0AB7" w:rsidP="007D412A">
            <w:pPr>
              <w:pStyle w:val="TableParagraph"/>
              <w:spacing w:line="230" w:lineRule="exact"/>
              <w:ind w:left="110" w:right="699"/>
              <w:jc w:val="center"/>
              <w:rPr>
                <w:spacing w:val="-2"/>
              </w:rPr>
            </w:pPr>
          </w:p>
        </w:tc>
        <w:tc>
          <w:tcPr>
            <w:tcW w:w="850" w:type="dxa"/>
            <w:vAlign w:val="center"/>
          </w:tcPr>
          <w:p w14:paraId="10759B21" w14:textId="77777777" w:rsidR="007B0AB7" w:rsidRDefault="007B0AB7" w:rsidP="007D412A">
            <w:pPr>
              <w:pStyle w:val="TableParagraph"/>
              <w:spacing w:line="230" w:lineRule="exact"/>
              <w:ind w:left="110" w:right="699"/>
              <w:jc w:val="center"/>
              <w:rPr>
                <w:spacing w:val="-2"/>
              </w:rPr>
            </w:pPr>
          </w:p>
        </w:tc>
        <w:tc>
          <w:tcPr>
            <w:tcW w:w="851" w:type="dxa"/>
            <w:vAlign w:val="center"/>
          </w:tcPr>
          <w:p w14:paraId="0ACD045A" w14:textId="77777777" w:rsidR="007B0AB7" w:rsidRDefault="007B0AB7" w:rsidP="007D412A">
            <w:pPr>
              <w:pStyle w:val="TableParagraph"/>
              <w:spacing w:line="230" w:lineRule="exact"/>
              <w:ind w:left="110" w:right="699"/>
              <w:jc w:val="center"/>
              <w:rPr>
                <w:spacing w:val="-2"/>
              </w:rPr>
            </w:pPr>
          </w:p>
        </w:tc>
      </w:tr>
      <w:tr w:rsidR="007B0AB7" w14:paraId="57C9E45E" w14:textId="77777777" w:rsidTr="007D412A">
        <w:trPr>
          <w:trHeight w:val="553"/>
        </w:trPr>
        <w:tc>
          <w:tcPr>
            <w:tcW w:w="1701" w:type="dxa"/>
            <w:vAlign w:val="center"/>
          </w:tcPr>
          <w:p w14:paraId="2B550A21" w14:textId="77777777" w:rsidR="007B0AB7" w:rsidRDefault="007B0AB7" w:rsidP="007D412A">
            <w:pPr>
              <w:pStyle w:val="TableParagraph"/>
              <w:spacing w:line="230" w:lineRule="exact"/>
              <w:ind w:left="110" w:right="172"/>
              <w:rPr>
                <w:spacing w:val="-2"/>
              </w:rPr>
            </w:pPr>
            <w:r>
              <w:rPr>
                <w:spacing w:val="-2"/>
              </w:rPr>
              <w:t>Infection</w:t>
            </w:r>
          </w:p>
        </w:tc>
        <w:tc>
          <w:tcPr>
            <w:tcW w:w="709" w:type="dxa"/>
            <w:vAlign w:val="center"/>
          </w:tcPr>
          <w:p w14:paraId="787264FC"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798FEF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3797D3B"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6C608D1"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64CFF3B"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2E87B5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BCF6FB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FFDE6DF"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A8EE19C"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6720D64" w14:textId="77777777" w:rsidR="007B0AB7" w:rsidRDefault="007B0AB7" w:rsidP="007D412A">
            <w:pPr>
              <w:pStyle w:val="TableParagraph"/>
              <w:spacing w:line="230" w:lineRule="exact"/>
              <w:ind w:left="110" w:right="699"/>
              <w:jc w:val="center"/>
              <w:rPr>
                <w:spacing w:val="-2"/>
              </w:rPr>
            </w:pPr>
          </w:p>
        </w:tc>
        <w:tc>
          <w:tcPr>
            <w:tcW w:w="850" w:type="dxa"/>
            <w:vAlign w:val="center"/>
          </w:tcPr>
          <w:p w14:paraId="5078887F" w14:textId="77777777" w:rsidR="007B0AB7" w:rsidRDefault="007B0AB7" w:rsidP="007D412A">
            <w:pPr>
              <w:pStyle w:val="TableParagraph"/>
              <w:spacing w:line="230" w:lineRule="exact"/>
              <w:ind w:left="110" w:right="699"/>
              <w:jc w:val="center"/>
              <w:rPr>
                <w:spacing w:val="-2"/>
              </w:rPr>
            </w:pPr>
          </w:p>
        </w:tc>
        <w:tc>
          <w:tcPr>
            <w:tcW w:w="851" w:type="dxa"/>
            <w:vAlign w:val="center"/>
          </w:tcPr>
          <w:p w14:paraId="3B1961CE" w14:textId="77777777" w:rsidR="007B0AB7" w:rsidRDefault="007B0AB7" w:rsidP="007D412A">
            <w:pPr>
              <w:pStyle w:val="TableParagraph"/>
              <w:spacing w:line="230" w:lineRule="exact"/>
              <w:ind w:left="110" w:right="699"/>
              <w:jc w:val="center"/>
              <w:rPr>
                <w:spacing w:val="-2"/>
              </w:rPr>
            </w:pPr>
          </w:p>
        </w:tc>
      </w:tr>
      <w:tr w:rsidR="007B0AB7" w14:paraId="0320C24B" w14:textId="77777777" w:rsidTr="007D412A">
        <w:trPr>
          <w:trHeight w:val="714"/>
        </w:trPr>
        <w:tc>
          <w:tcPr>
            <w:tcW w:w="1701" w:type="dxa"/>
            <w:vAlign w:val="center"/>
          </w:tcPr>
          <w:p w14:paraId="774ABD64" w14:textId="77777777" w:rsidR="007B0AB7" w:rsidRDefault="007B0AB7" w:rsidP="007D412A">
            <w:pPr>
              <w:pStyle w:val="TableParagraph"/>
              <w:spacing w:line="230" w:lineRule="exact"/>
              <w:ind w:left="110" w:right="172"/>
              <w:rPr>
                <w:spacing w:val="-2"/>
              </w:rPr>
            </w:pPr>
            <w:r>
              <w:rPr>
                <w:spacing w:val="-2"/>
              </w:rPr>
              <w:t>Nutritional upbuilding</w:t>
            </w:r>
          </w:p>
        </w:tc>
        <w:tc>
          <w:tcPr>
            <w:tcW w:w="709" w:type="dxa"/>
            <w:vAlign w:val="center"/>
          </w:tcPr>
          <w:p w14:paraId="09509DF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4C8D12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70C25B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80F12C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5503276"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0ACAE5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BA9E2E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F73805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D0EF57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1EB1C04" w14:textId="77777777" w:rsidR="007B0AB7" w:rsidRDefault="007B0AB7" w:rsidP="007D412A">
            <w:pPr>
              <w:pStyle w:val="TableParagraph"/>
              <w:spacing w:line="230" w:lineRule="exact"/>
              <w:ind w:left="110" w:right="699"/>
              <w:jc w:val="center"/>
              <w:rPr>
                <w:spacing w:val="-2"/>
              </w:rPr>
            </w:pPr>
          </w:p>
        </w:tc>
        <w:tc>
          <w:tcPr>
            <w:tcW w:w="850" w:type="dxa"/>
            <w:vAlign w:val="center"/>
          </w:tcPr>
          <w:p w14:paraId="339E73C3" w14:textId="77777777" w:rsidR="007B0AB7" w:rsidRDefault="007B0AB7" w:rsidP="007D412A">
            <w:pPr>
              <w:pStyle w:val="TableParagraph"/>
              <w:spacing w:line="230" w:lineRule="exact"/>
              <w:ind w:left="110" w:right="699"/>
              <w:jc w:val="center"/>
              <w:rPr>
                <w:spacing w:val="-2"/>
              </w:rPr>
            </w:pPr>
          </w:p>
        </w:tc>
        <w:tc>
          <w:tcPr>
            <w:tcW w:w="851" w:type="dxa"/>
            <w:vAlign w:val="center"/>
          </w:tcPr>
          <w:p w14:paraId="60CBBD0F" w14:textId="77777777" w:rsidR="007B0AB7" w:rsidRDefault="007B0AB7" w:rsidP="007D412A">
            <w:pPr>
              <w:pStyle w:val="TableParagraph"/>
              <w:spacing w:line="230" w:lineRule="exact"/>
              <w:ind w:left="110" w:right="699"/>
              <w:jc w:val="center"/>
              <w:rPr>
                <w:spacing w:val="-2"/>
              </w:rPr>
            </w:pPr>
          </w:p>
        </w:tc>
      </w:tr>
      <w:tr w:rsidR="007B0AB7" w14:paraId="66609927" w14:textId="77777777" w:rsidTr="007D412A">
        <w:trPr>
          <w:trHeight w:val="696"/>
        </w:trPr>
        <w:tc>
          <w:tcPr>
            <w:tcW w:w="1701" w:type="dxa"/>
            <w:vAlign w:val="center"/>
          </w:tcPr>
          <w:p w14:paraId="1ACA628F" w14:textId="77777777" w:rsidR="007B0AB7" w:rsidRDefault="007B0AB7" w:rsidP="007D412A">
            <w:pPr>
              <w:pStyle w:val="TableParagraph"/>
              <w:spacing w:line="230" w:lineRule="exact"/>
              <w:ind w:left="110" w:right="172"/>
              <w:rPr>
                <w:spacing w:val="-2"/>
              </w:rPr>
            </w:pPr>
            <w:r>
              <w:rPr>
                <w:spacing w:val="-2"/>
              </w:rPr>
              <w:t>Cost of treatment</w:t>
            </w:r>
          </w:p>
        </w:tc>
        <w:tc>
          <w:tcPr>
            <w:tcW w:w="709" w:type="dxa"/>
            <w:vAlign w:val="center"/>
          </w:tcPr>
          <w:p w14:paraId="6133BAF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898EE0D" w14:textId="77777777" w:rsidR="007B0AB7" w:rsidRDefault="007B0AB7" w:rsidP="007D412A">
            <w:pPr>
              <w:pStyle w:val="TableParagraph"/>
              <w:spacing w:line="230" w:lineRule="exact"/>
              <w:ind w:left="110" w:right="699"/>
              <w:jc w:val="center"/>
              <w:rPr>
                <w:spacing w:val="-2"/>
              </w:rPr>
            </w:pPr>
          </w:p>
        </w:tc>
        <w:tc>
          <w:tcPr>
            <w:tcW w:w="709" w:type="dxa"/>
            <w:vAlign w:val="center"/>
          </w:tcPr>
          <w:p w14:paraId="3DF12B6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81B27F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4D84FB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97739C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DEFA15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D0C721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182027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3A5AA2F" w14:textId="77777777" w:rsidR="007B0AB7" w:rsidRDefault="007B0AB7" w:rsidP="007D412A">
            <w:pPr>
              <w:pStyle w:val="TableParagraph"/>
              <w:spacing w:line="230" w:lineRule="exact"/>
              <w:ind w:left="110" w:right="699"/>
              <w:jc w:val="center"/>
              <w:rPr>
                <w:spacing w:val="-2"/>
              </w:rPr>
            </w:pPr>
          </w:p>
        </w:tc>
        <w:tc>
          <w:tcPr>
            <w:tcW w:w="850" w:type="dxa"/>
            <w:vAlign w:val="center"/>
          </w:tcPr>
          <w:p w14:paraId="257E98D4" w14:textId="77777777" w:rsidR="007B0AB7" w:rsidRDefault="007B0AB7" w:rsidP="007D412A">
            <w:pPr>
              <w:pStyle w:val="TableParagraph"/>
              <w:spacing w:line="230" w:lineRule="exact"/>
              <w:ind w:left="110" w:right="699"/>
              <w:jc w:val="center"/>
              <w:rPr>
                <w:spacing w:val="-2"/>
              </w:rPr>
            </w:pPr>
          </w:p>
        </w:tc>
        <w:tc>
          <w:tcPr>
            <w:tcW w:w="851" w:type="dxa"/>
            <w:vAlign w:val="center"/>
          </w:tcPr>
          <w:p w14:paraId="04B9C8FF" w14:textId="77777777" w:rsidR="007B0AB7" w:rsidRDefault="007B0AB7" w:rsidP="007D412A">
            <w:pPr>
              <w:pStyle w:val="TableParagraph"/>
              <w:spacing w:line="230" w:lineRule="exact"/>
              <w:ind w:left="110" w:right="699"/>
              <w:jc w:val="center"/>
              <w:rPr>
                <w:spacing w:val="-2"/>
              </w:rPr>
            </w:pPr>
          </w:p>
        </w:tc>
      </w:tr>
      <w:tr w:rsidR="007B0AB7" w14:paraId="2F08869F" w14:textId="77777777" w:rsidTr="007D412A">
        <w:trPr>
          <w:trHeight w:val="699"/>
        </w:trPr>
        <w:tc>
          <w:tcPr>
            <w:tcW w:w="1701" w:type="dxa"/>
            <w:vAlign w:val="center"/>
          </w:tcPr>
          <w:p w14:paraId="22E0680D" w14:textId="77777777" w:rsidR="007B0AB7" w:rsidRDefault="007B0AB7" w:rsidP="007D412A">
            <w:pPr>
              <w:pStyle w:val="TableParagraph"/>
              <w:spacing w:line="230" w:lineRule="exact"/>
              <w:ind w:left="110" w:right="172"/>
              <w:rPr>
                <w:spacing w:val="-2"/>
              </w:rPr>
            </w:pPr>
            <w:r>
              <w:rPr>
                <w:spacing w:val="-2"/>
              </w:rPr>
              <w:t>Lack of access</w:t>
            </w:r>
          </w:p>
        </w:tc>
        <w:tc>
          <w:tcPr>
            <w:tcW w:w="709" w:type="dxa"/>
            <w:vAlign w:val="center"/>
          </w:tcPr>
          <w:p w14:paraId="1604905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823313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924581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253170F"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8A86B98"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0349B8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D4081A9"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EBAF985"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6036E4E"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CABA471" w14:textId="77777777" w:rsidR="007B0AB7" w:rsidRDefault="007B0AB7" w:rsidP="007D412A">
            <w:pPr>
              <w:pStyle w:val="TableParagraph"/>
              <w:spacing w:line="230" w:lineRule="exact"/>
              <w:ind w:left="110" w:right="699"/>
              <w:jc w:val="center"/>
              <w:rPr>
                <w:spacing w:val="-2"/>
              </w:rPr>
            </w:pPr>
          </w:p>
        </w:tc>
        <w:tc>
          <w:tcPr>
            <w:tcW w:w="850" w:type="dxa"/>
            <w:vAlign w:val="center"/>
          </w:tcPr>
          <w:p w14:paraId="4FD0516D" w14:textId="77777777" w:rsidR="007B0AB7" w:rsidRDefault="007B0AB7" w:rsidP="007D412A">
            <w:pPr>
              <w:pStyle w:val="TableParagraph"/>
              <w:spacing w:line="230" w:lineRule="exact"/>
              <w:ind w:left="110" w:right="699"/>
              <w:jc w:val="center"/>
              <w:rPr>
                <w:spacing w:val="-2"/>
              </w:rPr>
            </w:pPr>
          </w:p>
        </w:tc>
        <w:tc>
          <w:tcPr>
            <w:tcW w:w="851" w:type="dxa"/>
            <w:vAlign w:val="center"/>
          </w:tcPr>
          <w:p w14:paraId="05D09C4A" w14:textId="77777777" w:rsidR="007B0AB7" w:rsidRDefault="007B0AB7" w:rsidP="007D412A">
            <w:pPr>
              <w:pStyle w:val="TableParagraph"/>
              <w:spacing w:line="230" w:lineRule="exact"/>
              <w:ind w:left="110" w:right="699"/>
              <w:jc w:val="center"/>
              <w:rPr>
                <w:spacing w:val="-2"/>
              </w:rPr>
            </w:pPr>
          </w:p>
        </w:tc>
      </w:tr>
      <w:tr w:rsidR="007B0AB7" w14:paraId="2E522AC0" w14:textId="77777777" w:rsidTr="007D412A">
        <w:trPr>
          <w:trHeight w:val="553"/>
        </w:trPr>
        <w:tc>
          <w:tcPr>
            <w:tcW w:w="1701" w:type="dxa"/>
            <w:vAlign w:val="center"/>
          </w:tcPr>
          <w:p w14:paraId="75213D07" w14:textId="77777777" w:rsidR="007B0AB7" w:rsidRDefault="007B0AB7" w:rsidP="007D412A">
            <w:pPr>
              <w:pStyle w:val="TableParagraph"/>
              <w:spacing w:line="230" w:lineRule="exact"/>
              <w:ind w:left="110" w:right="172"/>
              <w:rPr>
                <w:spacing w:val="-2"/>
              </w:rPr>
            </w:pPr>
            <w:r>
              <w:rPr>
                <w:spacing w:val="-2"/>
              </w:rPr>
              <w:t>Unfamiliarity</w:t>
            </w:r>
          </w:p>
        </w:tc>
        <w:tc>
          <w:tcPr>
            <w:tcW w:w="709" w:type="dxa"/>
            <w:vAlign w:val="center"/>
          </w:tcPr>
          <w:p w14:paraId="172F2963" w14:textId="77777777" w:rsidR="007B0AB7" w:rsidRDefault="007B0AB7" w:rsidP="007D412A">
            <w:pPr>
              <w:pStyle w:val="TableParagraph"/>
              <w:spacing w:line="230" w:lineRule="exact"/>
              <w:ind w:left="110" w:right="699"/>
              <w:jc w:val="center"/>
              <w:rPr>
                <w:spacing w:val="-2"/>
              </w:rPr>
            </w:pPr>
          </w:p>
        </w:tc>
        <w:tc>
          <w:tcPr>
            <w:tcW w:w="709" w:type="dxa"/>
            <w:vAlign w:val="center"/>
          </w:tcPr>
          <w:p w14:paraId="0753676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25B282E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C53CEE0" w14:textId="77777777" w:rsidR="007B0AB7" w:rsidRDefault="007B0AB7" w:rsidP="007D412A">
            <w:pPr>
              <w:pStyle w:val="TableParagraph"/>
              <w:spacing w:line="230" w:lineRule="exact"/>
              <w:ind w:left="110" w:right="699"/>
              <w:jc w:val="center"/>
              <w:rPr>
                <w:spacing w:val="-2"/>
              </w:rPr>
            </w:pPr>
          </w:p>
        </w:tc>
        <w:tc>
          <w:tcPr>
            <w:tcW w:w="709" w:type="dxa"/>
            <w:vAlign w:val="center"/>
          </w:tcPr>
          <w:p w14:paraId="463438BF" w14:textId="77777777" w:rsidR="007B0AB7" w:rsidRDefault="007B0AB7" w:rsidP="007D412A">
            <w:pPr>
              <w:pStyle w:val="TableParagraph"/>
              <w:spacing w:line="230" w:lineRule="exact"/>
              <w:ind w:left="110" w:right="699"/>
              <w:jc w:val="center"/>
              <w:rPr>
                <w:spacing w:val="-2"/>
              </w:rPr>
            </w:pPr>
          </w:p>
        </w:tc>
        <w:tc>
          <w:tcPr>
            <w:tcW w:w="709" w:type="dxa"/>
            <w:vAlign w:val="center"/>
          </w:tcPr>
          <w:p w14:paraId="5C71DB44"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6F59E6A" w14:textId="77777777" w:rsidR="007B0AB7" w:rsidRDefault="007B0AB7" w:rsidP="007D412A">
            <w:pPr>
              <w:pStyle w:val="TableParagraph"/>
              <w:spacing w:line="230" w:lineRule="exact"/>
              <w:ind w:left="110" w:right="699"/>
              <w:jc w:val="center"/>
              <w:rPr>
                <w:spacing w:val="-2"/>
              </w:rPr>
            </w:pPr>
          </w:p>
        </w:tc>
        <w:tc>
          <w:tcPr>
            <w:tcW w:w="709" w:type="dxa"/>
            <w:vAlign w:val="center"/>
          </w:tcPr>
          <w:p w14:paraId="67CB12C2" w14:textId="77777777" w:rsidR="007B0AB7" w:rsidRDefault="007B0AB7" w:rsidP="007D412A">
            <w:pPr>
              <w:pStyle w:val="TableParagraph"/>
              <w:spacing w:line="230" w:lineRule="exact"/>
              <w:ind w:left="110" w:right="699"/>
              <w:jc w:val="center"/>
              <w:rPr>
                <w:spacing w:val="-2"/>
              </w:rPr>
            </w:pPr>
          </w:p>
        </w:tc>
        <w:tc>
          <w:tcPr>
            <w:tcW w:w="709" w:type="dxa"/>
            <w:vAlign w:val="center"/>
          </w:tcPr>
          <w:p w14:paraId="749B9CE7" w14:textId="77777777" w:rsidR="007B0AB7" w:rsidRDefault="007B0AB7" w:rsidP="007D412A">
            <w:pPr>
              <w:pStyle w:val="TableParagraph"/>
              <w:spacing w:line="230" w:lineRule="exact"/>
              <w:ind w:left="110" w:right="699"/>
              <w:jc w:val="center"/>
              <w:rPr>
                <w:spacing w:val="-2"/>
              </w:rPr>
            </w:pPr>
          </w:p>
        </w:tc>
        <w:tc>
          <w:tcPr>
            <w:tcW w:w="709" w:type="dxa"/>
            <w:vAlign w:val="center"/>
          </w:tcPr>
          <w:p w14:paraId="10DF307F" w14:textId="77777777" w:rsidR="007B0AB7" w:rsidRDefault="007B0AB7" w:rsidP="007D412A">
            <w:pPr>
              <w:pStyle w:val="TableParagraph"/>
              <w:spacing w:line="230" w:lineRule="exact"/>
              <w:ind w:left="110" w:right="699"/>
              <w:jc w:val="center"/>
              <w:rPr>
                <w:spacing w:val="-2"/>
              </w:rPr>
            </w:pPr>
          </w:p>
        </w:tc>
        <w:tc>
          <w:tcPr>
            <w:tcW w:w="850" w:type="dxa"/>
            <w:vAlign w:val="center"/>
          </w:tcPr>
          <w:p w14:paraId="5D54453D" w14:textId="77777777" w:rsidR="007B0AB7" w:rsidRDefault="007B0AB7" w:rsidP="007D412A">
            <w:pPr>
              <w:pStyle w:val="TableParagraph"/>
              <w:spacing w:line="230" w:lineRule="exact"/>
              <w:ind w:left="110" w:right="699"/>
              <w:jc w:val="center"/>
              <w:rPr>
                <w:spacing w:val="-2"/>
              </w:rPr>
            </w:pPr>
          </w:p>
        </w:tc>
        <w:tc>
          <w:tcPr>
            <w:tcW w:w="851" w:type="dxa"/>
            <w:vAlign w:val="center"/>
          </w:tcPr>
          <w:p w14:paraId="04F10B7B" w14:textId="77777777" w:rsidR="007B0AB7" w:rsidRDefault="007B0AB7" w:rsidP="007D412A">
            <w:pPr>
              <w:pStyle w:val="TableParagraph"/>
              <w:spacing w:line="230" w:lineRule="exact"/>
              <w:ind w:left="110" w:right="699"/>
              <w:jc w:val="center"/>
              <w:rPr>
                <w:spacing w:val="-2"/>
              </w:rPr>
            </w:pPr>
          </w:p>
        </w:tc>
      </w:tr>
    </w:tbl>
    <w:p w14:paraId="213EE304" w14:textId="77777777" w:rsidR="007B0AB7" w:rsidRDefault="007B0AB7" w:rsidP="007B0AB7">
      <w:pPr>
        <w:pStyle w:val="BodyText"/>
        <w:spacing w:line="480" w:lineRule="auto"/>
        <w:ind w:right="4"/>
        <w:jc w:val="center"/>
        <w:rPr>
          <w:b/>
          <w:bCs/>
        </w:rPr>
      </w:pPr>
    </w:p>
    <w:p w14:paraId="0497CD13" w14:textId="77777777" w:rsidR="007B0AB7" w:rsidRDefault="007B0AB7" w:rsidP="007B0AB7">
      <w:pPr>
        <w:pStyle w:val="BodyText"/>
        <w:spacing w:line="480" w:lineRule="auto"/>
        <w:ind w:right="4"/>
        <w:jc w:val="center"/>
        <w:rPr>
          <w:b/>
          <w:bCs/>
        </w:rPr>
      </w:pPr>
      <w:r>
        <w:rPr>
          <w:b/>
          <w:bCs/>
          <w:noProof/>
          <w14:ligatures w14:val="standardContextual"/>
        </w:rPr>
        <w:drawing>
          <wp:inline distT="0" distB="0" distL="0" distR="0" wp14:anchorId="5073DF7A" wp14:editId="08512277">
            <wp:extent cx="4383485" cy="2652889"/>
            <wp:effectExtent l="0" t="0" r="0" b="1905"/>
            <wp:docPr id="771296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96684" name="Picture 771296684"/>
                    <pic:cNvPicPr/>
                  </pic:nvPicPr>
                  <pic:blipFill>
                    <a:blip r:embed="rId16">
                      <a:extLst>
                        <a:ext uri="{28A0092B-C50C-407E-A947-70E740481C1C}">
                          <a14:useLocalDpi xmlns:a14="http://schemas.microsoft.com/office/drawing/2010/main" val="0"/>
                        </a:ext>
                      </a:extLst>
                    </a:blip>
                    <a:stretch>
                      <a:fillRect/>
                    </a:stretch>
                  </pic:blipFill>
                  <pic:spPr>
                    <a:xfrm>
                      <a:off x="0" y="0"/>
                      <a:ext cx="4403550" cy="2665032"/>
                    </a:xfrm>
                    <a:prstGeom prst="rect">
                      <a:avLst/>
                    </a:prstGeom>
                  </pic:spPr>
                </pic:pic>
              </a:graphicData>
            </a:graphic>
          </wp:inline>
        </w:drawing>
      </w:r>
    </w:p>
    <w:p w14:paraId="4EA3035B" w14:textId="77777777" w:rsidR="007B0AB7" w:rsidRDefault="007B0AB7" w:rsidP="007B0AB7">
      <w:pPr>
        <w:pStyle w:val="BodyText"/>
        <w:spacing w:line="480" w:lineRule="auto"/>
        <w:ind w:right="4"/>
        <w:jc w:val="center"/>
        <w:rPr>
          <w:b/>
          <w:bCs/>
        </w:rPr>
      </w:pPr>
      <w:r>
        <w:rPr>
          <w:b/>
          <w:bCs/>
        </w:rPr>
        <w:t>Figure 2. Sample Kaplan-Meier curve</w:t>
      </w:r>
    </w:p>
    <w:p w14:paraId="5EC48F66" w14:textId="77777777" w:rsidR="007B0AB7" w:rsidRDefault="007B0AB7" w:rsidP="007B0AB7">
      <w:pPr>
        <w:pStyle w:val="BodyText"/>
        <w:spacing w:line="480" w:lineRule="auto"/>
        <w:ind w:right="4"/>
        <w:jc w:val="both"/>
        <w:rPr>
          <w:b/>
          <w:bCs/>
          <w:color w:val="0D0D0D"/>
          <w:spacing w:val="-2"/>
        </w:rPr>
      </w:pPr>
    </w:p>
    <w:p w14:paraId="35BE37FD" w14:textId="77777777" w:rsidR="007B0AB7" w:rsidRDefault="007B0AB7" w:rsidP="007B0AB7">
      <w:pPr>
        <w:pStyle w:val="BodyText"/>
        <w:spacing w:line="480" w:lineRule="auto"/>
        <w:ind w:right="4"/>
        <w:jc w:val="both"/>
        <w:rPr>
          <w:b/>
          <w:bCs/>
          <w:color w:val="0D0D0D"/>
          <w:spacing w:val="-2"/>
        </w:rPr>
      </w:pPr>
    </w:p>
    <w:p w14:paraId="47951BF3" w14:textId="77777777" w:rsidR="007A423D" w:rsidRDefault="007A423D" w:rsidP="007B0AB7">
      <w:pPr>
        <w:pStyle w:val="BodyText"/>
        <w:spacing w:line="480" w:lineRule="auto"/>
        <w:ind w:right="4"/>
        <w:jc w:val="both"/>
        <w:rPr>
          <w:b/>
          <w:bCs/>
          <w:color w:val="0D0D0D"/>
          <w:spacing w:val="-2"/>
        </w:rPr>
      </w:pPr>
    </w:p>
    <w:p w14:paraId="3B076C73" w14:textId="77777777" w:rsidR="007A423D" w:rsidRDefault="007A423D" w:rsidP="007B0AB7">
      <w:pPr>
        <w:pStyle w:val="BodyText"/>
        <w:spacing w:line="480" w:lineRule="auto"/>
        <w:ind w:right="4"/>
        <w:jc w:val="both"/>
        <w:rPr>
          <w:b/>
          <w:bCs/>
          <w:color w:val="0D0D0D"/>
          <w:spacing w:val="-2"/>
        </w:rPr>
      </w:pPr>
    </w:p>
    <w:p w14:paraId="2766460F" w14:textId="77777777" w:rsidR="00BA726C" w:rsidRDefault="00BA726C" w:rsidP="007B0AB7">
      <w:pPr>
        <w:pStyle w:val="BodyText"/>
        <w:spacing w:line="480" w:lineRule="auto"/>
        <w:ind w:right="4"/>
        <w:jc w:val="both"/>
        <w:rPr>
          <w:b/>
          <w:bCs/>
          <w:color w:val="0D0D0D"/>
          <w:spacing w:val="-2"/>
        </w:rPr>
      </w:pPr>
    </w:p>
    <w:p w14:paraId="5D76A905" w14:textId="77777777" w:rsidR="007B0AB7" w:rsidRDefault="007B0AB7" w:rsidP="007B0AB7">
      <w:pPr>
        <w:pStyle w:val="BodyText"/>
        <w:spacing w:line="480" w:lineRule="auto"/>
        <w:ind w:right="4"/>
        <w:jc w:val="center"/>
        <w:rPr>
          <w:b/>
          <w:bCs/>
          <w:color w:val="0D0D0D"/>
          <w:spacing w:val="-2"/>
        </w:rPr>
      </w:pPr>
      <w:r>
        <w:rPr>
          <w:b/>
          <w:bCs/>
          <w:color w:val="0D0D0D"/>
          <w:spacing w:val="-2"/>
        </w:rPr>
        <w:t>Data Collection Sheet</w:t>
      </w:r>
    </w:p>
    <w:p w14:paraId="2C3F02EE" w14:textId="340E6377" w:rsidR="007B0AB7" w:rsidRPr="00250977" w:rsidRDefault="007B0AB7" w:rsidP="007B0AB7">
      <w:pPr>
        <w:pStyle w:val="BodyText"/>
        <w:ind w:right="6"/>
        <w:jc w:val="both"/>
        <w:rPr>
          <w:color w:val="0D0D0D"/>
          <w:spacing w:val="-2"/>
        </w:rPr>
      </w:pPr>
      <w:r w:rsidRPr="00250977">
        <w:rPr>
          <w:color w:val="0D0D0D"/>
          <w:spacing w:val="-2"/>
        </w:rPr>
        <w:lastRenderedPageBreak/>
        <w:t xml:space="preserve">Patient Code: TDT-AML </w:t>
      </w:r>
      <w:r w:rsidR="007A423D" w:rsidRPr="00250977">
        <w:rPr>
          <w:color w:val="0D0D0D"/>
          <w:spacing w:val="-2"/>
        </w:rPr>
        <w:t>________________________</w:t>
      </w:r>
    </w:p>
    <w:p w14:paraId="08601D56" w14:textId="77777777" w:rsidR="007B0AB7" w:rsidRPr="00250977" w:rsidRDefault="007B0AB7" w:rsidP="007B0AB7">
      <w:pPr>
        <w:pStyle w:val="BodyText"/>
        <w:ind w:right="6"/>
        <w:jc w:val="both"/>
        <w:rPr>
          <w:color w:val="0D0D0D"/>
          <w:spacing w:val="-2"/>
        </w:rPr>
      </w:pPr>
    </w:p>
    <w:p w14:paraId="6A521A8C" w14:textId="24CAD1D2" w:rsidR="007B0AB7" w:rsidRPr="00250977" w:rsidRDefault="007B0AB7" w:rsidP="007B0AB7">
      <w:pPr>
        <w:pStyle w:val="BodyText"/>
        <w:ind w:right="6"/>
        <w:jc w:val="both"/>
        <w:rPr>
          <w:color w:val="0D0D0D"/>
          <w:spacing w:val="-2"/>
        </w:rPr>
      </w:pPr>
      <w:r w:rsidRPr="00250977">
        <w:rPr>
          <w:color w:val="0D0D0D"/>
          <w:spacing w:val="-2"/>
        </w:rPr>
        <w:t>Age upon diagnosis (years) ______</w:t>
      </w:r>
      <w:r w:rsidR="007A423D" w:rsidRPr="00250977">
        <w:rPr>
          <w:color w:val="0D0D0D"/>
          <w:spacing w:val="-2"/>
        </w:rPr>
        <w:t>________________</w:t>
      </w:r>
      <w:r w:rsidR="007A423D">
        <w:rPr>
          <w:color w:val="0D0D0D"/>
          <w:spacing w:val="-2"/>
        </w:rPr>
        <w:t>_</w:t>
      </w:r>
    </w:p>
    <w:p w14:paraId="6AD15070" w14:textId="73570175" w:rsidR="007B0AB7" w:rsidRPr="00250977" w:rsidRDefault="007B0AB7" w:rsidP="007B0AB7">
      <w:pPr>
        <w:pStyle w:val="BodyText"/>
        <w:ind w:right="6"/>
        <w:jc w:val="both"/>
        <w:rPr>
          <w:color w:val="0D0D0D"/>
          <w:spacing w:val="-2"/>
        </w:rPr>
      </w:pPr>
      <w:r w:rsidRPr="00250977">
        <w:rPr>
          <w:color w:val="0D0D0D"/>
          <w:spacing w:val="-2"/>
        </w:rPr>
        <w:t xml:space="preserve">Sex </w:t>
      </w:r>
      <w:r w:rsidR="007A423D">
        <w:rPr>
          <w:color w:val="0D0D0D"/>
          <w:spacing w:val="-2"/>
        </w:rPr>
        <w:tab/>
      </w:r>
      <w:r w:rsidR="007A423D">
        <w:rPr>
          <w:color w:val="0D0D0D"/>
          <w:spacing w:val="-2"/>
        </w:rPr>
        <w:tab/>
      </w:r>
      <w:r w:rsidRPr="00250977">
        <w:rPr>
          <w:color w:val="0D0D0D"/>
          <w:spacing w:val="-2"/>
        </w:rPr>
        <w:t> Male</w:t>
      </w:r>
      <w:r w:rsidRPr="00250977">
        <w:rPr>
          <w:color w:val="0D0D0D"/>
          <w:spacing w:val="-2"/>
        </w:rPr>
        <w:tab/>
        <w:t> Female</w:t>
      </w:r>
    </w:p>
    <w:p w14:paraId="7B07C1E2" w14:textId="232933B5" w:rsidR="007B0AB7" w:rsidRPr="00250977" w:rsidRDefault="007B0AB7" w:rsidP="007B0AB7">
      <w:pPr>
        <w:pStyle w:val="BodyText"/>
        <w:ind w:right="6"/>
        <w:jc w:val="both"/>
        <w:rPr>
          <w:color w:val="0D0D0D"/>
          <w:spacing w:val="-2"/>
        </w:rPr>
      </w:pPr>
      <w:r w:rsidRPr="00250977">
        <w:rPr>
          <w:color w:val="0D0D0D"/>
          <w:spacing w:val="-2"/>
        </w:rPr>
        <w:t xml:space="preserve">ECOG status </w:t>
      </w:r>
      <w:r w:rsidR="007A423D">
        <w:rPr>
          <w:color w:val="0D0D0D"/>
          <w:spacing w:val="-2"/>
        </w:rPr>
        <w:tab/>
      </w:r>
      <w:r w:rsidRPr="00250977">
        <w:rPr>
          <w:color w:val="0D0D0D"/>
          <w:spacing w:val="-2"/>
        </w:rPr>
        <w:t> 1</w:t>
      </w:r>
      <w:r w:rsidRPr="00250977">
        <w:rPr>
          <w:color w:val="0D0D0D"/>
          <w:spacing w:val="-2"/>
        </w:rPr>
        <w:tab/>
      </w:r>
      <w:r w:rsidR="007A423D">
        <w:rPr>
          <w:color w:val="0D0D0D"/>
          <w:spacing w:val="-2"/>
        </w:rPr>
        <w:tab/>
      </w:r>
      <w:r w:rsidRPr="00250977">
        <w:rPr>
          <w:color w:val="0D0D0D"/>
          <w:spacing w:val="-2"/>
        </w:rPr>
        <w:t> 2</w:t>
      </w:r>
      <w:r w:rsidRPr="00250977">
        <w:rPr>
          <w:color w:val="0D0D0D"/>
          <w:spacing w:val="-2"/>
        </w:rPr>
        <w:tab/>
      </w:r>
      <w:r w:rsidR="007A423D">
        <w:rPr>
          <w:color w:val="0D0D0D"/>
          <w:spacing w:val="-2"/>
        </w:rPr>
        <w:tab/>
      </w:r>
      <w:r w:rsidRPr="00250977">
        <w:rPr>
          <w:color w:val="0D0D0D"/>
          <w:spacing w:val="-2"/>
        </w:rPr>
        <w:t> 3</w:t>
      </w:r>
      <w:r w:rsidRPr="00250977">
        <w:rPr>
          <w:color w:val="0D0D0D"/>
          <w:spacing w:val="-2"/>
        </w:rPr>
        <w:tab/>
      </w:r>
      <w:r w:rsidR="007A423D">
        <w:rPr>
          <w:color w:val="0D0D0D"/>
          <w:spacing w:val="-2"/>
        </w:rPr>
        <w:tab/>
      </w:r>
      <w:r w:rsidRPr="00250977">
        <w:rPr>
          <w:color w:val="0D0D0D"/>
          <w:spacing w:val="-2"/>
        </w:rPr>
        <w:t> 4</w:t>
      </w:r>
      <w:r w:rsidRPr="00250977">
        <w:rPr>
          <w:color w:val="0D0D0D"/>
          <w:spacing w:val="-2"/>
        </w:rPr>
        <w:tab/>
      </w:r>
      <w:r w:rsidR="007A423D">
        <w:rPr>
          <w:color w:val="0D0D0D"/>
          <w:spacing w:val="-2"/>
        </w:rPr>
        <w:tab/>
      </w:r>
      <w:r w:rsidRPr="00250977">
        <w:rPr>
          <w:color w:val="0D0D0D"/>
          <w:spacing w:val="-2"/>
        </w:rPr>
        <w:t> 5</w:t>
      </w:r>
    </w:p>
    <w:p w14:paraId="73A5FC33" w14:textId="77719D7D" w:rsidR="007B0AB7" w:rsidRPr="00250977" w:rsidRDefault="007B0AB7" w:rsidP="007B0AB7">
      <w:pPr>
        <w:pStyle w:val="BodyText"/>
        <w:ind w:right="6"/>
        <w:jc w:val="both"/>
        <w:rPr>
          <w:color w:val="0D0D0D"/>
          <w:spacing w:val="-2"/>
        </w:rPr>
      </w:pPr>
      <w:r w:rsidRPr="00250977">
        <w:rPr>
          <w:color w:val="0D0D0D"/>
          <w:spacing w:val="-2"/>
        </w:rPr>
        <w:t xml:space="preserve">HCT-CI score </w:t>
      </w:r>
      <w:r w:rsidR="007A423D">
        <w:rPr>
          <w:color w:val="0D0D0D"/>
          <w:spacing w:val="-2"/>
        </w:rPr>
        <w:tab/>
      </w:r>
      <w:r w:rsidRPr="00250977">
        <w:rPr>
          <w:color w:val="0D0D0D"/>
          <w:spacing w:val="-2"/>
        </w:rPr>
        <w:t xml:space="preserve"> 0-2 </w:t>
      </w:r>
      <w:r w:rsidRPr="00250977">
        <w:rPr>
          <w:color w:val="0D0D0D"/>
          <w:spacing w:val="-2"/>
        </w:rPr>
        <w:tab/>
      </w:r>
      <w:r w:rsidR="007A423D">
        <w:rPr>
          <w:color w:val="0D0D0D"/>
          <w:spacing w:val="-2"/>
        </w:rPr>
        <w:tab/>
      </w:r>
      <w:r w:rsidRPr="00250977">
        <w:rPr>
          <w:color w:val="0D0D0D"/>
          <w:spacing w:val="-2"/>
        </w:rPr>
        <w:t> &gt;2</w:t>
      </w:r>
    </w:p>
    <w:p w14:paraId="553A0F4C" w14:textId="77777777" w:rsidR="007A423D" w:rsidRDefault="007B0AB7" w:rsidP="007B0AB7">
      <w:pPr>
        <w:pStyle w:val="BodyText"/>
        <w:ind w:right="6"/>
        <w:jc w:val="both"/>
        <w:rPr>
          <w:color w:val="0D0D0D"/>
          <w:spacing w:val="-2"/>
        </w:rPr>
      </w:pPr>
      <w:r w:rsidRPr="00250977">
        <w:rPr>
          <w:color w:val="0D0D0D"/>
          <w:spacing w:val="-2"/>
        </w:rPr>
        <w:t xml:space="preserve">ENL risk 2022 group </w:t>
      </w:r>
      <w:r w:rsidR="007A423D">
        <w:rPr>
          <w:color w:val="0D0D0D"/>
          <w:spacing w:val="-2"/>
        </w:rPr>
        <w:tab/>
      </w:r>
      <w:r w:rsidR="007A423D">
        <w:rPr>
          <w:color w:val="0D0D0D"/>
          <w:spacing w:val="-2"/>
        </w:rPr>
        <w:tab/>
      </w:r>
    </w:p>
    <w:p w14:paraId="41C92F88" w14:textId="28EADD57" w:rsidR="007B0AB7" w:rsidRPr="00250977" w:rsidRDefault="007B0AB7" w:rsidP="007A423D">
      <w:pPr>
        <w:pStyle w:val="BodyText"/>
        <w:ind w:left="720" w:right="6" w:firstLine="720"/>
        <w:jc w:val="both"/>
        <w:rPr>
          <w:color w:val="0D0D0D"/>
          <w:spacing w:val="-2"/>
        </w:rPr>
      </w:pPr>
      <w:r w:rsidRPr="00250977">
        <w:rPr>
          <w:color w:val="0D0D0D"/>
          <w:spacing w:val="-2"/>
        </w:rPr>
        <w:t> favorable      intermediate</w:t>
      </w:r>
      <w:r w:rsidRPr="00250977">
        <w:rPr>
          <w:color w:val="0D0D0D"/>
          <w:spacing w:val="-2"/>
        </w:rPr>
        <w:tab/>
        <w:t> adverse</w:t>
      </w:r>
    </w:p>
    <w:p w14:paraId="5E3149C0" w14:textId="0C1F541F" w:rsidR="007B0AB7" w:rsidRPr="00250977" w:rsidRDefault="007B0AB7" w:rsidP="007B0AB7">
      <w:pPr>
        <w:pStyle w:val="BodyText"/>
        <w:ind w:right="6"/>
        <w:jc w:val="both"/>
        <w:rPr>
          <w:color w:val="0D0D0D"/>
          <w:spacing w:val="-2"/>
        </w:rPr>
      </w:pPr>
      <w:r w:rsidRPr="00250977">
        <w:rPr>
          <w:color w:val="0D0D0D"/>
          <w:spacing w:val="-2"/>
        </w:rPr>
        <w:t xml:space="preserve">AML type </w:t>
      </w:r>
      <w:r w:rsidR="007A423D">
        <w:rPr>
          <w:color w:val="0D0D0D"/>
          <w:spacing w:val="-2"/>
        </w:rPr>
        <w:tab/>
      </w:r>
      <w:r w:rsidRPr="00250977">
        <w:rPr>
          <w:color w:val="0D0D0D"/>
          <w:spacing w:val="-2"/>
        </w:rPr>
        <w:t> de novo</w:t>
      </w:r>
      <w:r w:rsidRPr="00250977">
        <w:rPr>
          <w:color w:val="0D0D0D"/>
          <w:spacing w:val="-2"/>
        </w:rPr>
        <w:tab/>
        <w:t xml:space="preserve"> </w:t>
      </w:r>
      <w:proofErr w:type="spellStart"/>
      <w:r w:rsidRPr="00250977">
        <w:rPr>
          <w:color w:val="0D0D0D"/>
          <w:spacing w:val="-2"/>
        </w:rPr>
        <w:t>sAML</w:t>
      </w:r>
      <w:proofErr w:type="spellEnd"/>
      <w:r w:rsidRPr="00250977">
        <w:rPr>
          <w:color w:val="0D0D0D"/>
          <w:spacing w:val="-2"/>
        </w:rPr>
        <w:tab/>
        <w:t xml:space="preserve"> </w:t>
      </w:r>
      <w:proofErr w:type="spellStart"/>
      <w:r w:rsidRPr="00250977">
        <w:rPr>
          <w:color w:val="0D0D0D"/>
          <w:spacing w:val="-2"/>
        </w:rPr>
        <w:t>tAML</w:t>
      </w:r>
      <w:proofErr w:type="spellEnd"/>
    </w:p>
    <w:p w14:paraId="1BE43C66" w14:textId="77777777" w:rsidR="007A423D" w:rsidRDefault="007B0AB7" w:rsidP="007B0AB7">
      <w:pPr>
        <w:pStyle w:val="BodyText"/>
        <w:ind w:right="6"/>
        <w:jc w:val="both"/>
        <w:rPr>
          <w:color w:val="0D0D0D"/>
          <w:spacing w:val="-2"/>
        </w:rPr>
      </w:pPr>
      <w:r w:rsidRPr="00250977">
        <w:rPr>
          <w:color w:val="0D0D0D"/>
          <w:spacing w:val="-2"/>
        </w:rPr>
        <w:t xml:space="preserve">Use of Cytoreductive Agent pretreatment </w:t>
      </w:r>
    </w:p>
    <w:p w14:paraId="23E72052" w14:textId="73945094" w:rsidR="007B0AB7" w:rsidRPr="00250977" w:rsidRDefault="007B0AB7" w:rsidP="007A423D">
      <w:pPr>
        <w:pStyle w:val="BodyText"/>
        <w:ind w:left="720" w:right="6" w:firstLine="720"/>
        <w:jc w:val="both"/>
        <w:rPr>
          <w:color w:val="0D0D0D"/>
          <w:spacing w:val="-2"/>
        </w:rPr>
      </w:pPr>
      <w:r w:rsidRPr="00250977">
        <w:rPr>
          <w:color w:val="0D0D0D"/>
          <w:spacing w:val="-2"/>
        </w:rPr>
        <w:t xml:space="preserve"> Hydroxyurea </w:t>
      </w:r>
      <w:r w:rsidRPr="00250977">
        <w:rPr>
          <w:color w:val="0D0D0D"/>
          <w:spacing w:val="-2"/>
        </w:rPr>
        <w:tab/>
        <w:t> Cytarabine</w:t>
      </w:r>
    </w:p>
    <w:p w14:paraId="74CFADE5" w14:textId="77777777" w:rsidR="007B0AB7" w:rsidRPr="00250977" w:rsidRDefault="007B0AB7" w:rsidP="007B0AB7">
      <w:pPr>
        <w:pStyle w:val="BodyText"/>
        <w:ind w:right="6"/>
        <w:jc w:val="both"/>
        <w:rPr>
          <w:color w:val="0D0D0D"/>
          <w:spacing w:val="-2"/>
        </w:rPr>
      </w:pPr>
    </w:p>
    <w:p w14:paraId="5E4F2EAA" w14:textId="065BDAE2" w:rsidR="007B0AB7" w:rsidRPr="00250977" w:rsidRDefault="007B0AB7" w:rsidP="007B0AB7">
      <w:pPr>
        <w:pStyle w:val="BodyText"/>
        <w:ind w:right="6"/>
        <w:jc w:val="both"/>
        <w:rPr>
          <w:color w:val="0D0D0D"/>
          <w:spacing w:val="-2"/>
        </w:rPr>
      </w:pPr>
      <w:r w:rsidRPr="00250977">
        <w:rPr>
          <w:color w:val="0D0D0D"/>
          <w:spacing w:val="-2"/>
        </w:rPr>
        <w:t xml:space="preserve">Date of diagnosis </w:t>
      </w:r>
      <w:r w:rsidR="007A423D" w:rsidRPr="00250977">
        <w:rPr>
          <w:color w:val="0D0D0D"/>
          <w:spacing w:val="-2"/>
        </w:rPr>
        <w:t>_______________________________</w:t>
      </w:r>
    </w:p>
    <w:p w14:paraId="1EBE0EFE" w14:textId="689F8E97" w:rsidR="007B0AB7" w:rsidRPr="00250977" w:rsidRDefault="007B0AB7" w:rsidP="007B0AB7">
      <w:pPr>
        <w:pStyle w:val="BodyText"/>
        <w:ind w:right="6"/>
        <w:jc w:val="both"/>
        <w:rPr>
          <w:color w:val="0D0D0D"/>
          <w:spacing w:val="-2"/>
        </w:rPr>
      </w:pPr>
      <w:r w:rsidRPr="00250977">
        <w:rPr>
          <w:color w:val="0D0D0D"/>
          <w:spacing w:val="-2"/>
        </w:rPr>
        <w:t>Day 1 of chemotherapy ____________</w:t>
      </w:r>
      <w:r w:rsidR="007A423D" w:rsidRPr="00250977">
        <w:rPr>
          <w:color w:val="0D0D0D"/>
          <w:spacing w:val="-2"/>
        </w:rPr>
        <w:t>______</w:t>
      </w:r>
      <w:r w:rsidR="007A423D">
        <w:rPr>
          <w:color w:val="0D0D0D"/>
          <w:spacing w:val="-2"/>
        </w:rPr>
        <w:t>_</w:t>
      </w:r>
      <w:r w:rsidR="007A423D" w:rsidRPr="00250977">
        <w:rPr>
          <w:color w:val="0D0D0D"/>
          <w:spacing w:val="-2"/>
        </w:rPr>
        <w:t>_______</w:t>
      </w:r>
    </w:p>
    <w:p w14:paraId="7C51FAF0" w14:textId="41CB8E8D" w:rsidR="007B0AB7" w:rsidRPr="00250977" w:rsidRDefault="007B0AB7" w:rsidP="007B0AB7">
      <w:pPr>
        <w:pStyle w:val="BodyText"/>
        <w:ind w:right="6"/>
        <w:jc w:val="both"/>
        <w:rPr>
          <w:color w:val="0D0D0D"/>
          <w:spacing w:val="-2"/>
        </w:rPr>
      </w:pPr>
      <w:r w:rsidRPr="00250977">
        <w:rPr>
          <w:color w:val="0D0D0D"/>
          <w:spacing w:val="-2"/>
        </w:rPr>
        <w:t>TDT ____________</w:t>
      </w:r>
      <w:r w:rsidR="007A423D" w:rsidRPr="00250977">
        <w:rPr>
          <w:color w:val="0D0D0D"/>
          <w:spacing w:val="-2"/>
        </w:rPr>
        <w:t>_____________________________</w:t>
      </w:r>
    </w:p>
    <w:p w14:paraId="7014D321" w14:textId="77777777" w:rsidR="007B0AB7" w:rsidRPr="00250977" w:rsidRDefault="007B0AB7" w:rsidP="007B0AB7">
      <w:pPr>
        <w:pStyle w:val="BodyText"/>
        <w:ind w:right="6"/>
        <w:jc w:val="both"/>
        <w:rPr>
          <w:color w:val="0D0D0D"/>
          <w:spacing w:val="-2"/>
        </w:rPr>
      </w:pPr>
    </w:p>
    <w:p w14:paraId="69F48243" w14:textId="1A1078F1" w:rsidR="007B0AB7" w:rsidRPr="00250977" w:rsidRDefault="007B0AB7" w:rsidP="007B0AB7">
      <w:pPr>
        <w:pStyle w:val="BodyText"/>
        <w:ind w:right="6"/>
        <w:jc w:val="both"/>
        <w:rPr>
          <w:color w:val="0D0D0D"/>
          <w:spacing w:val="-2"/>
        </w:rPr>
      </w:pPr>
      <w:r w:rsidRPr="00250977">
        <w:rPr>
          <w:color w:val="0D0D0D"/>
          <w:spacing w:val="-2"/>
        </w:rPr>
        <w:t xml:space="preserve">WBC upon presentation </w:t>
      </w:r>
      <w:r w:rsidR="007A423D" w:rsidRPr="007A423D">
        <w:rPr>
          <w:color w:val="0D0D0D"/>
          <w:spacing w:val="-2"/>
        </w:rPr>
        <w:t>____________</w:t>
      </w:r>
      <w:r w:rsidR="007A423D" w:rsidRPr="00250977">
        <w:rPr>
          <w:color w:val="0D0D0D"/>
          <w:spacing w:val="-2"/>
        </w:rPr>
        <w:t>__</w:t>
      </w:r>
      <w:r w:rsidRPr="00250977">
        <w:rPr>
          <w:color w:val="0D0D0D"/>
          <w:spacing w:val="-2"/>
        </w:rPr>
        <w:t>______ x10</w:t>
      </w:r>
      <w:r w:rsidRPr="00593602">
        <w:rPr>
          <w:color w:val="0D0D0D"/>
          <w:spacing w:val="-2"/>
          <w:vertAlign w:val="superscript"/>
        </w:rPr>
        <w:t>9</w:t>
      </w:r>
      <w:r w:rsidRPr="00250977">
        <w:rPr>
          <w:color w:val="0D0D0D"/>
          <w:spacing w:val="-2"/>
        </w:rPr>
        <w:t>/L</w:t>
      </w:r>
    </w:p>
    <w:p w14:paraId="6436261F" w14:textId="483422E8" w:rsidR="007B0AB7" w:rsidRPr="00250977" w:rsidRDefault="007B0AB7" w:rsidP="007B0AB7">
      <w:pPr>
        <w:pStyle w:val="BodyText"/>
        <w:ind w:right="6"/>
        <w:jc w:val="both"/>
        <w:rPr>
          <w:color w:val="0D0D0D"/>
          <w:spacing w:val="-2"/>
        </w:rPr>
      </w:pPr>
      <w:r w:rsidRPr="00250977">
        <w:rPr>
          <w:color w:val="0D0D0D"/>
          <w:spacing w:val="-2"/>
        </w:rPr>
        <w:t xml:space="preserve">LDH </w:t>
      </w:r>
      <w:r w:rsidR="007A423D">
        <w:rPr>
          <w:color w:val="0D0D0D"/>
          <w:spacing w:val="-2"/>
        </w:rPr>
        <w:t xml:space="preserve"> </w:t>
      </w:r>
      <w:r w:rsidRPr="00250977">
        <w:rPr>
          <w:color w:val="0D0D0D"/>
          <w:spacing w:val="-2"/>
        </w:rPr>
        <w:t>______</w:t>
      </w:r>
      <w:r w:rsidR="007A423D" w:rsidRPr="00250977">
        <w:rPr>
          <w:color w:val="0D0D0D"/>
          <w:spacing w:val="-2"/>
        </w:rPr>
        <w:t>______________________________</w:t>
      </w:r>
      <w:r w:rsidR="007A423D">
        <w:rPr>
          <w:color w:val="0D0D0D"/>
          <w:spacing w:val="-2"/>
        </w:rPr>
        <w:t>_</w:t>
      </w:r>
      <w:r w:rsidRPr="00250977">
        <w:rPr>
          <w:color w:val="0D0D0D"/>
          <w:spacing w:val="-2"/>
        </w:rPr>
        <w:t xml:space="preserve"> U/L</w:t>
      </w:r>
    </w:p>
    <w:p w14:paraId="0C614EAD" w14:textId="269B470A" w:rsidR="007B0AB7" w:rsidRPr="00250977" w:rsidRDefault="007B0AB7" w:rsidP="007B0AB7">
      <w:pPr>
        <w:pStyle w:val="BodyText"/>
        <w:ind w:right="6"/>
        <w:jc w:val="both"/>
        <w:rPr>
          <w:color w:val="0D0D0D"/>
          <w:spacing w:val="-2"/>
        </w:rPr>
      </w:pPr>
      <w:r w:rsidRPr="00250977">
        <w:rPr>
          <w:color w:val="0D0D0D"/>
          <w:spacing w:val="-2"/>
        </w:rPr>
        <w:t xml:space="preserve">Bone Marrow Blast </w:t>
      </w:r>
      <w:r w:rsidR="007A423D" w:rsidRPr="007A423D">
        <w:rPr>
          <w:color w:val="0D0D0D"/>
          <w:spacing w:val="-2"/>
        </w:rPr>
        <w:t>____________</w:t>
      </w:r>
      <w:r w:rsidR="007A423D" w:rsidRPr="00250977">
        <w:rPr>
          <w:color w:val="0D0D0D"/>
          <w:spacing w:val="-2"/>
        </w:rPr>
        <w:t>____</w:t>
      </w:r>
      <w:r w:rsidR="007A423D">
        <w:rPr>
          <w:color w:val="0D0D0D"/>
          <w:spacing w:val="-2"/>
        </w:rPr>
        <w:t>________</w:t>
      </w:r>
      <w:r w:rsidR="007A423D" w:rsidRPr="00250977">
        <w:rPr>
          <w:color w:val="0D0D0D"/>
          <w:spacing w:val="-2"/>
        </w:rPr>
        <w:t>____</w:t>
      </w:r>
      <w:r w:rsidR="007A423D">
        <w:rPr>
          <w:color w:val="0D0D0D"/>
          <w:spacing w:val="-2"/>
        </w:rPr>
        <w:t>%</w:t>
      </w:r>
    </w:p>
    <w:p w14:paraId="0C140D68" w14:textId="2EE73155" w:rsidR="007B0AB7" w:rsidRPr="00250977" w:rsidRDefault="007B0AB7" w:rsidP="007B0AB7">
      <w:pPr>
        <w:pStyle w:val="BodyText"/>
        <w:ind w:right="6"/>
        <w:jc w:val="both"/>
        <w:rPr>
          <w:color w:val="0D0D0D"/>
          <w:spacing w:val="-2"/>
        </w:rPr>
      </w:pPr>
      <w:r w:rsidRPr="00250977">
        <w:rPr>
          <w:color w:val="0D0D0D"/>
          <w:spacing w:val="-2"/>
        </w:rPr>
        <w:t>Karyotype ____________</w:t>
      </w:r>
      <w:r w:rsidR="007A423D">
        <w:rPr>
          <w:color w:val="0D0D0D"/>
          <w:spacing w:val="-2"/>
        </w:rPr>
        <w:t>_________________________</w:t>
      </w:r>
    </w:p>
    <w:p w14:paraId="7852F7FD" w14:textId="77777777" w:rsidR="007B0AB7" w:rsidRPr="00250977" w:rsidRDefault="007B0AB7" w:rsidP="007B0AB7">
      <w:pPr>
        <w:pStyle w:val="BodyText"/>
        <w:ind w:right="6"/>
        <w:jc w:val="both"/>
        <w:rPr>
          <w:color w:val="0D0D0D"/>
          <w:spacing w:val="-2"/>
        </w:rPr>
      </w:pPr>
    </w:p>
    <w:p w14:paraId="2200A15E" w14:textId="37579FD1" w:rsidR="007B0AB7" w:rsidRPr="00250977" w:rsidRDefault="007B0AB7" w:rsidP="007B0AB7">
      <w:pPr>
        <w:pStyle w:val="BodyText"/>
        <w:ind w:right="6"/>
        <w:jc w:val="both"/>
        <w:rPr>
          <w:color w:val="0D0D0D"/>
          <w:spacing w:val="-2"/>
        </w:rPr>
      </w:pPr>
      <w:r w:rsidRPr="00250977">
        <w:rPr>
          <w:color w:val="0D0D0D"/>
          <w:spacing w:val="-2"/>
        </w:rPr>
        <w:t>Treatment Regimen __________________</w:t>
      </w:r>
      <w:r w:rsidR="007A423D">
        <w:rPr>
          <w:color w:val="0D0D0D"/>
          <w:spacing w:val="-2"/>
        </w:rPr>
        <w:t>____________</w:t>
      </w:r>
    </w:p>
    <w:p w14:paraId="0D3B61C0" w14:textId="1E37B605" w:rsidR="007B0AB7" w:rsidRPr="00250977" w:rsidRDefault="007B0AB7" w:rsidP="007B0AB7">
      <w:pPr>
        <w:pStyle w:val="BodyText"/>
        <w:ind w:right="6"/>
        <w:jc w:val="both"/>
        <w:rPr>
          <w:color w:val="0D0D0D"/>
          <w:spacing w:val="-2"/>
        </w:rPr>
      </w:pPr>
      <w:r w:rsidRPr="00250977">
        <w:rPr>
          <w:color w:val="0D0D0D"/>
          <w:spacing w:val="-2"/>
        </w:rPr>
        <w:t xml:space="preserve">Allogeneic SCT </w:t>
      </w:r>
      <w:r w:rsidR="007A423D">
        <w:rPr>
          <w:color w:val="0D0D0D"/>
          <w:spacing w:val="-2"/>
        </w:rPr>
        <w:tab/>
      </w:r>
      <w:r w:rsidR="007A423D">
        <w:rPr>
          <w:color w:val="0D0D0D"/>
          <w:spacing w:val="-2"/>
        </w:rPr>
        <w:tab/>
      </w:r>
      <w:r w:rsidRPr="00250977">
        <w:rPr>
          <w:color w:val="0D0D0D"/>
          <w:spacing w:val="-2"/>
        </w:rPr>
        <w:t xml:space="preserve"> in CR1 </w:t>
      </w:r>
      <w:r w:rsidR="007A423D">
        <w:rPr>
          <w:color w:val="0D0D0D"/>
          <w:spacing w:val="-2"/>
        </w:rPr>
        <w:tab/>
      </w:r>
      <w:r w:rsidRPr="00250977">
        <w:rPr>
          <w:color w:val="0D0D0D"/>
          <w:spacing w:val="-2"/>
        </w:rPr>
        <w:t> salvage</w:t>
      </w:r>
    </w:p>
    <w:p w14:paraId="3A21CAFB" w14:textId="77777777" w:rsidR="007B0AB7" w:rsidRPr="00250977" w:rsidRDefault="007B0AB7" w:rsidP="007B0AB7">
      <w:pPr>
        <w:pStyle w:val="BodyText"/>
        <w:ind w:right="6"/>
        <w:jc w:val="both"/>
        <w:rPr>
          <w:color w:val="0D0D0D"/>
          <w:spacing w:val="-2"/>
        </w:rPr>
      </w:pPr>
    </w:p>
    <w:p w14:paraId="3D74DCEB" w14:textId="77777777" w:rsidR="007B0AB7" w:rsidRPr="00250977" w:rsidRDefault="007B0AB7" w:rsidP="007B0AB7">
      <w:pPr>
        <w:pStyle w:val="BodyText"/>
        <w:ind w:right="6"/>
        <w:jc w:val="both"/>
        <w:rPr>
          <w:color w:val="0D0D0D"/>
          <w:spacing w:val="-2"/>
        </w:rPr>
      </w:pPr>
      <w:r w:rsidRPr="00250977">
        <w:rPr>
          <w:color w:val="0D0D0D"/>
          <w:spacing w:val="-2"/>
        </w:rPr>
        <w:t xml:space="preserve">Cause of </w:t>
      </w:r>
      <w:r>
        <w:rPr>
          <w:color w:val="0D0D0D"/>
          <w:spacing w:val="-2"/>
        </w:rPr>
        <w:t xml:space="preserve">delay </w:t>
      </w:r>
      <w:r w:rsidRPr="00250977">
        <w:rPr>
          <w:color w:val="0D0D0D"/>
          <w:spacing w:val="-2"/>
        </w:rPr>
        <w:t>in treatment</w:t>
      </w:r>
    </w:p>
    <w:p w14:paraId="474C0620" w14:textId="77777777" w:rsidR="007B0AB7" w:rsidRPr="00250977" w:rsidRDefault="007B0AB7" w:rsidP="007B0AB7">
      <w:pPr>
        <w:pStyle w:val="BodyText"/>
        <w:ind w:right="6"/>
        <w:jc w:val="both"/>
        <w:rPr>
          <w:color w:val="0D0D0D"/>
          <w:spacing w:val="-2"/>
        </w:rPr>
      </w:pPr>
      <w:r w:rsidRPr="00250977">
        <w:rPr>
          <w:color w:val="0D0D0D"/>
          <w:spacing w:val="-2"/>
        </w:rPr>
        <w:t> infection</w:t>
      </w:r>
    </w:p>
    <w:p w14:paraId="4A93E2E6" w14:textId="77777777" w:rsidR="007B0AB7" w:rsidRPr="00250977" w:rsidRDefault="007B0AB7" w:rsidP="007B0AB7">
      <w:pPr>
        <w:pStyle w:val="BodyText"/>
        <w:ind w:right="6"/>
        <w:jc w:val="both"/>
        <w:rPr>
          <w:color w:val="0D0D0D"/>
          <w:spacing w:val="-2"/>
        </w:rPr>
      </w:pPr>
      <w:r w:rsidRPr="00250977">
        <w:rPr>
          <w:color w:val="0D0D0D"/>
          <w:spacing w:val="-2"/>
        </w:rPr>
        <w:t> nutritional upbuilding</w:t>
      </w:r>
    </w:p>
    <w:p w14:paraId="26747343" w14:textId="77777777" w:rsidR="007B0AB7" w:rsidRPr="00250977" w:rsidRDefault="007B0AB7" w:rsidP="007B0AB7">
      <w:pPr>
        <w:pStyle w:val="BodyText"/>
        <w:ind w:right="6"/>
        <w:jc w:val="both"/>
        <w:rPr>
          <w:color w:val="0D0D0D"/>
          <w:spacing w:val="-2"/>
        </w:rPr>
      </w:pPr>
      <w:r w:rsidRPr="00250977">
        <w:rPr>
          <w:color w:val="0D0D0D"/>
          <w:spacing w:val="-2"/>
        </w:rPr>
        <w:t> cost of treatment</w:t>
      </w:r>
    </w:p>
    <w:p w14:paraId="5C76A5C8" w14:textId="77777777" w:rsidR="007B0AB7" w:rsidRPr="00250977" w:rsidRDefault="007B0AB7" w:rsidP="007B0AB7">
      <w:pPr>
        <w:pStyle w:val="BodyText"/>
        <w:ind w:right="6"/>
        <w:jc w:val="both"/>
        <w:rPr>
          <w:color w:val="0D0D0D"/>
          <w:spacing w:val="-2"/>
        </w:rPr>
      </w:pPr>
      <w:r w:rsidRPr="00250977">
        <w:rPr>
          <w:color w:val="0D0D0D"/>
          <w:spacing w:val="-2"/>
        </w:rPr>
        <w:t> lack of access</w:t>
      </w:r>
    </w:p>
    <w:p w14:paraId="4EC2DEB2" w14:textId="77777777" w:rsidR="007B0AB7" w:rsidRPr="00250977" w:rsidRDefault="007B0AB7" w:rsidP="007B0AB7">
      <w:pPr>
        <w:pStyle w:val="BodyText"/>
        <w:ind w:right="6"/>
        <w:jc w:val="both"/>
        <w:rPr>
          <w:color w:val="0D0D0D"/>
          <w:spacing w:val="-2"/>
        </w:rPr>
      </w:pPr>
      <w:r w:rsidRPr="00250977">
        <w:rPr>
          <w:color w:val="0D0D0D"/>
          <w:spacing w:val="-2"/>
        </w:rPr>
        <w:t> unfamiliarity</w:t>
      </w:r>
    </w:p>
    <w:p w14:paraId="2BADF4E7" w14:textId="77777777" w:rsidR="007B0AB7" w:rsidRPr="00250977" w:rsidRDefault="007B0AB7" w:rsidP="007B0AB7">
      <w:pPr>
        <w:pStyle w:val="BodyText"/>
        <w:ind w:right="6"/>
        <w:jc w:val="both"/>
        <w:rPr>
          <w:color w:val="0D0D0D"/>
          <w:spacing w:val="-2"/>
        </w:rPr>
      </w:pPr>
    </w:p>
    <w:p w14:paraId="4B98FEAF" w14:textId="77777777" w:rsidR="007B0AB7" w:rsidRPr="00250977" w:rsidRDefault="007B0AB7" w:rsidP="007B0AB7">
      <w:pPr>
        <w:pStyle w:val="BodyText"/>
        <w:ind w:right="6"/>
        <w:jc w:val="both"/>
        <w:rPr>
          <w:color w:val="0D0D0D"/>
          <w:spacing w:val="-2"/>
        </w:rPr>
      </w:pPr>
      <w:r w:rsidRPr="00250977">
        <w:rPr>
          <w:color w:val="0D0D0D"/>
          <w:spacing w:val="-2"/>
        </w:rPr>
        <w:t>Treatment response</w:t>
      </w:r>
    </w:p>
    <w:p w14:paraId="476F6554" w14:textId="77777777" w:rsidR="007B0AB7" w:rsidRPr="00250977" w:rsidRDefault="007B0AB7" w:rsidP="007B0AB7">
      <w:pPr>
        <w:pStyle w:val="BodyText"/>
        <w:ind w:right="6"/>
        <w:jc w:val="both"/>
        <w:rPr>
          <w:color w:val="0D0D0D"/>
          <w:spacing w:val="-2"/>
        </w:rPr>
      </w:pPr>
      <w:r w:rsidRPr="00250977">
        <w:rPr>
          <w:color w:val="0D0D0D"/>
          <w:spacing w:val="-2"/>
        </w:rPr>
        <w:t> CR</w:t>
      </w:r>
    </w:p>
    <w:p w14:paraId="178F149F" w14:textId="77777777" w:rsidR="007B0AB7" w:rsidRPr="00250977" w:rsidRDefault="007B0AB7" w:rsidP="007B0AB7">
      <w:pPr>
        <w:pStyle w:val="BodyText"/>
        <w:ind w:right="6"/>
        <w:jc w:val="both"/>
        <w:rPr>
          <w:color w:val="0D0D0D"/>
          <w:spacing w:val="-2"/>
        </w:rPr>
      </w:pPr>
      <w:r w:rsidRPr="00250977">
        <w:rPr>
          <w:color w:val="0D0D0D"/>
          <w:spacing w:val="-2"/>
        </w:rPr>
        <w:t xml:space="preserve"> </w:t>
      </w:r>
      <w:proofErr w:type="spellStart"/>
      <w:r w:rsidRPr="00250977">
        <w:rPr>
          <w:color w:val="0D0D0D"/>
          <w:spacing w:val="-2"/>
        </w:rPr>
        <w:t>CRi</w:t>
      </w:r>
      <w:proofErr w:type="spellEnd"/>
    </w:p>
    <w:p w14:paraId="6716C7B7" w14:textId="77777777" w:rsidR="007B0AB7" w:rsidRPr="00250977" w:rsidRDefault="007B0AB7" w:rsidP="007B0AB7">
      <w:pPr>
        <w:pStyle w:val="BodyText"/>
        <w:ind w:right="6"/>
        <w:jc w:val="both"/>
        <w:rPr>
          <w:color w:val="0D0D0D"/>
          <w:spacing w:val="-2"/>
        </w:rPr>
      </w:pPr>
      <w:r w:rsidRPr="00250977">
        <w:rPr>
          <w:color w:val="0D0D0D"/>
          <w:spacing w:val="-2"/>
        </w:rPr>
        <w:t> Primary Refractory Disease</w:t>
      </w:r>
    </w:p>
    <w:p w14:paraId="6FF89AE8" w14:textId="77777777" w:rsidR="007B0AB7" w:rsidRPr="00250977" w:rsidRDefault="007B0AB7" w:rsidP="007B0AB7">
      <w:pPr>
        <w:pStyle w:val="BodyText"/>
        <w:ind w:right="6"/>
        <w:jc w:val="both"/>
        <w:rPr>
          <w:color w:val="0D0D0D"/>
          <w:spacing w:val="-2"/>
        </w:rPr>
      </w:pPr>
    </w:p>
    <w:p w14:paraId="2F5BB7E9" w14:textId="77777777" w:rsidR="007B0AB7" w:rsidRPr="00250977" w:rsidRDefault="007B0AB7" w:rsidP="007B0AB7">
      <w:pPr>
        <w:pStyle w:val="BodyText"/>
        <w:ind w:right="6"/>
        <w:jc w:val="both"/>
        <w:rPr>
          <w:color w:val="0D0D0D"/>
          <w:spacing w:val="-2"/>
        </w:rPr>
      </w:pPr>
      <w:r w:rsidRPr="00250977">
        <w:rPr>
          <w:color w:val="0D0D0D"/>
          <w:spacing w:val="-2"/>
        </w:rPr>
        <w:t xml:space="preserve">Survival </w:t>
      </w:r>
    </w:p>
    <w:p w14:paraId="6CAB2242" w14:textId="79007680" w:rsidR="007B0AB7" w:rsidRPr="00250977" w:rsidRDefault="007B0AB7" w:rsidP="007B0AB7">
      <w:pPr>
        <w:pStyle w:val="BodyText"/>
        <w:ind w:right="6"/>
        <w:jc w:val="both"/>
        <w:rPr>
          <w:color w:val="0D0D0D"/>
          <w:spacing w:val="-2"/>
        </w:rPr>
      </w:pPr>
      <w:r w:rsidRPr="00250977">
        <w:rPr>
          <w:color w:val="0D0D0D"/>
          <w:spacing w:val="-2"/>
        </w:rPr>
        <w:t xml:space="preserve">RFS </w:t>
      </w:r>
      <w:r w:rsidR="007A423D" w:rsidRPr="00250977">
        <w:rPr>
          <w:color w:val="0D0D0D"/>
          <w:spacing w:val="-2"/>
        </w:rPr>
        <w:t>_____________________________________</w:t>
      </w:r>
      <w:r w:rsidR="007A423D">
        <w:rPr>
          <w:color w:val="0D0D0D"/>
          <w:spacing w:val="-2"/>
        </w:rPr>
        <w:t xml:space="preserve"> </w:t>
      </w:r>
      <w:r w:rsidRPr="00250977">
        <w:rPr>
          <w:color w:val="0D0D0D"/>
          <w:spacing w:val="-2"/>
        </w:rPr>
        <w:t>days</w:t>
      </w:r>
    </w:p>
    <w:p w14:paraId="7C4E3C27" w14:textId="207D37AD" w:rsidR="007B0AB7" w:rsidRPr="00250977" w:rsidRDefault="007B0AB7" w:rsidP="007A423D">
      <w:pPr>
        <w:pStyle w:val="BodyText"/>
        <w:ind w:right="6"/>
        <w:jc w:val="both"/>
        <w:rPr>
          <w:color w:val="0D0D0D"/>
          <w:spacing w:val="-2"/>
        </w:rPr>
      </w:pPr>
      <w:r w:rsidRPr="00250977">
        <w:rPr>
          <w:color w:val="0D0D0D"/>
          <w:spacing w:val="-2"/>
        </w:rPr>
        <w:t xml:space="preserve">OS </w:t>
      </w:r>
      <w:r w:rsidR="007A423D" w:rsidRPr="00250977">
        <w:rPr>
          <w:color w:val="0D0D0D"/>
          <w:spacing w:val="-2"/>
        </w:rPr>
        <w:t>______________________________________</w:t>
      </w:r>
      <w:r w:rsidR="007A423D">
        <w:rPr>
          <w:color w:val="0D0D0D"/>
          <w:spacing w:val="-2"/>
        </w:rPr>
        <w:t xml:space="preserve"> </w:t>
      </w:r>
      <w:r w:rsidRPr="00250977">
        <w:rPr>
          <w:color w:val="0D0D0D"/>
          <w:spacing w:val="-2"/>
        </w:rPr>
        <w:t>days</w:t>
      </w:r>
    </w:p>
    <w:p w14:paraId="60669FDF" w14:textId="77777777" w:rsidR="007B0AB7" w:rsidRDefault="007B0AB7" w:rsidP="007B0AB7">
      <w:pPr>
        <w:pStyle w:val="BodyText"/>
        <w:spacing w:line="480" w:lineRule="auto"/>
        <w:ind w:right="4"/>
        <w:jc w:val="both"/>
        <w:rPr>
          <w:b/>
          <w:bCs/>
          <w:color w:val="0D0D0D"/>
          <w:spacing w:val="-2"/>
        </w:rPr>
      </w:pPr>
    </w:p>
    <w:p w14:paraId="5C102A04" w14:textId="77777777" w:rsidR="007B0AB7" w:rsidRDefault="007B0AB7" w:rsidP="007B0AB7">
      <w:pPr>
        <w:pStyle w:val="BodyText"/>
        <w:spacing w:line="480" w:lineRule="auto"/>
        <w:ind w:right="4"/>
        <w:jc w:val="both"/>
        <w:rPr>
          <w:b/>
          <w:bCs/>
          <w:color w:val="0D0D0D"/>
          <w:spacing w:val="-2"/>
        </w:rPr>
      </w:pPr>
    </w:p>
    <w:p w14:paraId="7328CCE4" w14:textId="77777777" w:rsidR="007B0AB7" w:rsidRDefault="007B0AB7" w:rsidP="007B0AB7">
      <w:pPr>
        <w:pStyle w:val="BodyText"/>
        <w:spacing w:line="480" w:lineRule="auto"/>
        <w:ind w:right="4"/>
        <w:jc w:val="both"/>
        <w:rPr>
          <w:b/>
          <w:bCs/>
          <w:color w:val="0D0D0D"/>
          <w:spacing w:val="-2"/>
        </w:rPr>
      </w:pPr>
    </w:p>
    <w:p w14:paraId="7F49472D" w14:textId="77777777" w:rsidR="007B0AB7" w:rsidRDefault="007B0AB7" w:rsidP="007B0AB7">
      <w:pPr>
        <w:pStyle w:val="BodyText"/>
        <w:spacing w:line="480" w:lineRule="auto"/>
        <w:ind w:right="4"/>
        <w:jc w:val="both"/>
        <w:rPr>
          <w:b/>
          <w:bCs/>
          <w:color w:val="0D0D0D"/>
          <w:spacing w:val="-2"/>
        </w:rPr>
      </w:pPr>
      <w:r w:rsidRPr="00820A6A">
        <w:rPr>
          <w:b/>
          <w:bCs/>
          <w:color w:val="0D0D0D"/>
          <w:spacing w:val="-2"/>
        </w:rPr>
        <w:t>Gantt Chart</w:t>
      </w:r>
    </w:p>
    <w:tbl>
      <w:tblPr>
        <w:tblW w:w="9088" w:type="dxa"/>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5"/>
        <w:gridCol w:w="567"/>
        <w:gridCol w:w="567"/>
        <w:gridCol w:w="567"/>
        <w:gridCol w:w="567"/>
        <w:gridCol w:w="567"/>
        <w:gridCol w:w="567"/>
        <w:gridCol w:w="567"/>
        <w:gridCol w:w="567"/>
        <w:gridCol w:w="567"/>
      </w:tblGrid>
      <w:tr w:rsidR="007B0AB7" w:rsidRPr="0000403E" w14:paraId="545917A6" w14:textId="77777777" w:rsidTr="007B0AB7">
        <w:trPr>
          <w:trHeight w:val="1870"/>
        </w:trPr>
        <w:tc>
          <w:tcPr>
            <w:tcW w:w="3985" w:type="dxa"/>
          </w:tcPr>
          <w:p w14:paraId="393C8F65" w14:textId="77777777" w:rsidR="007B0AB7" w:rsidRPr="009813FF" w:rsidRDefault="007B0AB7" w:rsidP="007D412A">
            <w:pPr>
              <w:pStyle w:val="TableParagraph"/>
            </w:pPr>
          </w:p>
        </w:tc>
        <w:tc>
          <w:tcPr>
            <w:tcW w:w="567" w:type="dxa"/>
            <w:tcBorders>
              <w:bottom w:val="single" w:sz="4" w:space="0" w:color="000000"/>
            </w:tcBorders>
            <w:textDirection w:val="btLr"/>
            <w:vAlign w:val="center"/>
          </w:tcPr>
          <w:p w14:paraId="6355EDE1" w14:textId="77777777" w:rsidR="007B0AB7" w:rsidRPr="00820A6A" w:rsidRDefault="007B0AB7" w:rsidP="007D412A">
            <w:pPr>
              <w:pStyle w:val="BodyText"/>
              <w:spacing w:before="120" w:line="480" w:lineRule="auto"/>
              <w:ind w:left="57" w:right="6"/>
            </w:pPr>
            <w:r w:rsidRPr="00820A6A">
              <w:t>September 2024</w:t>
            </w:r>
          </w:p>
        </w:tc>
        <w:tc>
          <w:tcPr>
            <w:tcW w:w="567" w:type="dxa"/>
            <w:tcBorders>
              <w:bottom w:val="single" w:sz="4" w:space="0" w:color="000000"/>
            </w:tcBorders>
            <w:textDirection w:val="btLr"/>
            <w:vAlign w:val="center"/>
          </w:tcPr>
          <w:p w14:paraId="7293C8EC" w14:textId="77777777" w:rsidR="007B0AB7" w:rsidRPr="00820A6A" w:rsidRDefault="007B0AB7" w:rsidP="007D412A">
            <w:pPr>
              <w:pStyle w:val="BodyText"/>
              <w:spacing w:before="120" w:line="480" w:lineRule="auto"/>
              <w:ind w:left="57" w:right="6"/>
            </w:pPr>
            <w:r w:rsidRPr="00820A6A">
              <w:t>October 2024</w:t>
            </w:r>
          </w:p>
        </w:tc>
        <w:tc>
          <w:tcPr>
            <w:tcW w:w="567" w:type="dxa"/>
            <w:tcBorders>
              <w:bottom w:val="single" w:sz="4" w:space="0" w:color="000000"/>
            </w:tcBorders>
            <w:textDirection w:val="btLr"/>
            <w:vAlign w:val="center"/>
          </w:tcPr>
          <w:p w14:paraId="2A8FED10" w14:textId="77777777" w:rsidR="007B0AB7" w:rsidRPr="00820A6A" w:rsidRDefault="007B0AB7" w:rsidP="007D412A">
            <w:pPr>
              <w:pStyle w:val="BodyText"/>
              <w:spacing w:before="120" w:line="480" w:lineRule="auto"/>
              <w:ind w:left="57" w:right="6"/>
            </w:pPr>
            <w:r w:rsidRPr="00820A6A">
              <w:t>November 2024</w:t>
            </w:r>
          </w:p>
        </w:tc>
        <w:tc>
          <w:tcPr>
            <w:tcW w:w="567" w:type="dxa"/>
            <w:tcBorders>
              <w:bottom w:val="single" w:sz="4" w:space="0" w:color="000000"/>
            </w:tcBorders>
            <w:textDirection w:val="btLr"/>
            <w:vAlign w:val="center"/>
          </w:tcPr>
          <w:p w14:paraId="6E8644DE" w14:textId="77777777" w:rsidR="007B0AB7" w:rsidRPr="00820A6A" w:rsidRDefault="007B0AB7" w:rsidP="007D412A">
            <w:pPr>
              <w:pStyle w:val="BodyText"/>
              <w:spacing w:before="120" w:line="480" w:lineRule="auto"/>
              <w:ind w:left="57" w:right="6"/>
            </w:pPr>
            <w:r w:rsidRPr="00820A6A">
              <w:t>December 2024</w:t>
            </w:r>
          </w:p>
        </w:tc>
        <w:tc>
          <w:tcPr>
            <w:tcW w:w="567" w:type="dxa"/>
            <w:tcBorders>
              <w:bottom w:val="single" w:sz="4" w:space="0" w:color="000000"/>
            </w:tcBorders>
            <w:textDirection w:val="btLr"/>
            <w:vAlign w:val="center"/>
          </w:tcPr>
          <w:p w14:paraId="300CF27C" w14:textId="77777777" w:rsidR="007B0AB7" w:rsidRPr="00820A6A" w:rsidRDefault="007B0AB7" w:rsidP="007D412A">
            <w:pPr>
              <w:pStyle w:val="BodyText"/>
              <w:spacing w:before="120" w:line="480" w:lineRule="auto"/>
              <w:ind w:left="57" w:right="6"/>
            </w:pPr>
            <w:r w:rsidRPr="00820A6A">
              <w:t>January 2025</w:t>
            </w:r>
          </w:p>
        </w:tc>
        <w:tc>
          <w:tcPr>
            <w:tcW w:w="567" w:type="dxa"/>
            <w:tcBorders>
              <w:bottom w:val="single" w:sz="4" w:space="0" w:color="000000"/>
            </w:tcBorders>
            <w:textDirection w:val="btLr"/>
            <w:vAlign w:val="center"/>
          </w:tcPr>
          <w:p w14:paraId="7BBF3FDB" w14:textId="77777777" w:rsidR="007B0AB7" w:rsidRPr="00820A6A" w:rsidRDefault="007B0AB7" w:rsidP="007D412A">
            <w:pPr>
              <w:pStyle w:val="BodyText"/>
              <w:spacing w:before="120" w:line="480" w:lineRule="auto"/>
              <w:ind w:left="57" w:right="6"/>
            </w:pPr>
            <w:r w:rsidRPr="00820A6A">
              <w:t>February 2025</w:t>
            </w:r>
          </w:p>
        </w:tc>
        <w:tc>
          <w:tcPr>
            <w:tcW w:w="567" w:type="dxa"/>
            <w:tcBorders>
              <w:bottom w:val="single" w:sz="4" w:space="0" w:color="000000"/>
            </w:tcBorders>
            <w:textDirection w:val="btLr"/>
            <w:vAlign w:val="center"/>
          </w:tcPr>
          <w:p w14:paraId="7301B954" w14:textId="77777777" w:rsidR="007B0AB7" w:rsidRPr="00820A6A" w:rsidRDefault="007B0AB7" w:rsidP="007D412A">
            <w:pPr>
              <w:pStyle w:val="BodyText"/>
              <w:spacing w:before="120" w:line="480" w:lineRule="auto"/>
              <w:ind w:left="57" w:right="6"/>
            </w:pPr>
            <w:r w:rsidRPr="00820A6A">
              <w:t>March 2025</w:t>
            </w:r>
          </w:p>
        </w:tc>
        <w:tc>
          <w:tcPr>
            <w:tcW w:w="567" w:type="dxa"/>
            <w:tcBorders>
              <w:bottom w:val="single" w:sz="4" w:space="0" w:color="000000"/>
            </w:tcBorders>
            <w:textDirection w:val="btLr"/>
            <w:vAlign w:val="center"/>
          </w:tcPr>
          <w:p w14:paraId="242FC6A0" w14:textId="77777777" w:rsidR="007B0AB7" w:rsidRPr="00820A6A" w:rsidRDefault="007B0AB7" w:rsidP="007D412A">
            <w:pPr>
              <w:pStyle w:val="BodyText"/>
              <w:spacing w:before="120" w:line="480" w:lineRule="auto"/>
              <w:ind w:left="57" w:right="6"/>
            </w:pPr>
            <w:r w:rsidRPr="00820A6A">
              <w:t>April 2025</w:t>
            </w:r>
          </w:p>
        </w:tc>
        <w:tc>
          <w:tcPr>
            <w:tcW w:w="567" w:type="dxa"/>
            <w:tcBorders>
              <w:bottom w:val="single" w:sz="4" w:space="0" w:color="000000"/>
            </w:tcBorders>
            <w:textDirection w:val="btLr"/>
            <w:vAlign w:val="center"/>
          </w:tcPr>
          <w:p w14:paraId="57E3AC62" w14:textId="77777777" w:rsidR="007B0AB7" w:rsidRPr="00820A6A" w:rsidRDefault="007B0AB7" w:rsidP="007D412A">
            <w:pPr>
              <w:pStyle w:val="BodyText"/>
              <w:spacing w:before="120" w:line="480" w:lineRule="auto"/>
              <w:ind w:left="57" w:right="6"/>
            </w:pPr>
            <w:r w:rsidRPr="00820A6A">
              <w:t>May 2025</w:t>
            </w:r>
          </w:p>
        </w:tc>
      </w:tr>
      <w:tr w:rsidR="007B0AB7" w:rsidRPr="0000403E" w14:paraId="33982FFC" w14:textId="77777777" w:rsidTr="007B0AB7">
        <w:trPr>
          <w:trHeight w:val="474"/>
        </w:trPr>
        <w:tc>
          <w:tcPr>
            <w:tcW w:w="3985" w:type="dxa"/>
            <w:vAlign w:val="center"/>
          </w:tcPr>
          <w:p w14:paraId="78ED124B" w14:textId="77777777" w:rsidR="007B0AB7" w:rsidRPr="009813FF" w:rsidRDefault="007B0AB7" w:rsidP="007D412A">
            <w:pPr>
              <w:pStyle w:val="TableParagraph"/>
              <w:spacing w:line="230" w:lineRule="exact"/>
              <w:ind w:left="110" w:right="172"/>
              <w:jc w:val="right"/>
            </w:pPr>
            <w:r w:rsidRPr="009813FF">
              <w:rPr>
                <w:spacing w:val="-2"/>
              </w:rPr>
              <w:t xml:space="preserve">Literature </w:t>
            </w:r>
            <w:r>
              <w:rPr>
                <w:spacing w:val="-2"/>
              </w:rPr>
              <w:t>r</w:t>
            </w:r>
            <w:r w:rsidRPr="009813FF">
              <w:rPr>
                <w:spacing w:val="-2"/>
              </w:rPr>
              <w:t>eview</w:t>
            </w:r>
          </w:p>
        </w:tc>
        <w:tc>
          <w:tcPr>
            <w:tcW w:w="567" w:type="dxa"/>
            <w:shd w:val="clear" w:color="auto" w:fill="44546A" w:themeFill="text2"/>
          </w:tcPr>
          <w:p w14:paraId="39E3C307" w14:textId="77777777" w:rsidR="007B0AB7" w:rsidRPr="009813FF" w:rsidRDefault="007B0AB7" w:rsidP="007D412A">
            <w:pPr>
              <w:pStyle w:val="TableParagraph"/>
              <w:rPr>
                <w:highlight w:val="black"/>
              </w:rPr>
            </w:pPr>
          </w:p>
        </w:tc>
        <w:tc>
          <w:tcPr>
            <w:tcW w:w="567" w:type="dxa"/>
            <w:shd w:val="clear" w:color="auto" w:fill="44546A" w:themeFill="text2"/>
          </w:tcPr>
          <w:p w14:paraId="71BDC014" w14:textId="77777777" w:rsidR="007B0AB7" w:rsidRPr="009813FF" w:rsidRDefault="007B0AB7" w:rsidP="007D412A">
            <w:pPr>
              <w:pStyle w:val="TableParagraph"/>
              <w:rPr>
                <w:highlight w:val="black"/>
              </w:rPr>
            </w:pPr>
          </w:p>
        </w:tc>
        <w:tc>
          <w:tcPr>
            <w:tcW w:w="567" w:type="dxa"/>
            <w:shd w:val="clear" w:color="auto" w:fill="44546A" w:themeFill="text2"/>
            <w:vAlign w:val="bottom"/>
          </w:tcPr>
          <w:p w14:paraId="177EA59F" w14:textId="77777777" w:rsidR="007B0AB7" w:rsidRPr="009813FF" w:rsidRDefault="007B0AB7" w:rsidP="007D412A">
            <w:pPr>
              <w:pStyle w:val="TableParagraph"/>
              <w:jc w:val="right"/>
              <w:rPr>
                <w:highlight w:val="black"/>
              </w:rPr>
            </w:pPr>
          </w:p>
        </w:tc>
        <w:tc>
          <w:tcPr>
            <w:tcW w:w="567" w:type="dxa"/>
            <w:tcBorders>
              <w:bottom w:val="single" w:sz="4" w:space="0" w:color="000000"/>
            </w:tcBorders>
            <w:shd w:val="clear" w:color="auto" w:fill="44546A" w:themeFill="text2"/>
          </w:tcPr>
          <w:p w14:paraId="70A47CE1" w14:textId="77777777" w:rsidR="007B0AB7" w:rsidRPr="009813FF" w:rsidRDefault="007B0AB7" w:rsidP="007D412A">
            <w:pPr>
              <w:pStyle w:val="TableParagraph"/>
              <w:rPr>
                <w:highlight w:val="black"/>
              </w:rPr>
            </w:pPr>
          </w:p>
        </w:tc>
        <w:tc>
          <w:tcPr>
            <w:tcW w:w="567" w:type="dxa"/>
            <w:tcBorders>
              <w:bottom w:val="single" w:sz="4" w:space="0" w:color="000000"/>
            </w:tcBorders>
            <w:shd w:val="clear" w:color="auto" w:fill="auto"/>
          </w:tcPr>
          <w:p w14:paraId="7157C5D0" w14:textId="77777777" w:rsidR="007B0AB7" w:rsidRPr="009813FF" w:rsidRDefault="007B0AB7" w:rsidP="007D412A">
            <w:pPr>
              <w:pStyle w:val="TableParagraph"/>
              <w:rPr>
                <w:highlight w:val="black"/>
              </w:rPr>
            </w:pPr>
          </w:p>
        </w:tc>
        <w:tc>
          <w:tcPr>
            <w:tcW w:w="567" w:type="dxa"/>
            <w:tcBorders>
              <w:bottom w:val="single" w:sz="4" w:space="0" w:color="000000"/>
            </w:tcBorders>
            <w:shd w:val="clear" w:color="auto" w:fill="auto"/>
          </w:tcPr>
          <w:p w14:paraId="4F4CA2FD" w14:textId="77777777" w:rsidR="007B0AB7" w:rsidRPr="009813FF" w:rsidRDefault="007B0AB7" w:rsidP="007D412A">
            <w:pPr>
              <w:pStyle w:val="TableParagraph"/>
              <w:rPr>
                <w:highlight w:val="black"/>
              </w:rPr>
            </w:pPr>
          </w:p>
        </w:tc>
        <w:tc>
          <w:tcPr>
            <w:tcW w:w="567" w:type="dxa"/>
            <w:shd w:val="clear" w:color="auto" w:fill="auto"/>
          </w:tcPr>
          <w:p w14:paraId="4A15A970" w14:textId="77777777" w:rsidR="007B0AB7" w:rsidRPr="009813FF" w:rsidRDefault="007B0AB7" w:rsidP="007D412A">
            <w:pPr>
              <w:pStyle w:val="TableParagraph"/>
            </w:pPr>
          </w:p>
        </w:tc>
        <w:tc>
          <w:tcPr>
            <w:tcW w:w="567" w:type="dxa"/>
            <w:shd w:val="clear" w:color="auto" w:fill="auto"/>
          </w:tcPr>
          <w:p w14:paraId="3C120C3F" w14:textId="77777777" w:rsidR="007B0AB7" w:rsidRPr="009813FF" w:rsidRDefault="007B0AB7" w:rsidP="007D412A">
            <w:pPr>
              <w:pStyle w:val="TableParagraph"/>
            </w:pPr>
          </w:p>
        </w:tc>
        <w:tc>
          <w:tcPr>
            <w:tcW w:w="567" w:type="dxa"/>
            <w:shd w:val="clear" w:color="auto" w:fill="auto"/>
          </w:tcPr>
          <w:p w14:paraId="1B6CAF92" w14:textId="77777777" w:rsidR="007B0AB7" w:rsidRPr="009813FF" w:rsidRDefault="007B0AB7" w:rsidP="007D412A">
            <w:pPr>
              <w:pStyle w:val="TableParagraph"/>
            </w:pPr>
          </w:p>
        </w:tc>
      </w:tr>
      <w:tr w:rsidR="007B0AB7" w:rsidRPr="0000403E" w14:paraId="14EA7D31" w14:textId="77777777" w:rsidTr="007B0AB7">
        <w:trPr>
          <w:trHeight w:val="474"/>
        </w:trPr>
        <w:tc>
          <w:tcPr>
            <w:tcW w:w="3985" w:type="dxa"/>
            <w:vAlign w:val="center"/>
          </w:tcPr>
          <w:p w14:paraId="70759602" w14:textId="77777777" w:rsidR="007B0AB7" w:rsidRPr="009813FF" w:rsidRDefault="007B0AB7" w:rsidP="007D412A">
            <w:pPr>
              <w:pStyle w:val="TableParagraph"/>
              <w:spacing w:line="230" w:lineRule="exact"/>
              <w:ind w:left="110" w:right="172"/>
              <w:jc w:val="right"/>
              <w:rPr>
                <w:spacing w:val="-2"/>
              </w:rPr>
            </w:pPr>
            <w:r>
              <w:rPr>
                <w:spacing w:val="-2"/>
              </w:rPr>
              <w:t>Finalization of the study protocol</w:t>
            </w:r>
          </w:p>
        </w:tc>
        <w:tc>
          <w:tcPr>
            <w:tcW w:w="567" w:type="dxa"/>
            <w:shd w:val="clear" w:color="auto" w:fill="auto"/>
          </w:tcPr>
          <w:p w14:paraId="6A08C528" w14:textId="77777777" w:rsidR="007B0AB7" w:rsidRPr="009813FF" w:rsidRDefault="007B0AB7" w:rsidP="007D412A">
            <w:pPr>
              <w:pStyle w:val="TableParagraph"/>
              <w:rPr>
                <w:highlight w:val="black"/>
              </w:rPr>
            </w:pPr>
          </w:p>
        </w:tc>
        <w:tc>
          <w:tcPr>
            <w:tcW w:w="567" w:type="dxa"/>
            <w:shd w:val="clear" w:color="auto" w:fill="auto"/>
          </w:tcPr>
          <w:p w14:paraId="6D808817" w14:textId="77777777" w:rsidR="007B0AB7" w:rsidRPr="009813FF" w:rsidRDefault="007B0AB7" w:rsidP="007D412A">
            <w:pPr>
              <w:pStyle w:val="TableParagraph"/>
              <w:rPr>
                <w:highlight w:val="black"/>
              </w:rPr>
            </w:pPr>
          </w:p>
        </w:tc>
        <w:tc>
          <w:tcPr>
            <w:tcW w:w="567" w:type="dxa"/>
            <w:shd w:val="clear" w:color="auto" w:fill="auto"/>
          </w:tcPr>
          <w:p w14:paraId="76F1BE28" w14:textId="77777777" w:rsidR="007B0AB7" w:rsidRPr="009813FF" w:rsidRDefault="007B0AB7" w:rsidP="007D412A">
            <w:pPr>
              <w:pStyle w:val="TableParagraph"/>
              <w:rPr>
                <w:highlight w:val="black"/>
              </w:rPr>
            </w:pPr>
          </w:p>
        </w:tc>
        <w:tc>
          <w:tcPr>
            <w:tcW w:w="567" w:type="dxa"/>
            <w:shd w:val="clear" w:color="auto" w:fill="44546A" w:themeFill="text2"/>
          </w:tcPr>
          <w:p w14:paraId="331902A3" w14:textId="77777777" w:rsidR="007B0AB7" w:rsidRPr="009813FF" w:rsidRDefault="007B0AB7" w:rsidP="007D412A">
            <w:pPr>
              <w:pStyle w:val="TableParagraph"/>
              <w:rPr>
                <w:highlight w:val="black"/>
              </w:rPr>
            </w:pPr>
          </w:p>
        </w:tc>
        <w:tc>
          <w:tcPr>
            <w:tcW w:w="567" w:type="dxa"/>
            <w:shd w:val="clear" w:color="auto" w:fill="44546A" w:themeFill="text2"/>
          </w:tcPr>
          <w:p w14:paraId="6186F5AA" w14:textId="77777777" w:rsidR="007B0AB7" w:rsidRPr="009813FF" w:rsidRDefault="007B0AB7" w:rsidP="007D412A">
            <w:pPr>
              <w:pStyle w:val="TableParagraph"/>
              <w:rPr>
                <w:highlight w:val="black"/>
              </w:rPr>
            </w:pPr>
          </w:p>
        </w:tc>
        <w:tc>
          <w:tcPr>
            <w:tcW w:w="567" w:type="dxa"/>
            <w:tcBorders>
              <w:bottom w:val="single" w:sz="4" w:space="0" w:color="000000"/>
            </w:tcBorders>
            <w:shd w:val="clear" w:color="auto" w:fill="44546A" w:themeFill="text2"/>
          </w:tcPr>
          <w:p w14:paraId="118B5B6B" w14:textId="77777777" w:rsidR="007B0AB7" w:rsidRPr="009813FF" w:rsidRDefault="007B0AB7" w:rsidP="007D412A">
            <w:pPr>
              <w:pStyle w:val="TableParagraph"/>
              <w:rPr>
                <w:highlight w:val="black"/>
              </w:rPr>
            </w:pPr>
          </w:p>
        </w:tc>
        <w:tc>
          <w:tcPr>
            <w:tcW w:w="567" w:type="dxa"/>
            <w:tcBorders>
              <w:bottom w:val="single" w:sz="4" w:space="0" w:color="000000"/>
            </w:tcBorders>
            <w:shd w:val="clear" w:color="auto" w:fill="auto"/>
          </w:tcPr>
          <w:p w14:paraId="2A3ED77D" w14:textId="77777777" w:rsidR="007B0AB7" w:rsidRPr="009813FF" w:rsidRDefault="007B0AB7" w:rsidP="007D412A">
            <w:pPr>
              <w:pStyle w:val="TableParagraph"/>
            </w:pPr>
          </w:p>
        </w:tc>
        <w:tc>
          <w:tcPr>
            <w:tcW w:w="567" w:type="dxa"/>
            <w:shd w:val="clear" w:color="auto" w:fill="auto"/>
          </w:tcPr>
          <w:p w14:paraId="47DD920E" w14:textId="77777777" w:rsidR="007B0AB7" w:rsidRPr="009813FF" w:rsidRDefault="007B0AB7" w:rsidP="007D412A">
            <w:pPr>
              <w:pStyle w:val="TableParagraph"/>
            </w:pPr>
          </w:p>
        </w:tc>
        <w:tc>
          <w:tcPr>
            <w:tcW w:w="567" w:type="dxa"/>
            <w:shd w:val="clear" w:color="auto" w:fill="auto"/>
          </w:tcPr>
          <w:p w14:paraId="1A38ED0B" w14:textId="77777777" w:rsidR="007B0AB7" w:rsidRPr="009813FF" w:rsidRDefault="007B0AB7" w:rsidP="007D412A">
            <w:pPr>
              <w:pStyle w:val="TableParagraph"/>
            </w:pPr>
          </w:p>
        </w:tc>
      </w:tr>
      <w:tr w:rsidR="007B0AB7" w:rsidRPr="0000403E" w14:paraId="76675599" w14:textId="77777777" w:rsidTr="007B0AB7">
        <w:trPr>
          <w:trHeight w:val="474"/>
        </w:trPr>
        <w:tc>
          <w:tcPr>
            <w:tcW w:w="3985" w:type="dxa"/>
            <w:vAlign w:val="center"/>
          </w:tcPr>
          <w:p w14:paraId="02D16B24" w14:textId="77777777" w:rsidR="007B0AB7" w:rsidRDefault="007B0AB7" w:rsidP="007D412A">
            <w:pPr>
              <w:pStyle w:val="TableParagraph"/>
              <w:spacing w:line="230" w:lineRule="exact"/>
              <w:ind w:left="110" w:right="172"/>
              <w:jc w:val="right"/>
              <w:rPr>
                <w:spacing w:val="-2"/>
              </w:rPr>
            </w:pPr>
            <w:r>
              <w:rPr>
                <w:spacing w:val="-2"/>
              </w:rPr>
              <w:t>Technical and ethical review</w:t>
            </w:r>
          </w:p>
        </w:tc>
        <w:tc>
          <w:tcPr>
            <w:tcW w:w="567" w:type="dxa"/>
            <w:shd w:val="clear" w:color="auto" w:fill="auto"/>
          </w:tcPr>
          <w:p w14:paraId="3707E93E" w14:textId="77777777" w:rsidR="007B0AB7" w:rsidRPr="009813FF" w:rsidRDefault="007B0AB7" w:rsidP="007D412A">
            <w:pPr>
              <w:pStyle w:val="TableParagraph"/>
              <w:rPr>
                <w:highlight w:val="black"/>
              </w:rPr>
            </w:pPr>
          </w:p>
        </w:tc>
        <w:tc>
          <w:tcPr>
            <w:tcW w:w="567" w:type="dxa"/>
            <w:shd w:val="clear" w:color="auto" w:fill="auto"/>
          </w:tcPr>
          <w:p w14:paraId="458BCCF6" w14:textId="77777777" w:rsidR="007B0AB7" w:rsidRPr="009813FF" w:rsidRDefault="007B0AB7" w:rsidP="007D412A">
            <w:pPr>
              <w:pStyle w:val="TableParagraph"/>
              <w:rPr>
                <w:highlight w:val="black"/>
              </w:rPr>
            </w:pPr>
          </w:p>
        </w:tc>
        <w:tc>
          <w:tcPr>
            <w:tcW w:w="567" w:type="dxa"/>
            <w:shd w:val="clear" w:color="auto" w:fill="auto"/>
          </w:tcPr>
          <w:p w14:paraId="1F42D741" w14:textId="77777777" w:rsidR="007B0AB7" w:rsidRPr="009813FF" w:rsidRDefault="007B0AB7" w:rsidP="007D412A">
            <w:pPr>
              <w:pStyle w:val="TableParagraph"/>
              <w:rPr>
                <w:highlight w:val="black"/>
              </w:rPr>
            </w:pPr>
          </w:p>
        </w:tc>
        <w:tc>
          <w:tcPr>
            <w:tcW w:w="567" w:type="dxa"/>
            <w:shd w:val="clear" w:color="auto" w:fill="auto"/>
          </w:tcPr>
          <w:p w14:paraId="6248A2F1" w14:textId="77777777" w:rsidR="007B0AB7" w:rsidRPr="009813FF" w:rsidRDefault="007B0AB7" w:rsidP="007D412A">
            <w:pPr>
              <w:pStyle w:val="TableParagraph"/>
              <w:rPr>
                <w:highlight w:val="black"/>
              </w:rPr>
            </w:pPr>
          </w:p>
        </w:tc>
        <w:tc>
          <w:tcPr>
            <w:tcW w:w="567" w:type="dxa"/>
            <w:shd w:val="clear" w:color="auto" w:fill="auto"/>
          </w:tcPr>
          <w:p w14:paraId="179FD896" w14:textId="77777777" w:rsidR="007B0AB7" w:rsidRPr="009813FF" w:rsidRDefault="007B0AB7" w:rsidP="007D412A">
            <w:pPr>
              <w:pStyle w:val="TableParagraph"/>
              <w:rPr>
                <w:highlight w:val="black"/>
              </w:rPr>
            </w:pPr>
          </w:p>
        </w:tc>
        <w:tc>
          <w:tcPr>
            <w:tcW w:w="567" w:type="dxa"/>
            <w:shd w:val="clear" w:color="auto" w:fill="44546A" w:themeFill="text2"/>
          </w:tcPr>
          <w:p w14:paraId="6A44AE95" w14:textId="77777777" w:rsidR="007B0AB7" w:rsidRPr="009813FF" w:rsidRDefault="007B0AB7" w:rsidP="007D412A">
            <w:pPr>
              <w:pStyle w:val="TableParagraph"/>
              <w:rPr>
                <w:highlight w:val="black"/>
              </w:rPr>
            </w:pPr>
          </w:p>
        </w:tc>
        <w:tc>
          <w:tcPr>
            <w:tcW w:w="567" w:type="dxa"/>
            <w:tcBorders>
              <w:bottom w:val="single" w:sz="4" w:space="0" w:color="000000"/>
            </w:tcBorders>
            <w:shd w:val="clear" w:color="auto" w:fill="44546A" w:themeFill="text2"/>
          </w:tcPr>
          <w:p w14:paraId="67EA7DE4" w14:textId="77777777" w:rsidR="007B0AB7" w:rsidRPr="009813FF" w:rsidRDefault="007B0AB7" w:rsidP="007D412A">
            <w:pPr>
              <w:pStyle w:val="TableParagraph"/>
            </w:pPr>
          </w:p>
        </w:tc>
        <w:tc>
          <w:tcPr>
            <w:tcW w:w="567" w:type="dxa"/>
            <w:tcBorders>
              <w:bottom w:val="single" w:sz="4" w:space="0" w:color="000000"/>
            </w:tcBorders>
            <w:shd w:val="clear" w:color="auto" w:fill="auto"/>
          </w:tcPr>
          <w:p w14:paraId="29EC8605" w14:textId="77777777" w:rsidR="007B0AB7" w:rsidRPr="009813FF" w:rsidRDefault="007B0AB7" w:rsidP="007D412A">
            <w:pPr>
              <w:pStyle w:val="TableParagraph"/>
            </w:pPr>
          </w:p>
        </w:tc>
        <w:tc>
          <w:tcPr>
            <w:tcW w:w="567" w:type="dxa"/>
            <w:shd w:val="clear" w:color="auto" w:fill="auto"/>
          </w:tcPr>
          <w:p w14:paraId="71DE40C2" w14:textId="77777777" w:rsidR="007B0AB7" w:rsidRPr="009813FF" w:rsidRDefault="007B0AB7" w:rsidP="007D412A">
            <w:pPr>
              <w:pStyle w:val="TableParagraph"/>
            </w:pPr>
          </w:p>
        </w:tc>
      </w:tr>
      <w:tr w:rsidR="007B0AB7" w:rsidRPr="0000403E" w14:paraId="50675311" w14:textId="77777777" w:rsidTr="007B0AB7">
        <w:trPr>
          <w:trHeight w:val="474"/>
        </w:trPr>
        <w:tc>
          <w:tcPr>
            <w:tcW w:w="3985" w:type="dxa"/>
            <w:vAlign w:val="center"/>
          </w:tcPr>
          <w:p w14:paraId="754BC9D6" w14:textId="77777777" w:rsidR="007B0AB7" w:rsidRDefault="007B0AB7" w:rsidP="007D412A">
            <w:pPr>
              <w:pStyle w:val="TableParagraph"/>
              <w:spacing w:line="230" w:lineRule="exact"/>
              <w:ind w:left="110" w:right="172"/>
              <w:jc w:val="right"/>
              <w:rPr>
                <w:spacing w:val="-2"/>
              </w:rPr>
            </w:pPr>
            <w:r>
              <w:rPr>
                <w:spacing w:val="-2"/>
              </w:rPr>
              <w:t>Data collection</w:t>
            </w:r>
          </w:p>
        </w:tc>
        <w:tc>
          <w:tcPr>
            <w:tcW w:w="567" w:type="dxa"/>
            <w:shd w:val="clear" w:color="auto" w:fill="auto"/>
          </w:tcPr>
          <w:p w14:paraId="778B0F4C" w14:textId="77777777" w:rsidR="007B0AB7" w:rsidRPr="009813FF" w:rsidRDefault="007B0AB7" w:rsidP="007D412A">
            <w:pPr>
              <w:pStyle w:val="TableParagraph"/>
              <w:rPr>
                <w:highlight w:val="black"/>
              </w:rPr>
            </w:pPr>
          </w:p>
        </w:tc>
        <w:tc>
          <w:tcPr>
            <w:tcW w:w="567" w:type="dxa"/>
            <w:shd w:val="clear" w:color="auto" w:fill="auto"/>
          </w:tcPr>
          <w:p w14:paraId="2CD6E0DB" w14:textId="77777777" w:rsidR="007B0AB7" w:rsidRPr="009813FF" w:rsidRDefault="007B0AB7" w:rsidP="007D412A">
            <w:pPr>
              <w:pStyle w:val="TableParagraph"/>
              <w:rPr>
                <w:highlight w:val="black"/>
              </w:rPr>
            </w:pPr>
          </w:p>
        </w:tc>
        <w:tc>
          <w:tcPr>
            <w:tcW w:w="567" w:type="dxa"/>
            <w:shd w:val="clear" w:color="auto" w:fill="auto"/>
          </w:tcPr>
          <w:p w14:paraId="4A7CE9FB" w14:textId="77777777" w:rsidR="007B0AB7" w:rsidRPr="009813FF" w:rsidRDefault="007B0AB7" w:rsidP="007D412A">
            <w:pPr>
              <w:pStyle w:val="TableParagraph"/>
              <w:rPr>
                <w:highlight w:val="black"/>
              </w:rPr>
            </w:pPr>
          </w:p>
        </w:tc>
        <w:tc>
          <w:tcPr>
            <w:tcW w:w="567" w:type="dxa"/>
            <w:shd w:val="clear" w:color="auto" w:fill="auto"/>
          </w:tcPr>
          <w:p w14:paraId="35291368" w14:textId="77777777" w:rsidR="007B0AB7" w:rsidRPr="009813FF" w:rsidRDefault="007B0AB7" w:rsidP="007D412A">
            <w:pPr>
              <w:pStyle w:val="TableParagraph"/>
              <w:rPr>
                <w:highlight w:val="black"/>
              </w:rPr>
            </w:pPr>
          </w:p>
        </w:tc>
        <w:tc>
          <w:tcPr>
            <w:tcW w:w="567" w:type="dxa"/>
            <w:shd w:val="clear" w:color="auto" w:fill="auto"/>
          </w:tcPr>
          <w:p w14:paraId="03DA52BA" w14:textId="77777777" w:rsidR="007B0AB7" w:rsidRPr="009813FF" w:rsidRDefault="007B0AB7" w:rsidP="007D412A">
            <w:pPr>
              <w:pStyle w:val="TableParagraph"/>
              <w:rPr>
                <w:highlight w:val="black"/>
              </w:rPr>
            </w:pPr>
          </w:p>
        </w:tc>
        <w:tc>
          <w:tcPr>
            <w:tcW w:w="567" w:type="dxa"/>
            <w:shd w:val="clear" w:color="auto" w:fill="auto"/>
          </w:tcPr>
          <w:p w14:paraId="69A46A28" w14:textId="77777777" w:rsidR="007B0AB7" w:rsidRPr="009813FF" w:rsidRDefault="007B0AB7" w:rsidP="007D412A">
            <w:pPr>
              <w:pStyle w:val="TableParagraph"/>
              <w:rPr>
                <w:highlight w:val="black"/>
              </w:rPr>
            </w:pPr>
          </w:p>
        </w:tc>
        <w:tc>
          <w:tcPr>
            <w:tcW w:w="567" w:type="dxa"/>
            <w:shd w:val="clear" w:color="auto" w:fill="44546A" w:themeFill="text2"/>
          </w:tcPr>
          <w:p w14:paraId="63897066" w14:textId="77777777" w:rsidR="007B0AB7" w:rsidRPr="007B0AB7" w:rsidRDefault="007B0AB7" w:rsidP="007D412A">
            <w:pPr>
              <w:pStyle w:val="TableParagraph"/>
            </w:pPr>
          </w:p>
        </w:tc>
        <w:tc>
          <w:tcPr>
            <w:tcW w:w="567" w:type="dxa"/>
            <w:tcBorders>
              <w:bottom w:val="single" w:sz="4" w:space="0" w:color="000000"/>
            </w:tcBorders>
            <w:shd w:val="clear" w:color="auto" w:fill="44546A" w:themeFill="text2"/>
          </w:tcPr>
          <w:p w14:paraId="2AA9DA2A" w14:textId="77777777" w:rsidR="007B0AB7" w:rsidRPr="007B0AB7" w:rsidRDefault="007B0AB7" w:rsidP="007D412A">
            <w:pPr>
              <w:pStyle w:val="TableParagraph"/>
            </w:pPr>
          </w:p>
        </w:tc>
        <w:tc>
          <w:tcPr>
            <w:tcW w:w="567" w:type="dxa"/>
            <w:shd w:val="clear" w:color="auto" w:fill="auto"/>
          </w:tcPr>
          <w:p w14:paraId="51234051" w14:textId="77777777" w:rsidR="007B0AB7" w:rsidRPr="009813FF" w:rsidRDefault="007B0AB7" w:rsidP="007D412A">
            <w:pPr>
              <w:pStyle w:val="TableParagraph"/>
            </w:pPr>
          </w:p>
        </w:tc>
      </w:tr>
      <w:tr w:rsidR="007B0AB7" w:rsidRPr="0000403E" w14:paraId="0B6360F7" w14:textId="77777777" w:rsidTr="007B0AB7">
        <w:trPr>
          <w:trHeight w:val="474"/>
        </w:trPr>
        <w:tc>
          <w:tcPr>
            <w:tcW w:w="3985" w:type="dxa"/>
            <w:vAlign w:val="center"/>
          </w:tcPr>
          <w:p w14:paraId="26EAA5BE" w14:textId="77777777" w:rsidR="007B0AB7" w:rsidRDefault="007B0AB7" w:rsidP="007D412A">
            <w:pPr>
              <w:pStyle w:val="TableParagraph"/>
              <w:spacing w:line="230" w:lineRule="exact"/>
              <w:ind w:left="110" w:right="172"/>
              <w:jc w:val="right"/>
              <w:rPr>
                <w:spacing w:val="-2"/>
              </w:rPr>
            </w:pPr>
            <w:r>
              <w:rPr>
                <w:spacing w:val="-2"/>
              </w:rPr>
              <w:t>Data analysis</w:t>
            </w:r>
          </w:p>
        </w:tc>
        <w:tc>
          <w:tcPr>
            <w:tcW w:w="567" w:type="dxa"/>
            <w:shd w:val="clear" w:color="auto" w:fill="auto"/>
          </w:tcPr>
          <w:p w14:paraId="12E53973" w14:textId="77777777" w:rsidR="007B0AB7" w:rsidRPr="009813FF" w:rsidRDefault="007B0AB7" w:rsidP="007D412A">
            <w:pPr>
              <w:pStyle w:val="TableParagraph"/>
              <w:rPr>
                <w:highlight w:val="black"/>
              </w:rPr>
            </w:pPr>
          </w:p>
        </w:tc>
        <w:tc>
          <w:tcPr>
            <w:tcW w:w="567" w:type="dxa"/>
            <w:shd w:val="clear" w:color="auto" w:fill="auto"/>
          </w:tcPr>
          <w:p w14:paraId="7ED9B8EE" w14:textId="77777777" w:rsidR="007B0AB7" w:rsidRPr="009813FF" w:rsidRDefault="007B0AB7" w:rsidP="007D412A">
            <w:pPr>
              <w:pStyle w:val="TableParagraph"/>
              <w:rPr>
                <w:highlight w:val="black"/>
              </w:rPr>
            </w:pPr>
          </w:p>
        </w:tc>
        <w:tc>
          <w:tcPr>
            <w:tcW w:w="567" w:type="dxa"/>
            <w:shd w:val="clear" w:color="auto" w:fill="auto"/>
          </w:tcPr>
          <w:p w14:paraId="01987F98" w14:textId="77777777" w:rsidR="007B0AB7" w:rsidRPr="009813FF" w:rsidRDefault="007B0AB7" w:rsidP="007D412A">
            <w:pPr>
              <w:pStyle w:val="TableParagraph"/>
              <w:rPr>
                <w:highlight w:val="black"/>
              </w:rPr>
            </w:pPr>
          </w:p>
        </w:tc>
        <w:tc>
          <w:tcPr>
            <w:tcW w:w="567" w:type="dxa"/>
            <w:shd w:val="clear" w:color="auto" w:fill="auto"/>
          </w:tcPr>
          <w:p w14:paraId="5263AABB" w14:textId="77777777" w:rsidR="007B0AB7" w:rsidRPr="009813FF" w:rsidRDefault="007B0AB7" w:rsidP="007D412A">
            <w:pPr>
              <w:pStyle w:val="TableParagraph"/>
              <w:rPr>
                <w:highlight w:val="black"/>
              </w:rPr>
            </w:pPr>
          </w:p>
        </w:tc>
        <w:tc>
          <w:tcPr>
            <w:tcW w:w="567" w:type="dxa"/>
            <w:shd w:val="clear" w:color="auto" w:fill="auto"/>
          </w:tcPr>
          <w:p w14:paraId="5499B0D5" w14:textId="77777777" w:rsidR="007B0AB7" w:rsidRPr="009813FF" w:rsidRDefault="007B0AB7" w:rsidP="007D412A">
            <w:pPr>
              <w:pStyle w:val="TableParagraph"/>
              <w:rPr>
                <w:highlight w:val="black"/>
              </w:rPr>
            </w:pPr>
          </w:p>
        </w:tc>
        <w:tc>
          <w:tcPr>
            <w:tcW w:w="567" w:type="dxa"/>
            <w:shd w:val="clear" w:color="auto" w:fill="auto"/>
          </w:tcPr>
          <w:p w14:paraId="2721CC13" w14:textId="77777777" w:rsidR="007B0AB7" w:rsidRPr="009813FF" w:rsidRDefault="007B0AB7" w:rsidP="007D412A">
            <w:pPr>
              <w:pStyle w:val="TableParagraph"/>
              <w:rPr>
                <w:highlight w:val="black"/>
              </w:rPr>
            </w:pPr>
          </w:p>
        </w:tc>
        <w:tc>
          <w:tcPr>
            <w:tcW w:w="567" w:type="dxa"/>
            <w:shd w:val="clear" w:color="auto" w:fill="auto"/>
          </w:tcPr>
          <w:p w14:paraId="569EAF92" w14:textId="77777777" w:rsidR="007B0AB7" w:rsidRPr="009813FF" w:rsidRDefault="007B0AB7" w:rsidP="007D412A">
            <w:pPr>
              <w:pStyle w:val="TableParagraph"/>
            </w:pPr>
          </w:p>
        </w:tc>
        <w:tc>
          <w:tcPr>
            <w:tcW w:w="567" w:type="dxa"/>
            <w:shd w:val="clear" w:color="auto" w:fill="44546A" w:themeFill="text2"/>
          </w:tcPr>
          <w:p w14:paraId="20C2567F" w14:textId="77777777" w:rsidR="007B0AB7" w:rsidRPr="009813FF" w:rsidRDefault="007B0AB7" w:rsidP="007D412A">
            <w:pPr>
              <w:pStyle w:val="TableParagraph"/>
            </w:pPr>
          </w:p>
        </w:tc>
        <w:tc>
          <w:tcPr>
            <w:tcW w:w="567" w:type="dxa"/>
            <w:tcBorders>
              <w:bottom w:val="single" w:sz="4" w:space="0" w:color="000000"/>
            </w:tcBorders>
            <w:shd w:val="clear" w:color="auto" w:fill="auto"/>
          </w:tcPr>
          <w:p w14:paraId="5A7D1389" w14:textId="77777777" w:rsidR="007B0AB7" w:rsidRPr="009813FF" w:rsidRDefault="007B0AB7" w:rsidP="007D412A">
            <w:pPr>
              <w:pStyle w:val="TableParagraph"/>
            </w:pPr>
          </w:p>
        </w:tc>
      </w:tr>
      <w:tr w:rsidR="007B0AB7" w:rsidRPr="0000403E" w14:paraId="5A276E39" w14:textId="77777777" w:rsidTr="007B0AB7">
        <w:trPr>
          <w:trHeight w:val="474"/>
        </w:trPr>
        <w:tc>
          <w:tcPr>
            <w:tcW w:w="3985" w:type="dxa"/>
            <w:vAlign w:val="center"/>
          </w:tcPr>
          <w:p w14:paraId="7E8B904F" w14:textId="77777777" w:rsidR="007B0AB7" w:rsidRDefault="007B0AB7" w:rsidP="007D412A">
            <w:pPr>
              <w:pStyle w:val="TableParagraph"/>
              <w:spacing w:line="230" w:lineRule="exact"/>
              <w:ind w:left="110" w:right="172"/>
              <w:jc w:val="right"/>
              <w:rPr>
                <w:spacing w:val="-2"/>
              </w:rPr>
            </w:pPr>
            <w:r>
              <w:rPr>
                <w:spacing w:val="-2"/>
              </w:rPr>
              <w:t>Manuscript writing</w:t>
            </w:r>
          </w:p>
        </w:tc>
        <w:tc>
          <w:tcPr>
            <w:tcW w:w="567" w:type="dxa"/>
            <w:shd w:val="clear" w:color="auto" w:fill="auto"/>
          </w:tcPr>
          <w:p w14:paraId="4B2C29D3" w14:textId="77777777" w:rsidR="007B0AB7" w:rsidRPr="009813FF" w:rsidRDefault="007B0AB7" w:rsidP="007D412A">
            <w:pPr>
              <w:pStyle w:val="TableParagraph"/>
              <w:rPr>
                <w:highlight w:val="black"/>
              </w:rPr>
            </w:pPr>
          </w:p>
        </w:tc>
        <w:tc>
          <w:tcPr>
            <w:tcW w:w="567" w:type="dxa"/>
            <w:shd w:val="clear" w:color="auto" w:fill="auto"/>
          </w:tcPr>
          <w:p w14:paraId="784D588B" w14:textId="77777777" w:rsidR="007B0AB7" w:rsidRPr="009813FF" w:rsidRDefault="007B0AB7" w:rsidP="007D412A">
            <w:pPr>
              <w:pStyle w:val="TableParagraph"/>
              <w:rPr>
                <w:highlight w:val="black"/>
              </w:rPr>
            </w:pPr>
          </w:p>
        </w:tc>
        <w:tc>
          <w:tcPr>
            <w:tcW w:w="567" w:type="dxa"/>
            <w:shd w:val="clear" w:color="auto" w:fill="auto"/>
          </w:tcPr>
          <w:p w14:paraId="4A4AC4FB" w14:textId="77777777" w:rsidR="007B0AB7" w:rsidRPr="009813FF" w:rsidRDefault="007B0AB7" w:rsidP="007D412A">
            <w:pPr>
              <w:pStyle w:val="TableParagraph"/>
              <w:rPr>
                <w:highlight w:val="black"/>
              </w:rPr>
            </w:pPr>
          </w:p>
        </w:tc>
        <w:tc>
          <w:tcPr>
            <w:tcW w:w="567" w:type="dxa"/>
            <w:shd w:val="clear" w:color="auto" w:fill="auto"/>
          </w:tcPr>
          <w:p w14:paraId="3173AE05" w14:textId="77777777" w:rsidR="007B0AB7" w:rsidRPr="009813FF" w:rsidRDefault="007B0AB7" w:rsidP="007D412A">
            <w:pPr>
              <w:pStyle w:val="TableParagraph"/>
              <w:rPr>
                <w:highlight w:val="black"/>
              </w:rPr>
            </w:pPr>
          </w:p>
        </w:tc>
        <w:tc>
          <w:tcPr>
            <w:tcW w:w="567" w:type="dxa"/>
            <w:shd w:val="clear" w:color="auto" w:fill="auto"/>
          </w:tcPr>
          <w:p w14:paraId="3DE7D1AE" w14:textId="77777777" w:rsidR="007B0AB7" w:rsidRPr="009813FF" w:rsidRDefault="007B0AB7" w:rsidP="007D412A">
            <w:pPr>
              <w:pStyle w:val="TableParagraph"/>
              <w:rPr>
                <w:highlight w:val="black"/>
              </w:rPr>
            </w:pPr>
          </w:p>
        </w:tc>
        <w:tc>
          <w:tcPr>
            <w:tcW w:w="567" w:type="dxa"/>
            <w:shd w:val="clear" w:color="auto" w:fill="auto"/>
          </w:tcPr>
          <w:p w14:paraId="0163CE37" w14:textId="77777777" w:rsidR="007B0AB7" w:rsidRPr="009813FF" w:rsidRDefault="007B0AB7" w:rsidP="007D412A">
            <w:pPr>
              <w:pStyle w:val="TableParagraph"/>
              <w:rPr>
                <w:highlight w:val="black"/>
              </w:rPr>
            </w:pPr>
          </w:p>
        </w:tc>
        <w:tc>
          <w:tcPr>
            <w:tcW w:w="567" w:type="dxa"/>
            <w:shd w:val="clear" w:color="auto" w:fill="auto"/>
          </w:tcPr>
          <w:p w14:paraId="6CEACAD3" w14:textId="77777777" w:rsidR="007B0AB7" w:rsidRPr="009813FF" w:rsidRDefault="007B0AB7" w:rsidP="007D412A">
            <w:pPr>
              <w:pStyle w:val="TableParagraph"/>
            </w:pPr>
          </w:p>
        </w:tc>
        <w:tc>
          <w:tcPr>
            <w:tcW w:w="567" w:type="dxa"/>
            <w:shd w:val="clear" w:color="auto" w:fill="44546A" w:themeFill="text2"/>
          </w:tcPr>
          <w:p w14:paraId="0673FF5C" w14:textId="77777777" w:rsidR="007B0AB7" w:rsidRPr="009813FF" w:rsidRDefault="007B0AB7" w:rsidP="007D412A">
            <w:pPr>
              <w:pStyle w:val="TableParagraph"/>
            </w:pPr>
          </w:p>
        </w:tc>
        <w:tc>
          <w:tcPr>
            <w:tcW w:w="567" w:type="dxa"/>
            <w:shd w:val="clear" w:color="auto" w:fill="44546A" w:themeFill="text2"/>
          </w:tcPr>
          <w:p w14:paraId="2B183148" w14:textId="77777777" w:rsidR="007B0AB7" w:rsidRPr="009813FF" w:rsidRDefault="007B0AB7" w:rsidP="007D412A">
            <w:pPr>
              <w:pStyle w:val="TableParagraph"/>
            </w:pPr>
          </w:p>
        </w:tc>
      </w:tr>
      <w:tr w:rsidR="007B0AB7" w:rsidRPr="0000403E" w14:paraId="3CC92478" w14:textId="77777777" w:rsidTr="007B0AB7">
        <w:trPr>
          <w:trHeight w:val="474"/>
        </w:trPr>
        <w:tc>
          <w:tcPr>
            <w:tcW w:w="3985" w:type="dxa"/>
            <w:vAlign w:val="center"/>
          </w:tcPr>
          <w:p w14:paraId="35BC5D18" w14:textId="77777777" w:rsidR="007B0AB7" w:rsidRDefault="007B0AB7" w:rsidP="007D412A">
            <w:pPr>
              <w:pStyle w:val="TableParagraph"/>
              <w:spacing w:line="230" w:lineRule="exact"/>
              <w:ind w:left="110" w:right="172"/>
              <w:jc w:val="right"/>
              <w:rPr>
                <w:spacing w:val="-2"/>
              </w:rPr>
            </w:pPr>
            <w:r>
              <w:rPr>
                <w:spacing w:val="-2"/>
              </w:rPr>
              <w:t>Review and revision</w:t>
            </w:r>
          </w:p>
        </w:tc>
        <w:tc>
          <w:tcPr>
            <w:tcW w:w="567" w:type="dxa"/>
            <w:shd w:val="clear" w:color="auto" w:fill="auto"/>
          </w:tcPr>
          <w:p w14:paraId="164C3A23" w14:textId="77777777" w:rsidR="007B0AB7" w:rsidRPr="009813FF" w:rsidRDefault="007B0AB7" w:rsidP="007D412A">
            <w:pPr>
              <w:pStyle w:val="TableParagraph"/>
              <w:rPr>
                <w:highlight w:val="black"/>
              </w:rPr>
            </w:pPr>
          </w:p>
        </w:tc>
        <w:tc>
          <w:tcPr>
            <w:tcW w:w="567" w:type="dxa"/>
            <w:shd w:val="clear" w:color="auto" w:fill="auto"/>
          </w:tcPr>
          <w:p w14:paraId="055F1115" w14:textId="77777777" w:rsidR="007B0AB7" w:rsidRPr="009813FF" w:rsidRDefault="007B0AB7" w:rsidP="007D412A">
            <w:pPr>
              <w:pStyle w:val="TableParagraph"/>
              <w:rPr>
                <w:highlight w:val="black"/>
              </w:rPr>
            </w:pPr>
          </w:p>
        </w:tc>
        <w:tc>
          <w:tcPr>
            <w:tcW w:w="567" w:type="dxa"/>
            <w:shd w:val="clear" w:color="auto" w:fill="auto"/>
          </w:tcPr>
          <w:p w14:paraId="2B1F073B" w14:textId="77777777" w:rsidR="007B0AB7" w:rsidRPr="009813FF" w:rsidRDefault="007B0AB7" w:rsidP="007D412A">
            <w:pPr>
              <w:pStyle w:val="TableParagraph"/>
              <w:rPr>
                <w:highlight w:val="black"/>
              </w:rPr>
            </w:pPr>
          </w:p>
        </w:tc>
        <w:tc>
          <w:tcPr>
            <w:tcW w:w="567" w:type="dxa"/>
            <w:shd w:val="clear" w:color="auto" w:fill="auto"/>
          </w:tcPr>
          <w:p w14:paraId="6065298A" w14:textId="77777777" w:rsidR="007B0AB7" w:rsidRPr="009813FF" w:rsidRDefault="007B0AB7" w:rsidP="007D412A">
            <w:pPr>
              <w:pStyle w:val="TableParagraph"/>
              <w:rPr>
                <w:highlight w:val="black"/>
              </w:rPr>
            </w:pPr>
          </w:p>
        </w:tc>
        <w:tc>
          <w:tcPr>
            <w:tcW w:w="567" w:type="dxa"/>
            <w:shd w:val="clear" w:color="auto" w:fill="auto"/>
          </w:tcPr>
          <w:p w14:paraId="23F77B6F" w14:textId="77777777" w:rsidR="007B0AB7" w:rsidRPr="009813FF" w:rsidRDefault="007B0AB7" w:rsidP="007D412A">
            <w:pPr>
              <w:pStyle w:val="TableParagraph"/>
              <w:rPr>
                <w:highlight w:val="black"/>
              </w:rPr>
            </w:pPr>
          </w:p>
        </w:tc>
        <w:tc>
          <w:tcPr>
            <w:tcW w:w="567" w:type="dxa"/>
            <w:shd w:val="clear" w:color="auto" w:fill="auto"/>
          </w:tcPr>
          <w:p w14:paraId="6847252B" w14:textId="77777777" w:rsidR="007B0AB7" w:rsidRPr="009813FF" w:rsidRDefault="007B0AB7" w:rsidP="007D412A">
            <w:pPr>
              <w:pStyle w:val="TableParagraph"/>
              <w:rPr>
                <w:highlight w:val="black"/>
              </w:rPr>
            </w:pPr>
          </w:p>
        </w:tc>
        <w:tc>
          <w:tcPr>
            <w:tcW w:w="567" w:type="dxa"/>
            <w:shd w:val="clear" w:color="auto" w:fill="auto"/>
          </w:tcPr>
          <w:p w14:paraId="0C69C647" w14:textId="77777777" w:rsidR="007B0AB7" w:rsidRPr="009813FF" w:rsidRDefault="007B0AB7" w:rsidP="007D412A">
            <w:pPr>
              <w:pStyle w:val="TableParagraph"/>
            </w:pPr>
          </w:p>
        </w:tc>
        <w:tc>
          <w:tcPr>
            <w:tcW w:w="567" w:type="dxa"/>
            <w:shd w:val="clear" w:color="auto" w:fill="auto"/>
          </w:tcPr>
          <w:p w14:paraId="50E85B99" w14:textId="77777777" w:rsidR="007B0AB7" w:rsidRPr="009813FF" w:rsidRDefault="007B0AB7" w:rsidP="007D412A">
            <w:pPr>
              <w:pStyle w:val="TableParagraph"/>
            </w:pPr>
          </w:p>
        </w:tc>
        <w:tc>
          <w:tcPr>
            <w:tcW w:w="567" w:type="dxa"/>
            <w:shd w:val="clear" w:color="auto" w:fill="44546A" w:themeFill="text2"/>
          </w:tcPr>
          <w:p w14:paraId="7D0ED332" w14:textId="77777777" w:rsidR="007B0AB7" w:rsidRPr="009813FF" w:rsidRDefault="007B0AB7" w:rsidP="007D412A">
            <w:pPr>
              <w:pStyle w:val="TableParagraph"/>
            </w:pPr>
          </w:p>
        </w:tc>
      </w:tr>
      <w:tr w:rsidR="007B0AB7" w:rsidRPr="0000403E" w14:paraId="6029DD22" w14:textId="77777777" w:rsidTr="007B0AB7">
        <w:trPr>
          <w:trHeight w:val="474"/>
        </w:trPr>
        <w:tc>
          <w:tcPr>
            <w:tcW w:w="3985" w:type="dxa"/>
            <w:vAlign w:val="center"/>
          </w:tcPr>
          <w:p w14:paraId="0B88DA73" w14:textId="77777777" w:rsidR="007B0AB7" w:rsidRDefault="007B0AB7" w:rsidP="007D412A">
            <w:pPr>
              <w:pStyle w:val="TableParagraph"/>
              <w:spacing w:line="230" w:lineRule="exact"/>
              <w:ind w:left="110" w:right="172"/>
              <w:jc w:val="right"/>
              <w:rPr>
                <w:spacing w:val="-2"/>
              </w:rPr>
            </w:pPr>
            <w:r>
              <w:rPr>
                <w:spacing w:val="-2"/>
              </w:rPr>
              <w:t>Finalization and submission the study</w:t>
            </w:r>
          </w:p>
        </w:tc>
        <w:tc>
          <w:tcPr>
            <w:tcW w:w="567" w:type="dxa"/>
            <w:shd w:val="clear" w:color="auto" w:fill="auto"/>
          </w:tcPr>
          <w:p w14:paraId="1C3132DD" w14:textId="77777777" w:rsidR="007B0AB7" w:rsidRPr="009813FF" w:rsidRDefault="007B0AB7" w:rsidP="007D412A">
            <w:pPr>
              <w:pStyle w:val="TableParagraph"/>
              <w:rPr>
                <w:highlight w:val="black"/>
              </w:rPr>
            </w:pPr>
          </w:p>
        </w:tc>
        <w:tc>
          <w:tcPr>
            <w:tcW w:w="567" w:type="dxa"/>
            <w:shd w:val="clear" w:color="auto" w:fill="auto"/>
          </w:tcPr>
          <w:p w14:paraId="26790DE5" w14:textId="77777777" w:rsidR="007B0AB7" w:rsidRPr="009813FF" w:rsidRDefault="007B0AB7" w:rsidP="007D412A">
            <w:pPr>
              <w:pStyle w:val="TableParagraph"/>
              <w:rPr>
                <w:highlight w:val="black"/>
              </w:rPr>
            </w:pPr>
          </w:p>
        </w:tc>
        <w:tc>
          <w:tcPr>
            <w:tcW w:w="567" w:type="dxa"/>
            <w:shd w:val="clear" w:color="auto" w:fill="auto"/>
          </w:tcPr>
          <w:p w14:paraId="0D16DA38" w14:textId="77777777" w:rsidR="007B0AB7" w:rsidRPr="009813FF" w:rsidRDefault="007B0AB7" w:rsidP="007D412A">
            <w:pPr>
              <w:pStyle w:val="TableParagraph"/>
              <w:rPr>
                <w:highlight w:val="black"/>
              </w:rPr>
            </w:pPr>
          </w:p>
        </w:tc>
        <w:tc>
          <w:tcPr>
            <w:tcW w:w="567" w:type="dxa"/>
            <w:shd w:val="clear" w:color="auto" w:fill="auto"/>
          </w:tcPr>
          <w:p w14:paraId="40BE4985" w14:textId="77777777" w:rsidR="007B0AB7" w:rsidRPr="009813FF" w:rsidRDefault="007B0AB7" w:rsidP="007D412A">
            <w:pPr>
              <w:pStyle w:val="TableParagraph"/>
              <w:rPr>
                <w:highlight w:val="black"/>
              </w:rPr>
            </w:pPr>
          </w:p>
        </w:tc>
        <w:tc>
          <w:tcPr>
            <w:tcW w:w="567" w:type="dxa"/>
            <w:shd w:val="clear" w:color="auto" w:fill="auto"/>
          </w:tcPr>
          <w:p w14:paraId="5F174F7A" w14:textId="77777777" w:rsidR="007B0AB7" w:rsidRPr="009813FF" w:rsidRDefault="007B0AB7" w:rsidP="007D412A">
            <w:pPr>
              <w:pStyle w:val="TableParagraph"/>
              <w:rPr>
                <w:highlight w:val="black"/>
              </w:rPr>
            </w:pPr>
          </w:p>
        </w:tc>
        <w:tc>
          <w:tcPr>
            <w:tcW w:w="567" w:type="dxa"/>
            <w:shd w:val="clear" w:color="auto" w:fill="auto"/>
          </w:tcPr>
          <w:p w14:paraId="1C50E532" w14:textId="77777777" w:rsidR="007B0AB7" w:rsidRPr="009813FF" w:rsidRDefault="007B0AB7" w:rsidP="007D412A">
            <w:pPr>
              <w:pStyle w:val="TableParagraph"/>
              <w:rPr>
                <w:highlight w:val="black"/>
              </w:rPr>
            </w:pPr>
          </w:p>
        </w:tc>
        <w:tc>
          <w:tcPr>
            <w:tcW w:w="567" w:type="dxa"/>
            <w:shd w:val="clear" w:color="auto" w:fill="auto"/>
          </w:tcPr>
          <w:p w14:paraId="66757BE3" w14:textId="77777777" w:rsidR="007B0AB7" w:rsidRPr="009813FF" w:rsidRDefault="007B0AB7" w:rsidP="007D412A">
            <w:pPr>
              <w:pStyle w:val="TableParagraph"/>
            </w:pPr>
          </w:p>
        </w:tc>
        <w:tc>
          <w:tcPr>
            <w:tcW w:w="567" w:type="dxa"/>
            <w:shd w:val="clear" w:color="auto" w:fill="auto"/>
          </w:tcPr>
          <w:p w14:paraId="441EB3AB" w14:textId="77777777" w:rsidR="007B0AB7" w:rsidRPr="009813FF" w:rsidRDefault="007B0AB7" w:rsidP="007D412A">
            <w:pPr>
              <w:pStyle w:val="TableParagraph"/>
            </w:pPr>
          </w:p>
        </w:tc>
        <w:tc>
          <w:tcPr>
            <w:tcW w:w="567" w:type="dxa"/>
            <w:shd w:val="clear" w:color="auto" w:fill="44546A" w:themeFill="text2"/>
          </w:tcPr>
          <w:p w14:paraId="68DF78CA" w14:textId="77777777" w:rsidR="007B0AB7" w:rsidRPr="009813FF" w:rsidRDefault="007B0AB7" w:rsidP="007D412A">
            <w:pPr>
              <w:pStyle w:val="TableParagraph"/>
            </w:pPr>
          </w:p>
        </w:tc>
      </w:tr>
    </w:tbl>
    <w:p w14:paraId="411555F1" w14:textId="77777777" w:rsidR="007B0AB7" w:rsidRDefault="007B0AB7" w:rsidP="007B0AB7">
      <w:pPr>
        <w:pStyle w:val="BodyText"/>
        <w:spacing w:line="480" w:lineRule="auto"/>
        <w:ind w:right="4"/>
        <w:jc w:val="both"/>
        <w:rPr>
          <w:b/>
          <w:bCs/>
          <w:color w:val="0D0D0D"/>
          <w:spacing w:val="-2"/>
        </w:rPr>
      </w:pPr>
    </w:p>
    <w:p w14:paraId="6A8ECA4D" w14:textId="77777777" w:rsidR="007B0AB7" w:rsidRPr="00156E7A" w:rsidRDefault="007B0AB7" w:rsidP="007B0AB7">
      <w:pPr>
        <w:pStyle w:val="BodyText"/>
        <w:spacing w:line="480" w:lineRule="auto"/>
        <w:ind w:right="4"/>
        <w:jc w:val="both"/>
        <w:rPr>
          <w:b/>
          <w:bCs/>
          <w:color w:val="0D0D0D"/>
          <w:spacing w:val="-2"/>
        </w:rPr>
      </w:pPr>
      <w:r w:rsidRPr="00820A6A">
        <w:rPr>
          <w:b/>
          <w:bCs/>
          <w:color w:val="0D0D0D"/>
          <w:spacing w:val="-2"/>
        </w:rPr>
        <w:t>Study Budget</w:t>
      </w:r>
    </w:p>
    <w:p w14:paraId="02F3DE51" w14:textId="77777777" w:rsidR="007B0AB7" w:rsidRDefault="007B0AB7" w:rsidP="007B0AB7">
      <w:pPr>
        <w:pStyle w:val="BodyText"/>
        <w:spacing w:line="480" w:lineRule="auto"/>
        <w:ind w:right="4" w:firstLine="720"/>
        <w:jc w:val="both"/>
      </w:pPr>
      <w:r w:rsidRPr="00820A6A">
        <w:t xml:space="preserve">Funding of the study will mainly be out-of-pocket from the principal investigator: </w:t>
      </w:r>
    </w:p>
    <w:tbl>
      <w:tblPr>
        <w:tblW w:w="7230"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85"/>
        <w:gridCol w:w="3245"/>
      </w:tblGrid>
      <w:tr w:rsidR="007B0AB7" w:rsidRPr="009813FF" w14:paraId="586521F8" w14:textId="77777777" w:rsidTr="007D412A">
        <w:trPr>
          <w:trHeight w:val="474"/>
        </w:trPr>
        <w:tc>
          <w:tcPr>
            <w:tcW w:w="3985" w:type="dxa"/>
            <w:vAlign w:val="center"/>
          </w:tcPr>
          <w:p w14:paraId="60A483F1" w14:textId="77777777" w:rsidR="007B0AB7" w:rsidRPr="00156E7A" w:rsidRDefault="007B0AB7" w:rsidP="007D412A">
            <w:pPr>
              <w:pStyle w:val="TableParagraph"/>
              <w:spacing w:line="230" w:lineRule="exact"/>
              <w:ind w:left="110" w:right="172"/>
              <w:rPr>
                <w:b/>
                <w:bCs/>
              </w:rPr>
            </w:pPr>
            <w:r>
              <w:rPr>
                <w:b/>
                <w:bCs/>
                <w:spacing w:val="-2"/>
              </w:rPr>
              <w:t>ITEM</w:t>
            </w:r>
          </w:p>
        </w:tc>
        <w:tc>
          <w:tcPr>
            <w:tcW w:w="3245" w:type="dxa"/>
            <w:vAlign w:val="center"/>
          </w:tcPr>
          <w:p w14:paraId="2266AF70" w14:textId="77777777" w:rsidR="007B0AB7" w:rsidRPr="00210B4E" w:rsidRDefault="007B0AB7" w:rsidP="007D412A">
            <w:pPr>
              <w:pStyle w:val="TableParagraph"/>
              <w:spacing w:line="230" w:lineRule="exact"/>
              <w:ind w:left="110" w:right="172"/>
              <w:rPr>
                <w:b/>
                <w:bCs/>
                <w:spacing w:val="-2"/>
              </w:rPr>
            </w:pPr>
            <w:r w:rsidRPr="00210B4E">
              <w:rPr>
                <w:b/>
                <w:bCs/>
                <w:color w:val="0D0D0D"/>
                <w:spacing w:val="-2"/>
              </w:rPr>
              <w:t>Total (PHP) in 9 month(s)</w:t>
            </w:r>
          </w:p>
        </w:tc>
      </w:tr>
      <w:tr w:rsidR="007B0AB7" w14:paraId="5DE2BF9A" w14:textId="77777777" w:rsidTr="007D412A">
        <w:trPr>
          <w:trHeight w:val="707"/>
        </w:trPr>
        <w:tc>
          <w:tcPr>
            <w:tcW w:w="3985" w:type="dxa"/>
            <w:vAlign w:val="center"/>
          </w:tcPr>
          <w:p w14:paraId="3AD50F78" w14:textId="77777777" w:rsidR="007B0AB7" w:rsidRPr="00210B4E" w:rsidRDefault="007B0AB7" w:rsidP="007D412A">
            <w:pPr>
              <w:pStyle w:val="TableParagraph"/>
              <w:spacing w:line="230" w:lineRule="exact"/>
              <w:ind w:left="110" w:right="172"/>
              <w:rPr>
                <w:spacing w:val="-2"/>
              </w:rPr>
            </w:pPr>
            <w:r w:rsidRPr="00210B4E">
              <w:rPr>
                <w:spacing w:val="-2"/>
              </w:rPr>
              <w:t>Personnel and Services</w:t>
            </w:r>
          </w:p>
          <w:p w14:paraId="1ABF4969" w14:textId="77777777" w:rsidR="007B0AB7" w:rsidRPr="00210B4E" w:rsidRDefault="007B0AB7" w:rsidP="007D412A">
            <w:pPr>
              <w:pStyle w:val="TableParagraph"/>
              <w:spacing w:line="230" w:lineRule="exact"/>
              <w:ind w:left="110" w:right="172"/>
              <w:rPr>
                <w:i/>
                <w:iCs/>
                <w:spacing w:val="-2"/>
              </w:rPr>
            </w:pPr>
            <w:r w:rsidRPr="00210B4E">
              <w:rPr>
                <w:i/>
                <w:iCs/>
                <w:spacing w:val="-2"/>
              </w:rPr>
              <w:t>Statistician</w:t>
            </w:r>
          </w:p>
        </w:tc>
        <w:tc>
          <w:tcPr>
            <w:tcW w:w="3245" w:type="dxa"/>
            <w:vAlign w:val="center"/>
          </w:tcPr>
          <w:p w14:paraId="376FFA51" w14:textId="77777777" w:rsidR="007B0AB7" w:rsidRDefault="007B0AB7" w:rsidP="007D412A">
            <w:pPr>
              <w:pStyle w:val="TableParagraph"/>
              <w:spacing w:line="230" w:lineRule="exact"/>
              <w:ind w:left="110" w:right="699"/>
              <w:jc w:val="right"/>
              <w:rPr>
                <w:spacing w:val="-2"/>
              </w:rPr>
            </w:pPr>
            <w:r>
              <w:rPr>
                <w:spacing w:val="-2"/>
              </w:rPr>
              <w:t>15,000.00</w:t>
            </w:r>
          </w:p>
        </w:tc>
      </w:tr>
      <w:tr w:rsidR="007B0AB7" w14:paraId="3146ED8D" w14:textId="77777777" w:rsidTr="007D412A">
        <w:trPr>
          <w:trHeight w:val="1002"/>
        </w:trPr>
        <w:tc>
          <w:tcPr>
            <w:tcW w:w="3985" w:type="dxa"/>
            <w:vAlign w:val="center"/>
          </w:tcPr>
          <w:p w14:paraId="5EDD7067" w14:textId="77777777" w:rsidR="007B0AB7" w:rsidRPr="00210B4E" w:rsidRDefault="007B0AB7" w:rsidP="007D412A">
            <w:pPr>
              <w:pStyle w:val="TableParagraph"/>
              <w:spacing w:line="230" w:lineRule="exact"/>
              <w:ind w:left="110" w:right="172"/>
              <w:rPr>
                <w:spacing w:val="-2"/>
              </w:rPr>
            </w:pPr>
            <w:r>
              <w:rPr>
                <w:spacing w:val="-2"/>
              </w:rPr>
              <w:t>Data collection form and other office supplies</w:t>
            </w:r>
            <w:r w:rsidRPr="00210B4E">
              <w:rPr>
                <w:spacing w:val="-2"/>
              </w:rPr>
              <w:tab/>
            </w:r>
          </w:p>
        </w:tc>
        <w:tc>
          <w:tcPr>
            <w:tcW w:w="3245" w:type="dxa"/>
            <w:vAlign w:val="center"/>
          </w:tcPr>
          <w:p w14:paraId="702E0A1D" w14:textId="77777777" w:rsidR="007B0AB7" w:rsidRDefault="007B0AB7" w:rsidP="007D412A">
            <w:pPr>
              <w:pStyle w:val="TableParagraph"/>
              <w:spacing w:line="230" w:lineRule="exact"/>
              <w:ind w:left="110" w:right="699"/>
              <w:jc w:val="right"/>
              <w:rPr>
                <w:spacing w:val="-2"/>
              </w:rPr>
            </w:pPr>
            <w:r>
              <w:rPr>
                <w:spacing w:val="-2"/>
              </w:rPr>
              <w:t>3,000.00</w:t>
            </w:r>
          </w:p>
        </w:tc>
      </w:tr>
      <w:tr w:rsidR="007B0AB7" w14:paraId="700A0F7E" w14:textId="77777777" w:rsidTr="007D412A">
        <w:trPr>
          <w:trHeight w:val="832"/>
        </w:trPr>
        <w:tc>
          <w:tcPr>
            <w:tcW w:w="3985" w:type="dxa"/>
            <w:vAlign w:val="center"/>
          </w:tcPr>
          <w:p w14:paraId="09140D2C" w14:textId="77777777" w:rsidR="007B0AB7" w:rsidRPr="00210B4E" w:rsidRDefault="007B0AB7" w:rsidP="007D412A">
            <w:pPr>
              <w:pStyle w:val="TableParagraph"/>
              <w:spacing w:line="230" w:lineRule="exact"/>
              <w:ind w:left="110" w:right="172"/>
              <w:jc w:val="right"/>
              <w:rPr>
                <w:b/>
                <w:bCs/>
                <w:spacing w:val="-2"/>
              </w:rPr>
            </w:pPr>
            <w:r w:rsidRPr="00210B4E">
              <w:rPr>
                <w:b/>
                <w:bCs/>
                <w:spacing w:val="-2"/>
              </w:rPr>
              <w:t>TOTAL</w:t>
            </w:r>
          </w:p>
        </w:tc>
        <w:tc>
          <w:tcPr>
            <w:tcW w:w="3245" w:type="dxa"/>
            <w:vAlign w:val="center"/>
          </w:tcPr>
          <w:p w14:paraId="614A0761" w14:textId="77777777" w:rsidR="007B0AB7" w:rsidRPr="00210B4E" w:rsidRDefault="007B0AB7" w:rsidP="007D412A">
            <w:pPr>
              <w:pStyle w:val="TableParagraph"/>
              <w:spacing w:line="230" w:lineRule="exact"/>
              <w:ind w:left="110" w:right="699"/>
              <w:jc w:val="right"/>
              <w:rPr>
                <w:b/>
                <w:bCs/>
                <w:spacing w:val="-2"/>
              </w:rPr>
            </w:pPr>
            <w:r>
              <w:rPr>
                <w:b/>
                <w:bCs/>
                <w:spacing w:val="-2"/>
              </w:rPr>
              <w:t>18</w:t>
            </w:r>
            <w:r w:rsidRPr="00210B4E">
              <w:rPr>
                <w:b/>
                <w:bCs/>
                <w:spacing w:val="-2"/>
              </w:rPr>
              <w:t>,000.00</w:t>
            </w:r>
          </w:p>
        </w:tc>
      </w:tr>
    </w:tbl>
    <w:p w14:paraId="4D014D42" w14:textId="77777777" w:rsidR="007B0AB7" w:rsidRDefault="007B0AB7" w:rsidP="007B0AB7">
      <w:pPr>
        <w:pStyle w:val="BodyText"/>
        <w:spacing w:line="480" w:lineRule="auto"/>
        <w:ind w:right="4"/>
        <w:jc w:val="both"/>
        <w:rPr>
          <w:b/>
          <w:bCs/>
          <w:color w:val="0D0D0D"/>
          <w:spacing w:val="-2"/>
        </w:rPr>
      </w:pPr>
      <w:r>
        <w:rPr>
          <w:b/>
          <w:bCs/>
          <w:color w:val="0D0D0D"/>
          <w:spacing w:val="-2"/>
        </w:rPr>
        <w:br/>
      </w:r>
    </w:p>
    <w:p w14:paraId="45FDB9D0" w14:textId="77777777" w:rsidR="007B0AB7" w:rsidRDefault="007B0AB7" w:rsidP="007B0AB7">
      <w:pPr>
        <w:pStyle w:val="BodyText"/>
        <w:spacing w:line="480" w:lineRule="auto"/>
        <w:ind w:right="4"/>
        <w:jc w:val="both"/>
        <w:rPr>
          <w:b/>
          <w:bCs/>
          <w:color w:val="0D0D0D"/>
          <w:spacing w:val="-2"/>
        </w:rPr>
      </w:pPr>
    </w:p>
    <w:p w14:paraId="31CE3C6D" w14:textId="77777777" w:rsidR="007B0AB7" w:rsidRDefault="007B0AB7" w:rsidP="007B0AB7">
      <w:pPr>
        <w:pStyle w:val="BodyText"/>
        <w:spacing w:line="480" w:lineRule="auto"/>
        <w:ind w:right="4"/>
        <w:jc w:val="both"/>
        <w:rPr>
          <w:b/>
          <w:bCs/>
          <w:color w:val="0D0D0D"/>
          <w:spacing w:val="-2"/>
        </w:rPr>
      </w:pPr>
      <w:r w:rsidRPr="00820A6A">
        <w:rPr>
          <w:b/>
          <w:bCs/>
          <w:color w:val="0D0D0D"/>
          <w:spacing w:val="-2"/>
        </w:rPr>
        <w:t>REFERENCES</w:t>
      </w:r>
    </w:p>
    <w:p w14:paraId="4FF0EF99" w14:textId="77777777" w:rsidR="007B0AB7" w:rsidRPr="008D1A07" w:rsidRDefault="007B0AB7" w:rsidP="007B0AB7">
      <w:pPr>
        <w:pStyle w:val="BodyText"/>
        <w:numPr>
          <w:ilvl w:val="0"/>
          <w:numId w:val="11"/>
        </w:numPr>
        <w:spacing w:line="480" w:lineRule="auto"/>
        <w:ind w:left="425" w:right="4"/>
        <w:jc w:val="both"/>
        <w:rPr>
          <w:color w:val="222222"/>
          <w:shd w:val="clear" w:color="auto" w:fill="FFFFFF"/>
        </w:rPr>
      </w:pPr>
      <w:r w:rsidRPr="008D1A07">
        <w:rPr>
          <w:color w:val="222222"/>
          <w:shd w:val="clear" w:color="auto" w:fill="FFFFFF"/>
        </w:rPr>
        <w:lastRenderedPageBreak/>
        <w:t>Ball ED, Kagan A. 100 questions and answers about leukemia. Jones &amp; Bartlett Publishers; 2013.</w:t>
      </w:r>
    </w:p>
    <w:p w14:paraId="69249DCA" w14:textId="77777777" w:rsidR="007B0AB7" w:rsidRPr="008D1A07" w:rsidRDefault="007B0AB7" w:rsidP="007B0AB7">
      <w:pPr>
        <w:pStyle w:val="BodyText"/>
        <w:numPr>
          <w:ilvl w:val="0"/>
          <w:numId w:val="11"/>
        </w:numPr>
        <w:spacing w:line="480" w:lineRule="auto"/>
        <w:ind w:left="425" w:right="4"/>
        <w:jc w:val="both"/>
        <w:rPr>
          <w:color w:val="222222"/>
          <w:shd w:val="clear" w:color="auto" w:fill="FFFFFF"/>
        </w:rPr>
      </w:pPr>
      <w:proofErr w:type="spellStart"/>
      <w:r w:rsidRPr="008D1A07">
        <w:rPr>
          <w:color w:val="222222"/>
          <w:shd w:val="clear" w:color="auto" w:fill="FFFFFF"/>
        </w:rPr>
        <w:t>Kaushansky</w:t>
      </w:r>
      <w:proofErr w:type="spellEnd"/>
      <w:r w:rsidRPr="008D1A07">
        <w:rPr>
          <w:color w:val="222222"/>
          <w:shd w:val="clear" w:color="auto" w:fill="FFFFFF"/>
        </w:rPr>
        <w:t xml:space="preserve"> K, Lichtman MA, Prchal JT, Levi M, Burns LJ, </w:t>
      </w:r>
      <w:proofErr w:type="spellStart"/>
      <w:r w:rsidRPr="008D1A07">
        <w:rPr>
          <w:color w:val="222222"/>
          <w:shd w:val="clear" w:color="auto" w:fill="FFFFFF"/>
        </w:rPr>
        <w:t>Linch</w:t>
      </w:r>
      <w:proofErr w:type="spellEnd"/>
      <w:r w:rsidRPr="008D1A07">
        <w:rPr>
          <w:color w:val="222222"/>
          <w:shd w:val="clear" w:color="auto" w:fill="FFFFFF"/>
        </w:rPr>
        <w:t xml:space="preserve"> DC. Williams hematology. 10th ed. New York: McGraw-Hill; 2021.</w:t>
      </w:r>
    </w:p>
    <w:p w14:paraId="3CC64D16" w14:textId="77777777" w:rsidR="007B0AB7" w:rsidRPr="008D1A07" w:rsidRDefault="007B0AB7" w:rsidP="007B0AB7">
      <w:pPr>
        <w:pStyle w:val="BodyText"/>
        <w:numPr>
          <w:ilvl w:val="0"/>
          <w:numId w:val="11"/>
        </w:numPr>
        <w:spacing w:line="480" w:lineRule="auto"/>
        <w:ind w:left="425" w:right="4"/>
        <w:jc w:val="both"/>
        <w:rPr>
          <w:color w:val="0D0D0D"/>
        </w:rPr>
      </w:pPr>
      <w:r w:rsidRPr="008D1A07">
        <w:rPr>
          <w:color w:val="0D0D0D"/>
        </w:rPr>
        <w:t>Huang J, Chan SC, Ngai CH, Lok V, Zhang L, Lucero-</w:t>
      </w:r>
      <w:proofErr w:type="spellStart"/>
      <w:r w:rsidRPr="008D1A07">
        <w:rPr>
          <w:color w:val="0D0D0D"/>
        </w:rPr>
        <w:t>Prisno</w:t>
      </w:r>
      <w:proofErr w:type="spellEnd"/>
      <w:r w:rsidRPr="008D1A07">
        <w:rPr>
          <w:color w:val="0D0D0D"/>
        </w:rPr>
        <w:t xml:space="preserve"> DE, et al. Disease Burden, Risk Factors, and Trends of </w:t>
      </w:r>
      <w:proofErr w:type="spellStart"/>
      <w:r w:rsidRPr="008D1A07">
        <w:rPr>
          <w:color w:val="0D0D0D"/>
        </w:rPr>
        <w:t>Leukaemia</w:t>
      </w:r>
      <w:proofErr w:type="spellEnd"/>
      <w:r w:rsidRPr="008D1A07">
        <w:rPr>
          <w:color w:val="0D0D0D"/>
        </w:rPr>
        <w:t>: A Global Analysis. Frontiers in Oncology. 2022 Jul 22;12(904292).</w:t>
      </w:r>
    </w:p>
    <w:p w14:paraId="1E8824C1" w14:textId="77777777" w:rsidR="007B0AB7" w:rsidRPr="008D1A07" w:rsidRDefault="007B0AB7" w:rsidP="007B0AB7">
      <w:pPr>
        <w:pStyle w:val="BodyText"/>
        <w:numPr>
          <w:ilvl w:val="0"/>
          <w:numId w:val="11"/>
        </w:numPr>
        <w:spacing w:line="480" w:lineRule="auto"/>
        <w:ind w:left="425" w:right="4"/>
        <w:rPr>
          <w:color w:val="0D0D0D"/>
        </w:rPr>
      </w:pPr>
      <w:r w:rsidRPr="008D1A07">
        <w:rPr>
          <w:color w:val="0D0D0D"/>
        </w:rPr>
        <w:t xml:space="preserve">Siegel RL, </w:t>
      </w:r>
      <w:proofErr w:type="spellStart"/>
      <w:r w:rsidRPr="008D1A07">
        <w:rPr>
          <w:color w:val="0D0D0D"/>
        </w:rPr>
        <w:t>Giaquinto</w:t>
      </w:r>
      <w:proofErr w:type="spellEnd"/>
      <w:r w:rsidRPr="008D1A07">
        <w:rPr>
          <w:color w:val="0D0D0D"/>
        </w:rPr>
        <w:t xml:space="preserve"> AN, Jemal A. Cancer statistics, 2024. CA: A Cancer Journal for Clinicians. 2024 Jan 17;74(1). Available from: </w:t>
      </w:r>
      <w:hyperlink r:id="rId17" w:history="1">
        <w:r w:rsidRPr="008D1A07">
          <w:rPr>
            <w:rStyle w:val="Hyperlink"/>
          </w:rPr>
          <w:t>https://acsjournals.onlinelibrary.wiley.com/doi/10.3322/caac.21820</w:t>
        </w:r>
      </w:hyperlink>
    </w:p>
    <w:p w14:paraId="67F6B8D5" w14:textId="77777777" w:rsidR="007B0AB7" w:rsidRPr="008D1A07" w:rsidRDefault="007B0AB7" w:rsidP="007B0AB7">
      <w:pPr>
        <w:pStyle w:val="BodyText"/>
        <w:numPr>
          <w:ilvl w:val="0"/>
          <w:numId w:val="11"/>
        </w:numPr>
        <w:spacing w:line="480" w:lineRule="auto"/>
        <w:ind w:left="425" w:right="4"/>
        <w:rPr>
          <w:color w:val="0D0D0D"/>
        </w:rPr>
      </w:pPr>
      <w:r w:rsidRPr="008D1A07">
        <w:rPr>
          <w:color w:val="0D0D0D"/>
        </w:rPr>
        <w:t xml:space="preserve">Statistics at a glance, 2022 Top 5 most frequent cancers Number of new cases 188 976. Available from: </w:t>
      </w:r>
      <w:hyperlink r:id="rId18" w:history="1">
        <w:r w:rsidRPr="008D1A07">
          <w:rPr>
            <w:rStyle w:val="Hyperlink"/>
          </w:rPr>
          <w:t>https://gco.iarc.who.int/media/globocan/factsheets/populations/608-philippines-fact-sheet.pdf</w:t>
        </w:r>
      </w:hyperlink>
    </w:p>
    <w:p w14:paraId="7F1DB079" w14:textId="77777777" w:rsidR="007B0AB7" w:rsidRPr="008D1A07" w:rsidRDefault="007B0AB7" w:rsidP="007B0AB7">
      <w:pPr>
        <w:pStyle w:val="BodyText"/>
        <w:numPr>
          <w:ilvl w:val="0"/>
          <w:numId w:val="11"/>
        </w:numPr>
        <w:spacing w:line="480" w:lineRule="auto"/>
        <w:ind w:left="425" w:right="4"/>
        <w:jc w:val="both"/>
        <w:rPr>
          <w:color w:val="0D0D0D"/>
        </w:rPr>
      </w:pPr>
      <w:proofErr w:type="spellStart"/>
      <w:r w:rsidRPr="008D1A07">
        <w:rPr>
          <w:color w:val="0D0D0D"/>
        </w:rPr>
        <w:t>Vakiti</w:t>
      </w:r>
      <w:proofErr w:type="spellEnd"/>
      <w:r w:rsidRPr="008D1A07">
        <w:rPr>
          <w:color w:val="0D0D0D"/>
        </w:rPr>
        <w:t xml:space="preserve"> A, </w:t>
      </w:r>
      <w:proofErr w:type="spellStart"/>
      <w:r w:rsidRPr="008D1A07">
        <w:rPr>
          <w:color w:val="0D0D0D"/>
        </w:rPr>
        <w:t>Mewawalla</w:t>
      </w:r>
      <w:proofErr w:type="spellEnd"/>
      <w:r w:rsidRPr="008D1A07">
        <w:rPr>
          <w:color w:val="0D0D0D"/>
        </w:rPr>
        <w:t xml:space="preserve"> P. Cancer, Acute Myeloid Leukemia (AML, Erythroid Leukemia, Myelodysplasia-Related Leukemia, BCR-ABL Chronic Leukemia). Nih.gov. </w:t>
      </w:r>
      <w:proofErr w:type="spellStart"/>
      <w:r w:rsidRPr="008D1A07">
        <w:rPr>
          <w:color w:val="0D0D0D"/>
        </w:rPr>
        <w:t>StatPearls</w:t>
      </w:r>
      <w:proofErr w:type="spellEnd"/>
      <w:r w:rsidRPr="008D1A07">
        <w:rPr>
          <w:color w:val="0D0D0D"/>
        </w:rPr>
        <w:t xml:space="preserve"> Publishing; 2024. Available from: https://www.ncbi.nlm.nih.gov/books/NBK507875/</w:t>
      </w:r>
    </w:p>
    <w:p w14:paraId="3107FDC8" w14:textId="77777777" w:rsidR="007B0AB7" w:rsidRPr="008D1A07" w:rsidRDefault="007B0AB7" w:rsidP="007B0AB7">
      <w:pPr>
        <w:pStyle w:val="BodyText"/>
        <w:numPr>
          <w:ilvl w:val="0"/>
          <w:numId w:val="11"/>
        </w:numPr>
        <w:spacing w:line="480" w:lineRule="auto"/>
        <w:ind w:left="425" w:right="4"/>
        <w:jc w:val="both"/>
        <w:rPr>
          <w:color w:val="0D0D0D"/>
        </w:rPr>
      </w:pPr>
      <w:r w:rsidRPr="008D1A07">
        <w:rPr>
          <w:color w:val="0D0D0D"/>
        </w:rPr>
        <w:t>Li W. The 5th Edition of the World Health Organization Classification of Hematolymphoid Tumors. Li W, editor. PubMed. Brisbane (AU): Exon Publications; 2022. Available from: https://www.ncbi.nlm.nih.gov/books/NBK586208/</w:t>
      </w:r>
    </w:p>
    <w:p w14:paraId="1A9FA3D2" w14:textId="77777777" w:rsidR="007B0AB7" w:rsidRDefault="007B0AB7" w:rsidP="007B0AB7">
      <w:pPr>
        <w:pStyle w:val="BodyText"/>
        <w:numPr>
          <w:ilvl w:val="0"/>
          <w:numId w:val="11"/>
        </w:numPr>
        <w:spacing w:line="480" w:lineRule="auto"/>
        <w:ind w:left="425" w:right="6"/>
        <w:jc w:val="both"/>
        <w:rPr>
          <w:spacing w:val="-2"/>
        </w:rPr>
      </w:pPr>
      <w:r w:rsidRPr="00622DB5">
        <w:rPr>
          <w:spacing w:val="-2"/>
        </w:rPr>
        <w:t xml:space="preserve">Appelbaum F., </w:t>
      </w:r>
      <w:proofErr w:type="spellStart"/>
      <w:r w:rsidRPr="00622DB5">
        <w:rPr>
          <w:spacing w:val="-2"/>
        </w:rPr>
        <w:t>Kebriaei</w:t>
      </w:r>
      <w:proofErr w:type="spellEnd"/>
      <w:r w:rsidRPr="00622DB5">
        <w:rPr>
          <w:spacing w:val="-2"/>
        </w:rPr>
        <w:t xml:space="preserve"> P., Larson, R., American Cancer Society. Typical treatment of Acute Myeloid Leukemia (Except APL) United States of America [updated May 3, 2019] In American Cancer Society [Internet] [Cited 2022 February 10] Available </w:t>
      </w:r>
      <w:r w:rsidRPr="00622DB5">
        <w:rPr>
          <w:spacing w:val="-2"/>
        </w:rPr>
        <w:lastRenderedPageBreak/>
        <w:t>from:https://www.cancer.org/cancer/acute-myeloid-leukemia/treating/typical-treatment-of-aml.html</w:t>
      </w:r>
    </w:p>
    <w:p w14:paraId="795C71AC" w14:textId="77777777" w:rsidR="007B0AB7" w:rsidRPr="008D1A07" w:rsidRDefault="007B0AB7" w:rsidP="007B0AB7">
      <w:pPr>
        <w:pStyle w:val="BodyText"/>
        <w:numPr>
          <w:ilvl w:val="0"/>
          <w:numId w:val="11"/>
        </w:numPr>
        <w:spacing w:line="480" w:lineRule="auto"/>
        <w:ind w:left="425" w:right="6"/>
        <w:jc w:val="both"/>
        <w:rPr>
          <w:spacing w:val="-2"/>
        </w:rPr>
      </w:pPr>
      <w:proofErr w:type="spellStart"/>
      <w:r w:rsidRPr="008D1A07">
        <w:rPr>
          <w:spacing w:val="-2"/>
        </w:rPr>
        <w:t>Cashen</w:t>
      </w:r>
      <w:proofErr w:type="spellEnd"/>
      <w:r w:rsidRPr="008D1A07">
        <w:rPr>
          <w:spacing w:val="-2"/>
        </w:rPr>
        <w:t xml:space="preserve"> AF, Schiller GJ, O’Donnell MR, </w:t>
      </w:r>
      <w:proofErr w:type="spellStart"/>
      <w:r w:rsidRPr="008D1A07">
        <w:rPr>
          <w:spacing w:val="-2"/>
        </w:rPr>
        <w:t>DiPersio</w:t>
      </w:r>
      <w:proofErr w:type="spellEnd"/>
      <w:r w:rsidRPr="008D1A07">
        <w:rPr>
          <w:spacing w:val="-2"/>
        </w:rPr>
        <w:t xml:space="preserve"> JF. Multicenter, Phase II Study of Decitabine for the First-Line Treatment of Older Patients With Acute Myeloid Leukemia. Journal of Clinical Oncology. 2010 Feb 1;28(4):556–61.</w:t>
      </w:r>
    </w:p>
    <w:p w14:paraId="6A81D123" w14:textId="77777777" w:rsidR="007B0AB7" w:rsidRPr="008D1A07" w:rsidRDefault="007B0AB7" w:rsidP="007B0AB7">
      <w:pPr>
        <w:pStyle w:val="BodyText"/>
        <w:numPr>
          <w:ilvl w:val="0"/>
          <w:numId w:val="11"/>
        </w:numPr>
        <w:spacing w:line="480" w:lineRule="auto"/>
        <w:ind w:left="425" w:right="6"/>
        <w:jc w:val="both"/>
        <w:rPr>
          <w:spacing w:val="-2"/>
        </w:rPr>
      </w:pPr>
      <w:proofErr w:type="spellStart"/>
      <w:r w:rsidRPr="008D1A07">
        <w:rPr>
          <w:spacing w:val="-2"/>
        </w:rPr>
        <w:t>Dombret</w:t>
      </w:r>
      <w:proofErr w:type="spellEnd"/>
      <w:r w:rsidRPr="008D1A07">
        <w:rPr>
          <w:spacing w:val="-2"/>
        </w:rPr>
        <w:t xml:space="preserve"> H, Seymour JF, </w:t>
      </w:r>
      <w:proofErr w:type="spellStart"/>
      <w:r w:rsidRPr="008D1A07">
        <w:rPr>
          <w:spacing w:val="-2"/>
        </w:rPr>
        <w:t>Butrym</w:t>
      </w:r>
      <w:proofErr w:type="spellEnd"/>
      <w:r w:rsidRPr="008D1A07">
        <w:rPr>
          <w:spacing w:val="-2"/>
        </w:rPr>
        <w:t xml:space="preserve"> A, </w:t>
      </w:r>
      <w:proofErr w:type="spellStart"/>
      <w:r w:rsidRPr="008D1A07">
        <w:rPr>
          <w:spacing w:val="-2"/>
        </w:rPr>
        <w:t>Wierzbowska</w:t>
      </w:r>
      <w:proofErr w:type="spellEnd"/>
      <w:r w:rsidRPr="008D1A07">
        <w:rPr>
          <w:spacing w:val="-2"/>
        </w:rPr>
        <w:t xml:space="preserve"> A, </w:t>
      </w:r>
      <w:proofErr w:type="spellStart"/>
      <w:r w:rsidRPr="008D1A07">
        <w:rPr>
          <w:spacing w:val="-2"/>
        </w:rPr>
        <w:t>Selleslag</w:t>
      </w:r>
      <w:proofErr w:type="spellEnd"/>
      <w:r w:rsidRPr="008D1A07">
        <w:rPr>
          <w:spacing w:val="-2"/>
        </w:rPr>
        <w:t xml:space="preserve"> D, Jang JH, et al. International phase 3 study of </w:t>
      </w:r>
      <w:proofErr w:type="spellStart"/>
      <w:r w:rsidRPr="008D1A07">
        <w:rPr>
          <w:spacing w:val="-2"/>
        </w:rPr>
        <w:t>azacitidine</w:t>
      </w:r>
      <w:proofErr w:type="spellEnd"/>
      <w:r w:rsidRPr="008D1A07">
        <w:rPr>
          <w:spacing w:val="-2"/>
        </w:rPr>
        <w:t xml:space="preserve"> vs conventional care regimens in older patients with newly diagnosed AML with &gt;30% blasts. Blood. 2015 Jul 16;126(3):291–9. Available from: </w:t>
      </w:r>
      <w:hyperlink r:id="rId19" w:history="1">
        <w:r w:rsidRPr="008D1A07">
          <w:rPr>
            <w:rStyle w:val="Hyperlink"/>
            <w:spacing w:val="-2"/>
          </w:rPr>
          <w:t>https://www.ncbi.nlm.nih.gov/pmc/articles/PMC4504945/</w:t>
        </w:r>
      </w:hyperlink>
    </w:p>
    <w:p w14:paraId="11411D16" w14:textId="77777777" w:rsidR="007B0AB7" w:rsidRPr="008D1A07" w:rsidRDefault="007B0AB7" w:rsidP="007B0AB7">
      <w:pPr>
        <w:pStyle w:val="BodyText"/>
        <w:numPr>
          <w:ilvl w:val="0"/>
          <w:numId w:val="11"/>
        </w:numPr>
        <w:spacing w:line="480" w:lineRule="auto"/>
        <w:ind w:left="425" w:right="6"/>
        <w:jc w:val="both"/>
        <w:rPr>
          <w:spacing w:val="-2"/>
        </w:rPr>
      </w:pPr>
      <w:r w:rsidRPr="008D1A07">
        <w:rPr>
          <w:spacing w:val="-2"/>
        </w:rPr>
        <w:t xml:space="preserve">DiNardo CD, </w:t>
      </w:r>
      <w:proofErr w:type="spellStart"/>
      <w:r w:rsidRPr="008D1A07">
        <w:rPr>
          <w:spacing w:val="-2"/>
        </w:rPr>
        <w:t>Pratz</w:t>
      </w:r>
      <w:proofErr w:type="spellEnd"/>
      <w:r w:rsidRPr="008D1A07">
        <w:rPr>
          <w:spacing w:val="-2"/>
        </w:rPr>
        <w:t xml:space="preserve"> K, </w:t>
      </w:r>
      <w:proofErr w:type="spellStart"/>
      <w:r w:rsidRPr="008D1A07">
        <w:rPr>
          <w:spacing w:val="-2"/>
        </w:rPr>
        <w:t>Pullarkat</w:t>
      </w:r>
      <w:proofErr w:type="spellEnd"/>
      <w:r w:rsidRPr="008D1A07">
        <w:rPr>
          <w:spacing w:val="-2"/>
        </w:rPr>
        <w:t xml:space="preserve"> V, Jonas BA, Arellano M, Becker PS, et al. </w:t>
      </w:r>
      <w:proofErr w:type="spellStart"/>
      <w:r w:rsidRPr="008D1A07">
        <w:rPr>
          <w:spacing w:val="-2"/>
        </w:rPr>
        <w:t>Venetoclax</w:t>
      </w:r>
      <w:proofErr w:type="spellEnd"/>
      <w:r w:rsidRPr="008D1A07">
        <w:rPr>
          <w:spacing w:val="-2"/>
        </w:rPr>
        <w:t xml:space="preserve"> combined with decitabine or </w:t>
      </w:r>
      <w:proofErr w:type="spellStart"/>
      <w:r w:rsidRPr="008D1A07">
        <w:rPr>
          <w:spacing w:val="-2"/>
        </w:rPr>
        <w:t>azacitidine</w:t>
      </w:r>
      <w:proofErr w:type="spellEnd"/>
      <w:r w:rsidRPr="008D1A07">
        <w:rPr>
          <w:spacing w:val="-2"/>
        </w:rPr>
        <w:t xml:space="preserve"> in treatment-naive, elderly patients with acute myeloid leukemia. Blood. 2018 Oct 25;133(1):7–17. Available from: http://www.bloodjournal.org/content/133/1/7?</w:t>
      </w:r>
    </w:p>
    <w:p w14:paraId="0A0581A7" w14:textId="77777777" w:rsidR="007B0AB7" w:rsidRPr="008D1A07" w:rsidRDefault="007B0AB7" w:rsidP="007B0AB7">
      <w:pPr>
        <w:pStyle w:val="BodyText"/>
        <w:numPr>
          <w:ilvl w:val="0"/>
          <w:numId w:val="11"/>
        </w:numPr>
        <w:spacing w:line="480" w:lineRule="auto"/>
        <w:ind w:left="425" w:right="6"/>
        <w:jc w:val="both"/>
        <w:rPr>
          <w:spacing w:val="-2"/>
        </w:rPr>
      </w:pPr>
      <w:r w:rsidRPr="008D1A07">
        <w:rPr>
          <w:spacing w:val="-2"/>
        </w:rPr>
        <w:t xml:space="preserve">Stone RM, </w:t>
      </w:r>
      <w:proofErr w:type="spellStart"/>
      <w:r w:rsidRPr="008D1A07">
        <w:rPr>
          <w:spacing w:val="-2"/>
        </w:rPr>
        <w:t>Mandrekar</w:t>
      </w:r>
      <w:proofErr w:type="spellEnd"/>
      <w:r w:rsidRPr="008D1A07">
        <w:rPr>
          <w:spacing w:val="-2"/>
        </w:rPr>
        <w:t xml:space="preserve"> SJ, Sanford BL, </w:t>
      </w:r>
      <w:proofErr w:type="spellStart"/>
      <w:r w:rsidRPr="008D1A07">
        <w:rPr>
          <w:spacing w:val="-2"/>
        </w:rPr>
        <w:t>Laumann</w:t>
      </w:r>
      <w:proofErr w:type="spellEnd"/>
      <w:r w:rsidRPr="008D1A07">
        <w:rPr>
          <w:spacing w:val="-2"/>
        </w:rPr>
        <w:t xml:space="preserve"> K, Geyer S, Bloomfield CD, et al. </w:t>
      </w:r>
      <w:proofErr w:type="spellStart"/>
      <w:r w:rsidRPr="008D1A07">
        <w:rPr>
          <w:spacing w:val="-2"/>
        </w:rPr>
        <w:t>Midostaurin</w:t>
      </w:r>
      <w:proofErr w:type="spellEnd"/>
      <w:r w:rsidRPr="008D1A07">
        <w:rPr>
          <w:spacing w:val="-2"/>
        </w:rPr>
        <w:t xml:space="preserve"> plus Chemotherapy for Acute Myeloid Leukemia with a FLT3 Mutation. New England Journal of Medicine. 2017 Aug 3;377(5):454–64.</w:t>
      </w:r>
    </w:p>
    <w:p w14:paraId="104BA10A" w14:textId="77777777" w:rsidR="007B0AB7" w:rsidRPr="008D1A07" w:rsidRDefault="007B0AB7" w:rsidP="007B0AB7">
      <w:pPr>
        <w:pStyle w:val="BodyText"/>
        <w:numPr>
          <w:ilvl w:val="0"/>
          <w:numId w:val="11"/>
        </w:numPr>
        <w:spacing w:line="480" w:lineRule="auto"/>
        <w:ind w:left="425" w:right="6"/>
        <w:jc w:val="both"/>
        <w:rPr>
          <w:spacing w:val="-2"/>
        </w:rPr>
      </w:pPr>
      <w:proofErr w:type="spellStart"/>
      <w:r w:rsidRPr="008D1A07">
        <w:rPr>
          <w:spacing w:val="-2"/>
        </w:rPr>
        <w:t>Genç</w:t>
      </w:r>
      <w:proofErr w:type="spellEnd"/>
      <w:r w:rsidRPr="008D1A07">
        <w:rPr>
          <w:spacing w:val="-2"/>
        </w:rPr>
        <w:t xml:space="preserve"> EE, </w:t>
      </w:r>
      <w:proofErr w:type="spellStart"/>
      <w:r w:rsidRPr="008D1A07">
        <w:rPr>
          <w:spacing w:val="-2"/>
        </w:rPr>
        <w:t>Saraç</w:t>
      </w:r>
      <w:proofErr w:type="spellEnd"/>
      <w:r w:rsidRPr="008D1A07">
        <w:rPr>
          <w:spacing w:val="-2"/>
        </w:rPr>
        <w:t xml:space="preserve"> İS, Arslan H, </w:t>
      </w:r>
      <w:proofErr w:type="spellStart"/>
      <w:r w:rsidRPr="008D1A07">
        <w:rPr>
          <w:spacing w:val="-2"/>
        </w:rPr>
        <w:t>Eşkazan</w:t>
      </w:r>
      <w:proofErr w:type="spellEnd"/>
      <w:r w:rsidRPr="008D1A07">
        <w:rPr>
          <w:spacing w:val="-2"/>
        </w:rPr>
        <w:t xml:space="preserve"> AE. Diagnostic and Treatment Obstacles in Acute Myeloid Leukemia: Social, Operational, and Financial. Oncology and Therapy. 2023 May 13 [cited 2023 Oct 20];11(2):145–52. Available from: </w:t>
      </w:r>
      <w:hyperlink r:id="rId20" w:history="1">
        <w:r w:rsidRPr="008D1A07">
          <w:rPr>
            <w:rStyle w:val="Hyperlink"/>
            <w:spacing w:val="-2"/>
          </w:rPr>
          <w:t>https://www.ncbi.nlm.nih.gov/pmc/articles/PMC10182356/</w:t>
        </w:r>
      </w:hyperlink>
    </w:p>
    <w:p w14:paraId="406DA70B" w14:textId="77777777" w:rsidR="007B0AB7" w:rsidRPr="008D1A07" w:rsidRDefault="007B0AB7" w:rsidP="007B0AB7">
      <w:pPr>
        <w:pStyle w:val="BodyText"/>
        <w:numPr>
          <w:ilvl w:val="0"/>
          <w:numId w:val="11"/>
        </w:numPr>
        <w:spacing w:line="480" w:lineRule="auto"/>
        <w:ind w:left="425" w:right="6"/>
        <w:jc w:val="both"/>
        <w:rPr>
          <w:spacing w:val="-2"/>
        </w:rPr>
      </w:pPr>
      <w:proofErr w:type="spellStart"/>
      <w:r w:rsidRPr="008D1A07">
        <w:rPr>
          <w:spacing w:val="-2"/>
        </w:rPr>
        <w:t>Capuno</w:t>
      </w:r>
      <w:proofErr w:type="spellEnd"/>
      <w:r w:rsidRPr="008D1A07">
        <w:rPr>
          <w:spacing w:val="-2"/>
        </w:rPr>
        <w:t xml:space="preserve"> JJ, Kraft AD, Poco LC, Quimbo SA, Tan C a. R. Factors associated with the delay in seeking inpatient and outpatient care services in the Philippines. www.econstor.eu. 2017. Available from: https://www.econstor.eu/handle/10419/202524</w:t>
      </w:r>
    </w:p>
    <w:p w14:paraId="49AE237E" w14:textId="77777777" w:rsidR="007B0AB7" w:rsidRPr="008D1A07" w:rsidRDefault="007B0AB7" w:rsidP="007B0AB7">
      <w:pPr>
        <w:pStyle w:val="BodyText"/>
        <w:numPr>
          <w:ilvl w:val="0"/>
          <w:numId w:val="11"/>
        </w:numPr>
        <w:spacing w:line="480" w:lineRule="auto"/>
        <w:ind w:left="425" w:right="4"/>
        <w:jc w:val="both"/>
        <w:rPr>
          <w:color w:val="222222"/>
          <w:shd w:val="clear" w:color="auto" w:fill="FFFFFF"/>
        </w:rPr>
      </w:pPr>
      <w:r w:rsidRPr="008D1A07">
        <w:rPr>
          <w:color w:val="222222"/>
          <w:shd w:val="clear" w:color="auto" w:fill="FFFFFF"/>
        </w:rPr>
        <w:lastRenderedPageBreak/>
        <w:t>Zhou Y, Huang G, Cai X, Liu Y, Qian B, Li D. Global, regional, and national burden of acute myeloid leukemia, 1990–2021: a systematic analysis for the global burden of disease study 2021. Biomarker Research. 2024 Sep 11;12(1).</w:t>
      </w:r>
    </w:p>
    <w:p w14:paraId="38947217" w14:textId="77777777" w:rsidR="007B0AB7" w:rsidRPr="00622DB5" w:rsidRDefault="007B0AB7" w:rsidP="007B0AB7">
      <w:pPr>
        <w:pStyle w:val="BodyText"/>
        <w:numPr>
          <w:ilvl w:val="0"/>
          <w:numId w:val="11"/>
        </w:numPr>
        <w:spacing w:line="480" w:lineRule="auto"/>
        <w:ind w:left="425" w:right="4"/>
        <w:jc w:val="both"/>
        <w:rPr>
          <w:color w:val="0D0D0D"/>
          <w:spacing w:val="-2"/>
        </w:rPr>
      </w:pPr>
      <w:proofErr w:type="spellStart"/>
      <w:r w:rsidRPr="00622DB5">
        <w:rPr>
          <w:color w:val="222222"/>
          <w:shd w:val="clear" w:color="auto" w:fill="FFFFFF"/>
        </w:rPr>
        <w:t>Sekeres</w:t>
      </w:r>
      <w:proofErr w:type="spellEnd"/>
      <w:r w:rsidRPr="00622DB5">
        <w:rPr>
          <w:color w:val="222222"/>
          <w:shd w:val="clear" w:color="auto" w:fill="FFFFFF"/>
        </w:rPr>
        <w:t xml:space="preserve"> MA, Elson P, </w:t>
      </w:r>
      <w:proofErr w:type="spellStart"/>
      <w:r w:rsidRPr="00622DB5">
        <w:rPr>
          <w:color w:val="222222"/>
          <w:shd w:val="clear" w:color="auto" w:fill="FFFFFF"/>
        </w:rPr>
        <w:t>Kalaycio</w:t>
      </w:r>
      <w:proofErr w:type="spellEnd"/>
      <w:r w:rsidRPr="00622DB5">
        <w:rPr>
          <w:color w:val="222222"/>
          <w:shd w:val="clear" w:color="auto" w:fill="FFFFFF"/>
        </w:rPr>
        <w:t xml:space="preserve"> ME, Advani AS, </w:t>
      </w:r>
      <w:proofErr w:type="spellStart"/>
      <w:r w:rsidRPr="00622DB5">
        <w:rPr>
          <w:color w:val="222222"/>
          <w:shd w:val="clear" w:color="auto" w:fill="FFFFFF"/>
        </w:rPr>
        <w:t>Copelan</w:t>
      </w:r>
      <w:proofErr w:type="spellEnd"/>
      <w:r w:rsidRPr="00622DB5">
        <w:rPr>
          <w:color w:val="222222"/>
          <w:shd w:val="clear" w:color="auto" w:fill="FFFFFF"/>
        </w:rPr>
        <w:t xml:space="preserve"> EA, </w:t>
      </w:r>
      <w:proofErr w:type="spellStart"/>
      <w:r w:rsidRPr="00622DB5">
        <w:rPr>
          <w:color w:val="222222"/>
          <w:shd w:val="clear" w:color="auto" w:fill="FFFFFF"/>
        </w:rPr>
        <w:t>Faderl</w:t>
      </w:r>
      <w:proofErr w:type="spellEnd"/>
      <w:r w:rsidRPr="00622DB5">
        <w:rPr>
          <w:color w:val="222222"/>
          <w:shd w:val="clear" w:color="auto" w:fill="FFFFFF"/>
        </w:rPr>
        <w:t xml:space="preserve"> S, et al. Time from diagnosis to treatment initiation predicts survival in younger, but not older, acute myeloid leukemia patients. Blood [Internet]. 2009 Jan 1;113(1):28–36. Available from: https://www.ncbi.nlm.nih.gov/pmc/articles/PMC2614639/ </w:t>
      </w:r>
    </w:p>
    <w:p w14:paraId="31E9A39D" w14:textId="77777777" w:rsidR="007B0AB7" w:rsidRPr="008D1A07" w:rsidRDefault="007B0AB7" w:rsidP="007B0AB7">
      <w:pPr>
        <w:pStyle w:val="BodyText"/>
        <w:numPr>
          <w:ilvl w:val="0"/>
          <w:numId w:val="11"/>
        </w:numPr>
        <w:spacing w:line="480" w:lineRule="auto"/>
        <w:ind w:left="425" w:right="4"/>
        <w:jc w:val="both"/>
        <w:rPr>
          <w:color w:val="0D0D0D"/>
          <w:spacing w:val="-2"/>
        </w:rPr>
      </w:pPr>
      <w:proofErr w:type="spellStart"/>
      <w:r w:rsidRPr="008D1A07">
        <w:rPr>
          <w:color w:val="0D0D0D"/>
          <w:spacing w:val="-2"/>
        </w:rPr>
        <w:t>Bertoli</w:t>
      </w:r>
      <w:proofErr w:type="spellEnd"/>
      <w:r w:rsidRPr="008D1A07">
        <w:rPr>
          <w:color w:val="0D0D0D"/>
          <w:spacing w:val="-2"/>
        </w:rPr>
        <w:t xml:space="preserve"> S, </w:t>
      </w:r>
      <w:proofErr w:type="spellStart"/>
      <w:r w:rsidRPr="008D1A07">
        <w:rPr>
          <w:color w:val="0D0D0D"/>
          <w:spacing w:val="-2"/>
        </w:rPr>
        <w:t>Bérard</w:t>
      </w:r>
      <w:proofErr w:type="spellEnd"/>
      <w:r w:rsidRPr="008D1A07">
        <w:rPr>
          <w:color w:val="0D0D0D"/>
          <w:spacing w:val="-2"/>
        </w:rPr>
        <w:t xml:space="preserve"> E, </w:t>
      </w:r>
      <w:proofErr w:type="spellStart"/>
      <w:r w:rsidRPr="008D1A07">
        <w:rPr>
          <w:color w:val="0D0D0D"/>
          <w:spacing w:val="-2"/>
        </w:rPr>
        <w:t>Huguet</w:t>
      </w:r>
      <w:proofErr w:type="spellEnd"/>
      <w:r w:rsidRPr="008D1A07">
        <w:rPr>
          <w:color w:val="0D0D0D"/>
          <w:spacing w:val="-2"/>
        </w:rPr>
        <w:t xml:space="preserve"> F, Huynh A, </w:t>
      </w:r>
      <w:proofErr w:type="spellStart"/>
      <w:r w:rsidRPr="008D1A07">
        <w:rPr>
          <w:color w:val="0D0D0D"/>
          <w:spacing w:val="-2"/>
        </w:rPr>
        <w:t>Tavitian</w:t>
      </w:r>
      <w:proofErr w:type="spellEnd"/>
      <w:r w:rsidRPr="008D1A07">
        <w:rPr>
          <w:color w:val="0D0D0D"/>
          <w:spacing w:val="-2"/>
        </w:rPr>
        <w:t xml:space="preserve"> S, Vergez F, et al. Time from diagnosis to intensive chemotherapy initiation does not adversely impact the outcome of patients with acute myeloid leukemia. Blood. 2013 Apr 4;121(14):2618–26.</w:t>
      </w:r>
    </w:p>
    <w:p w14:paraId="6B368DE8" w14:textId="77777777" w:rsidR="007B0AB7" w:rsidRDefault="007B0AB7" w:rsidP="007B0AB7">
      <w:pPr>
        <w:pStyle w:val="BodyText"/>
        <w:numPr>
          <w:ilvl w:val="0"/>
          <w:numId w:val="11"/>
        </w:numPr>
        <w:spacing w:line="480" w:lineRule="auto"/>
        <w:ind w:left="425" w:right="4"/>
        <w:jc w:val="both"/>
        <w:rPr>
          <w:color w:val="0D0D0D"/>
          <w:spacing w:val="-2"/>
        </w:rPr>
      </w:pPr>
      <w:proofErr w:type="spellStart"/>
      <w:r w:rsidRPr="00CF17A6">
        <w:rPr>
          <w:color w:val="0D0D0D"/>
          <w:spacing w:val="-2"/>
        </w:rPr>
        <w:t>Röllig</w:t>
      </w:r>
      <w:proofErr w:type="spellEnd"/>
      <w:r w:rsidRPr="00CF17A6">
        <w:rPr>
          <w:color w:val="0D0D0D"/>
          <w:spacing w:val="-2"/>
        </w:rPr>
        <w:t xml:space="preserve"> C, Kramer M, Schliemann C, </w:t>
      </w:r>
      <w:proofErr w:type="spellStart"/>
      <w:r w:rsidRPr="00CF17A6">
        <w:rPr>
          <w:color w:val="0D0D0D"/>
          <w:spacing w:val="-2"/>
        </w:rPr>
        <w:t>Mikesch</w:t>
      </w:r>
      <w:proofErr w:type="spellEnd"/>
      <w:r w:rsidRPr="00CF17A6">
        <w:rPr>
          <w:color w:val="0D0D0D"/>
          <w:spacing w:val="-2"/>
        </w:rPr>
        <w:t xml:space="preserve"> JH, Steffen B, </w:t>
      </w:r>
      <w:proofErr w:type="spellStart"/>
      <w:r w:rsidRPr="00CF17A6">
        <w:rPr>
          <w:color w:val="0D0D0D"/>
          <w:spacing w:val="-2"/>
        </w:rPr>
        <w:t>Krämer</w:t>
      </w:r>
      <w:proofErr w:type="spellEnd"/>
      <w:r w:rsidRPr="00CF17A6">
        <w:rPr>
          <w:color w:val="0D0D0D"/>
          <w:spacing w:val="-2"/>
        </w:rPr>
        <w:t xml:space="preserve"> A, et al. Does time from diagnosis to treatment affect the prognosis of patients with newly diagnosed acute myeloid leukemia? Blood [Internet]. 2020 Aug 13;136(7):823–30. Available from: </w:t>
      </w:r>
      <w:hyperlink r:id="rId21" w:history="1">
        <w:r w:rsidRPr="004E26F3">
          <w:rPr>
            <w:rStyle w:val="Hyperlink"/>
            <w:spacing w:val="-2"/>
          </w:rPr>
          <w:t>https://ashpublications.org/blood/article/136/7/823/460669/Does-time-from-diagnosis-to-treatment-affect-the</w:t>
        </w:r>
      </w:hyperlink>
    </w:p>
    <w:p w14:paraId="26EEEF40" w14:textId="77777777" w:rsidR="007B0AB7" w:rsidRPr="00CF17A6" w:rsidRDefault="007B0AB7" w:rsidP="007B0AB7">
      <w:pPr>
        <w:pStyle w:val="BodyText"/>
        <w:numPr>
          <w:ilvl w:val="0"/>
          <w:numId w:val="11"/>
        </w:numPr>
        <w:spacing w:line="480" w:lineRule="auto"/>
        <w:ind w:left="425" w:right="4"/>
        <w:jc w:val="both"/>
        <w:rPr>
          <w:color w:val="222222"/>
          <w:shd w:val="clear" w:color="auto" w:fill="FFFFFF"/>
        </w:rPr>
      </w:pPr>
      <w:proofErr w:type="spellStart"/>
      <w:r w:rsidRPr="00CF17A6">
        <w:rPr>
          <w:color w:val="0D0D0D"/>
          <w:spacing w:val="-2"/>
        </w:rPr>
        <w:t>Juliusson</w:t>
      </w:r>
      <w:proofErr w:type="spellEnd"/>
      <w:r w:rsidRPr="00CF17A6">
        <w:rPr>
          <w:color w:val="0D0D0D"/>
          <w:spacing w:val="-2"/>
        </w:rPr>
        <w:t xml:space="preserve"> G, Hagberg O, Lazarevic VL, Lehmann S, </w:t>
      </w:r>
      <w:proofErr w:type="spellStart"/>
      <w:r w:rsidRPr="00CF17A6">
        <w:rPr>
          <w:color w:val="0D0D0D"/>
          <w:spacing w:val="-2"/>
        </w:rPr>
        <w:t>Höglund</w:t>
      </w:r>
      <w:proofErr w:type="spellEnd"/>
      <w:r w:rsidRPr="00CF17A6">
        <w:rPr>
          <w:color w:val="0D0D0D"/>
          <w:spacing w:val="-2"/>
        </w:rPr>
        <w:t xml:space="preserve"> M, for the Swedish AML Registry. Impact of treatment delay in acute myeloid leukemia revisited. Blood Advances [Internet]. 2021 Feb 3 [cited 2022 Apr 18];5(3):787–90. Available from: </w:t>
      </w:r>
      <w:hyperlink r:id="rId22" w:history="1">
        <w:r w:rsidRPr="004E26F3">
          <w:rPr>
            <w:rStyle w:val="Hyperlink"/>
            <w:spacing w:val="-2"/>
          </w:rPr>
          <w:t>https://ashpublications.org/bloodadvances/article/5/3/787/475082/Impact-of-treatment-delay-in-acute-myeloid</w:t>
        </w:r>
      </w:hyperlink>
    </w:p>
    <w:p w14:paraId="375D285E" w14:textId="77777777" w:rsidR="007B0AB7" w:rsidRPr="00CF17A6" w:rsidRDefault="007B0AB7" w:rsidP="007B0AB7">
      <w:pPr>
        <w:pStyle w:val="BodyText"/>
        <w:numPr>
          <w:ilvl w:val="0"/>
          <w:numId w:val="11"/>
        </w:numPr>
        <w:spacing w:line="480" w:lineRule="auto"/>
        <w:ind w:left="425" w:right="4"/>
        <w:jc w:val="both"/>
        <w:rPr>
          <w:color w:val="0D0D0D"/>
          <w:spacing w:val="-2"/>
        </w:rPr>
      </w:pPr>
      <w:proofErr w:type="spellStart"/>
      <w:r w:rsidRPr="00CF17A6">
        <w:rPr>
          <w:color w:val="222222"/>
          <w:shd w:val="clear" w:color="auto" w:fill="FFFFFF"/>
        </w:rPr>
        <w:t>Alsouqi</w:t>
      </w:r>
      <w:proofErr w:type="spellEnd"/>
      <w:r w:rsidRPr="00CF17A6">
        <w:rPr>
          <w:color w:val="222222"/>
          <w:shd w:val="clear" w:color="auto" w:fill="FFFFFF"/>
        </w:rPr>
        <w:t xml:space="preserve"> A, </w:t>
      </w:r>
      <w:proofErr w:type="spellStart"/>
      <w:r w:rsidRPr="00CF17A6">
        <w:rPr>
          <w:color w:val="222222"/>
          <w:shd w:val="clear" w:color="auto" w:fill="FFFFFF"/>
        </w:rPr>
        <w:t>Rothenberger</w:t>
      </w:r>
      <w:proofErr w:type="spellEnd"/>
      <w:r w:rsidRPr="00CF17A6">
        <w:rPr>
          <w:color w:val="222222"/>
          <w:shd w:val="clear" w:color="auto" w:fill="FFFFFF"/>
        </w:rPr>
        <w:t xml:space="preserve"> SD, </w:t>
      </w:r>
      <w:proofErr w:type="spellStart"/>
      <w:r w:rsidRPr="00CF17A6">
        <w:rPr>
          <w:color w:val="222222"/>
          <w:shd w:val="clear" w:color="auto" w:fill="FFFFFF"/>
        </w:rPr>
        <w:t>Boyiadzis</w:t>
      </w:r>
      <w:proofErr w:type="spellEnd"/>
      <w:r w:rsidRPr="00CF17A6">
        <w:rPr>
          <w:color w:val="222222"/>
          <w:shd w:val="clear" w:color="auto" w:fill="FFFFFF"/>
        </w:rPr>
        <w:t xml:space="preserve"> M, </w:t>
      </w:r>
      <w:proofErr w:type="spellStart"/>
      <w:r w:rsidRPr="00CF17A6">
        <w:rPr>
          <w:color w:val="222222"/>
          <w:shd w:val="clear" w:color="auto" w:fill="FFFFFF"/>
        </w:rPr>
        <w:t>Lontos</w:t>
      </w:r>
      <w:proofErr w:type="spellEnd"/>
      <w:r w:rsidRPr="00CF17A6">
        <w:rPr>
          <w:color w:val="222222"/>
          <w:shd w:val="clear" w:color="auto" w:fill="FFFFFF"/>
        </w:rPr>
        <w:t xml:space="preserve"> K. Time from diagnosis to treatment is associated with survival in patients with acute myeloid </w:t>
      </w:r>
      <w:proofErr w:type="spellStart"/>
      <w:r w:rsidRPr="00CF17A6">
        <w:rPr>
          <w:color w:val="222222"/>
          <w:shd w:val="clear" w:color="auto" w:fill="FFFFFF"/>
        </w:rPr>
        <w:t>leukaemia</w:t>
      </w:r>
      <w:proofErr w:type="spellEnd"/>
      <w:r w:rsidRPr="00CF17A6">
        <w:rPr>
          <w:color w:val="222222"/>
          <w:shd w:val="clear" w:color="auto" w:fill="FFFFFF"/>
        </w:rPr>
        <w:t xml:space="preserve">: An analysis of 55 985 patients from the National Cancer Database. British Journal of </w:t>
      </w:r>
      <w:proofErr w:type="spellStart"/>
      <w:r w:rsidRPr="00CF17A6">
        <w:rPr>
          <w:color w:val="222222"/>
          <w:shd w:val="clear" w:color="auto" w:fill="FFFFFF"/>
        </w:rPr>
        <w:t>Haematology</w:t>
      </w:r>
      <w:proofErr w:type="spellEnd"/>
      <w:r w:rsidRPr="00CF17A6">
        <w:rPr>
          <w:color w:val="222222"/>
          <w:shd w:val="clear" w:color="auto" w:fill="FFFFFF"/>
        </w:rPr>
        <w:t xml:space="preserve"> [Internet]. 2022 </w:t>
      </w:r>
      <w:r w:rsidRPr="00CF17A6">
        <w:rPr>
          <w:color w:val="222222"/>
          <w:shd w:val="clear" w:color="auto" w:fill="FFFFFF"/>
        </w:rPr>
        <w:lastRenderedPageBreak/>
        <w:t xml:space="preserve">[cited 2024 Mar 30];199(2). Available from: </w:t>
      </w:r>
      <w:hyperlink r:id="rId23" w:history="1">
        <w:r w:rsidRPr="004E26F3">
          <w:rPr>
            <w:rStyle w:val="Hyperlink"/>
            <w:shd w:val="clear" w:color="auto" w:fill="FFFFFF"/>
          </w:rPr>
          <w:t>https://scite.ai/reports/time-from-diagnosis-to-treatment-D1rOlyZe</w:t>
        </w:r>
      </w:hyperlink>
      <w:r w:rsidRPr="00CF17A6">
        <w:rPr>
          <w:color w:val="222222"/>
          <w:shd w:val="clear" w:color="auto" w:fill="FFFFFF"/>
        </w:rPr>
        <w:t xml:space="preserve"> </w:t>
      </w:r>
    </w:p>
    <w:p w14:paraId="0BE267E2" w14:textId="77777777" w:rsidR="007B0AB7" w:rsidRPr="008D1A07" w:rsidRDefault="007B0AB7" w:rsidP="007B0AB7">
      <w:pPr>
        <w:pStyle w:val="BodyText"/>
        <w:numPr>
          <w:ilvl w:val="0"/>
          <w:numId w:val="11"/>
        </w:numPr>
        <w:spacing w:line="480" w:lineRule="auto"/>
        <w:ind w:left="425" w:right="4"/>
        <w:jc w:val="both"/>
        <w:rPr>
          <w:color w:val="0D0D0D"/>
          <w:spacing w:val="-2"/>
        </w:rPr>
      </w:pPr>
      <w:r w:rsidRPr="008D1A07">
        <w:rPr>
          <w:color w:val="0D0D0D"/>
          <w:spacing w:val="-2"/>
        </w:rPr>
        <w:t xml:space="preserve">Baden D, Sven Zukunft, Hernandez G, Wolgast N, </w:t>
      </w:r>
      <w:proofErr w:type="spellStart"/>
      <w:r w:rsidRPr="008D1A07">
        <w:rPr>
          <w:color w:val="0D0D0D"/>
          <w:spacing w:val="-2"/>
        </w:rPr>
        <w:t>Steinhauser</w:t>
      </w:r>
      <w:proofErr w:type="spellEnd"/>
      <w:r w:rsidRPr="008D1A07">
        <w:rPr>
          <w:color w:val="0D0D0D"/>
          <w:spacing w:val="-2"/>
        </w:rPr>
        <w:t xml:space="preserve"> S, </w:t>
      </w:r>
      <w:proofErr w:type="spellStart"/>
      <w:r w:rsidRPr="008D1A07">
        <w:rPr>
          <w:color w:val="0D0D0D"/>
          <w:spacing w:val="-2"/>
        </w:rPr>
        <w:t>Pohlmann</w:t>
      </w:r>
      <w:proofErr w:type="spellEnd"/>
      <w:r w:rsidRPr="008D1A07">
        <w:rPr>
          <w:color w:val="0D0D0D"/>
          <w:spacing w:val="-2"/>
        </w:rPr>
        <w:t xml:space="preserve"> A, et al. Time from diagnosis to treatment has no impact on survival in newly diagnosed acute myeloid leukemia treated with </w:t>
      </w:r>
      <w:proofErr w:type="spellStart"/>
      <w:r w:rsidRPr="008D1A07">
        <w:rPr>
          <w:color w:val="0D0D0D"/>
          <w:spacing w:val="-2"/>
        </w:rPr>
        <w:t>venetoclax</w:t>
      </w:r>
      <w:proofErr w:type="spellEnd"/>
      <w:r w:rsidRPr="008D1A07">
        <w:rPr>
          <w:color w:val="0D0D0D"/>
          <w:spacing w:val="-2"/>
        </w:rPr>
        <w:t xml:space="preserve">-based regimens. </w:t>
      </w:r>
      <w:proofErr w:type="spellStart"/>
      <w:r w:rsidRPr="008D1A07">
        <w:rPr>
          <w:color w:val="0D0D0D"/>
          <w:spacing w:val="-2"/>
        </w:rPr>
        <w:t>Haematologica</w:t>
      </w:r>
      <w:proofErr w:type="spellEnd"/>
      <w:r w:rsidRPr="008D1A07">
        <w:rPr>
          <w:color w:val="0D0D0D"/>
          <w:spacing w:val="-2"/>
        </w:rPr>
        <w:t xml:space="preserve"> [Internet]. 2024 Apr 24 [cited 2024 Nov 27]; Available from: </w:t>
      </w:r>
      <w:hyperlink r:id="rId24" w:history="1">
        <w:r w:rsidRPr="008D1A07">
          <w:rPr>
            <w:rStyle w:val="Hyperlink"/>
            <w:spacing w:val="-2"/>
          </w:rPr>
          <w:t>https://haematologica</w:t>
        </w:r>
      </w:hyperlink>
      <w:r w:rsidRPr="008D1A07">
        <w:rPr>
          <w:color w:val="0D0D0D"/>
          <w:spacing w:val="-2"/>
        </w:rPr>
        <w:t>.org/article/view/haematol.2024.285225</w:t>
      </w:r>
    </w:p>
    <w:p w14:paraId="07B7F264" w14:textId="77777777" w:rsidR="007B0AB7" w:rsidRPr="008D1A07" w:rsidRDefault="007B0AB7" w:rsidP="007B0AB7">
      <w:pPr>
        <w:pStyle w:val="BodyText"/>
        <w:numPr>
          <w:ilvl w:val="0"/>
          <w:numId w:val="11"/>
        </w:numPr>
        <w:spacing w:line="480" w:lineRule="auto"/>
        <w:ind w:left="425" w:right="4"/>
        <w:jc w:val="both"/>
        <w:rPr>
          <w:color w:val="0D0D0D"/>
          <w:spacing w:val="-2"/>
        </w:rPr>
      </w:pPr>
      <w:r w:rsidRPr="008D1A07">
        <w:rPr>
          <w:color w:val="0D0D0D"/>
          <w:spacing w:val="-2"/>
        </w:rPr>
        <w:t xml:space="preserve">Franco S, </w:t>
      </w:r>
      <w:proofErr w:type="spellStart"/>
      <w:r w:rsidRPr="008D1A07">
        <w:rPr>
          <w:color w:val="0D0D0D"/>
          <w:spacing w:val="-2"/>
        </w:rPr>
        <w:t>Geng</w:t>
      </w:r>
      <w:proofErr w:type="spellEnd"/>
      <w:r w:rsidRPr="008D1A07">
        <w:rPr>
          <w:color w:val="0D0D0D"/>
          <w:spacing w:val="-2"/>
        </w:rPr>
        <w:t xml:space="preserve"> X, </w:t>
      </w:r>
      <w:proofErr w:type="spellStart"/>
      <w:r w:rsidRPr="008D1A07">
        <w:rPr>
          <w:color w:val="0D0D0D"/>
          <w:spacing w:val="-2"/>
        </w:rPr>
        <w:t>Korostyshevskiy</w:t>
      </w:r>
      <w:proofErr w:type="spellEnd"/>
      <w:r w:rsidRPr="008D1A07">
        <w:rPr>
          <w:color w:val="0D0D0D"/>
          <w:spacing w:val="-2"/>
        </w:rPr>
        <w:t xml:space="preserve"> V, Karp JE, Lai C. Systematic review and meta-analysis: Prognostic impact of time from diagnosis to treatment in patients with acute myeloid leukemia. Cancer [Internet]. 2023 Oct 1 [cited 2024 May 21];129(19):2975–85</w:t>
      </w:r>
    </w:p>
    <w:p w14:paraId="36DA9D07" w14:textId="77777777" w:rsidR="007B0AB7" w:rsidRPr="008D1A07" w:rsidRDefault="007B0AB7" w:rsidP="007B0AB7">
      <w:pPr>
        <w:pStyle w:val="ListParagraph"/>
        <w:numPr>
          <w:ilvl w:val="0"/>
          <w:numId w:val="11"/>
        </w:numPr>
        <w:spacing w:line="480" w:lineRule="auto"/>
        <w:ind w:left="425"/>
        <w:rPr>
          <w:spacing w:val="-2"/>
        </w:rPr>
      </w:pPr>
      <w:r w:rsidRPr="008D1A07">
        <w:rPr>
          <w:spacing w:val="-2"/>
        </w:rPr>
        <w:t>National Comprehensive Cancer Network. (2024, May 17). NCCN Guidelines Version 3.2024 Acute Myeloid Leukemia.</w:t>
      </w:r>
    </w:p>
    <w:p w14:paraId="7BC6DFF2" w14:textId="77777777" w:rsidR="007B0AB7" w:rsidRPr="00CF17A6" w:rsidRDefault="007B0AB7" w:rsidP="007B0AB7">
      <w:pPr>
        <w:pStyle w:val="ListParagraph"/>
        <w:numPr>
          <w:ilvl w:val="0"/>
          <w:numId w:val="11"/>
        </w:numPr>
        <w:spacing w:line="480" w:lineRule="auto"/>
        <w:ind w:left="425"/>
        <w:rPr>
          <w:spacing w:val="-2"/>
        </w:rPr>
      </w:pPr>
      <w:proofErr w:type="spellStart"/>
      <w:r w:rsidRPr="008D1A07">
        <w:rPr>
          <w:spacing w:val="-2"/>
        </w:rPr>
        <w:t>Oken</w:t>
      </w:r>
      <w:proofErr w:type="spellEnd"/>
      <w:r w:rsidRPr="008D1A07">
        <w:rPr>
          <w:spacing w:val="-2"/>
        </w:rPr>
        <w:t xml:space="preserve">, M. M., Creech, R. H., </w:t>
      </w:r>
      <w:proofErr w:type="spellStart"/>
      <w:r w:rsidRPr="008D1A07">
        <w:rPr>
          <w:spacing w:val="-2"/>
        </w:rPr>
        <w:t>Tormey</w:t>
      </w:r>
      <w:proofErr w:type="spellEnd"/>
      <w:r w:rsidRPr="008D1A07">
        <w:rPr>
          <w:spacing w:val="-2"/>
        </w:rPr>
        <w:t>, D. C., Horton, J., Davis, T. E., McFadden, E. T., &amp; Carbone, P. P. (1982). Toxicity and response criteria of the Eastern Cooperative Oncology Group. American journal of clinical oncology, 5(6), 649–655.</w:t>
      </w:r>
    </w:p>
    <w:p w14:paraId="178A2EEB" w14:textId="77777777" w:rsidR="007B0AB7" w:rsidRPr="008D1A07" w:rsidRDefault="007B0AB7" w:rsidP="007B0AB7">
      <w:pPr>
        <w:pStyle w:val="ListParagraph"/>
        <w:numPr>
          <w:ilvl w:val="0"/>
          <w:numId w:val="11"/>
        </w:numPr>
        <w:spacing w:line="480" w:lineRule="auto"/>
        <w:ind w:left="425"/>
        <w:rPr>
          <w:spacing w:val="-2"/>
        </w:rPr>
      </w:pPr>
      <w:proofErr w:type="spellStart"/>
      <w:r w:rsidRPr="008D1A07">
        <w:rPr>
          <w:spacing w:val="-2"/>
        </w:rPr>
        <w:t>Döhner</w:t>
      </w:r>
      <w:proofErr w:type="spellEnd"/>
      <w:r w:rsidRPr="008D1A07">
        <w:rPr>
          <w:spacing w:val="-2"/>
        </w:rPr>
        <w:t xml:space="preserve"> H, Wei AH, Appelbaum FR, Craddock C, DiNardo CD, </w:t>
      </w:r>
      <w:proofErr w:type="spellStart"/>
      <w:r w:rsidRPr="008D1A07">
        <w:rPr>
          <w:spacing w:val="-2"/>
        </w:rPr>
        <w:t>Dombret</w:t>
      </w:r>
      <w:proofErr w:type="spellEnd"/>
      <w:r w:rsidRPr="008D1A07">
        <w:rPr>
          <w:spacing w:val="-2"/>
        </w:rPr>
        <w:t xml:space="preserve"> H, et al. Diagnosis and Management of AML in Adults: 2022 ELN Recommendations from an International Expert Panel. Blood [Internet]. 2022 Jul 7;140(12). Available from: </w:t>
      </w:r>
      <w:hyperlink r:id="rId25" w:history="1">
        <w:r w:rsidRPr="008D1A07">
          <w:rPr>
            <w:rStyle w:val="Hyperlink"/>
            <w:spacing w:val="-2"/>
          </w:rPr>
          <w:t>https://ashpublications.org/blood/article/140/12/1345/485817/Diagnosis-and-management-of-AML-in-adults-2022</w:t>
        </w:r>
      </w:hyperlink>
    </w:p>
    <w:p w14:paraId="2B36A558" w14:textId="77777777" w:rsidR="007B0AB7" w:rsidRPr="008D1A07" w:rsidRDefault="007B0AB7" w:rsidP="007B0AB7">
      <w:pPr>
        <w:pStyle w:val="ListParagraph"/>
        <w:numPr>
          <w:ilvl w:val="0"/>
          <w:numId w:val="11"/>
        </w:numPr>
        <w:spacing w:line="480" w:lineRule="auto"/>
        <w:ind w:left="425"/>
        <w:rPr>
          <w:spacing w:val="-2"/>
        </w:rPr>
      </w:pPr>
      <w:proofErr w:type="spellStart"/>
      <w:r w:rsidRPr="008D1A07">
        <w:rPr>
          <w:spacing w:val="-2"/>
        </w:rPr>
        <w:t>Sorror</w:t>
      </w:r>
      <w:proofErr w:type="spellEnd"/>
      <w:r w:rsidRPr="008D1A07">
        <w:rPr>
          <w:spacing w:val="-2"/>
        </w:rPr>
        <w:t xml:space="preserve"> ML, Maris MB, </w:t>
      </w:r>
      <w:proofErr w:type="spellStart"/>
      <w:r w:rsidRPr="008D1A07">
        <w:rPr>
          <w:spacing w:val="-2"/>
        </w:rPr>
        <w:t>Storb</w:t>
      </w:r>
      <w:proofErr w:type="spellEnd"/>
      <w:r w:rsidRPr="008D1A07">
        <w:rPr>
          <w:spacing w:val="-2"/>
        </w:rPr>
        <w:t xml:space="preserve"> R, Baron F, </w:t>
      </w:r>
      <w:proofErr w:type="spellStart"/>
      <w:r w:rsidRPr="008D1A07">
        <w:rPr>
          <w:spacing w:val="-2"/>
        </w:rPr>
        <w:t>Sandmaier</w:t>
      </w:r>
      <w:proofErr w:type="spellEnd"/>
      <w:r w:rsidRPr="008D1A07">
        <w:rPr>
          <w:spacing w:val="-2"/>
        </w:rPr>
        <w:t xml:space="preserve"> BM, Maloney DG, et al. Hematopoietic cell transplantation (HCT)-specific comorbidity index: a new tool for risk assessment before allogeneic HCT. Blood. 2005 Oct 15;106(8):2912–9.</w:t>
      </w:r>
    </w:p>
    <w:p w14:paraId="6A71EEBE" w14:textId="77777777" w:rsidR="007B0AB7" w:rsidRPr="002E3D64" w:rsidRDefault="007B0AB7" w:rsidP="007B0AB7">
      <w:pPr>
        <w:pStyle w:val="BodyText"/>
        <w:numPr>
          <w:ilvl w:val="0"/>
          <w:numId w:val="11"/>
        </w:numPr>
        <w:spacing w:line="480" w:lineRule="auto"/>
        <w:ind w:left="425" w:right="6"/>
        <w:jc w:val="both"/>
        <w:rPr>
          <w:rStyle w:val="Hyperlink"/>
          <w:spacing w:val="-2"/>
        </w:rPr>
      </w:pPr>
      <w:r w:rsidRPr="008D1A07">
        <w:rPr>
          <w:spacing w:val="-2"/>
        </w:rPr>
        <w:lastRenderedPageBreak/>
        <w:t xml:space="preserve">Abhishek </w:t>
      </w:r>
      <w:proofErr w:type="spellStart"/>
      <w:r w:rsidRPr="008D1A07">
        <w:rPr>
          <w:spacing w:val="-2"/>
        </w:rPr>
        <w:t>Maiti</w:t>
      </w:r>
      <w:proofErr w:type="spellEnd"/>
      <w:r w:rsidRPr="008D1A07">
        <w:rPr>
          <w:spacing w:val="-2"/>
        </w:rPr>
        <w:t xml:space="preserve">, </w:t>
      </w:r>
      <w:proofErr w:type="spellStart"/>
      <w:r w:rsidRPr="008D1A07">
        <w:rPr>
          <w:spacing w:val="-2"/>
        </w:rPr>
        <w:t>Kantarjian</w:t>
      </w:r>
      <w:proofErr w:type="spellEnd"/>
      <w:r w:rsidRPr="008D1A07">
        <w:rPr>
          <w:spacing w:val="-2"/>
        </w:rPr>
        <w:t xml:space="preserve"> HM, </w:t>
      </w:r>
      <w:proofErr w:type="spellStart"/>
      <w:r w:rsidRPr="008D1A07">
        <w:rPr>
          <w:spacing w:val="-2"/>
        </w:rPr>
        <w:t>Popat</w:t>
      </w:r>
      <w:proofErr w:type="spellEnd"/>
      <w:r w:rsidRPr="008D1A07">
        <w:rPr>
          <w:spacing w:val="-2"/>
        </w:rPr>
        <w:t xml:space="preserve"> V, Gautam </w:t>
      </w:r>
      <w:proofErr w:type="spellStart"/>
      <w:r w:rsidRPr="008D1A07">
        <w:rPr>
          <w:spacing w:val="-2"/>
        </w:rPr>
        <w:t>Borthakur</w:t>
      </w:r>
      <w:proofErr w:type="spellEnd"/>
      <w:r w:rsidRPr="008D1A07">
        <w:rPr>
          <w:spacing w:val="-2"/>
        </w:rPr>
        <w:t>, Garcia-</w:t>
      </w:r>
      <w:proofErr w:type="spellStart"/>
      <w:r w:rsidRPr="008D1A07">
        <w:rPr>
          <w:spacing w:val="-2"/>
        </w:rPr>
        <w:t>Manero</w:t>
      </w:r>
      <w:proofErr w:type="spellEnd"/>
      <w:r w:rsidRPr="008D1A07">
        <w:rPr>
          <w:spacing w:val="-2"/>
        </w:rPr>
        <w:t xml:space="preserve"> G, </w:t>
      </w:r>
      <w:proofErr w:type="spellStart"/>
      <w:r w:rsidRPr="008D1A07">
        <w:rPr>
          <w:spacing w:val="-2"/>
        </w:rPr>
        <w:t>Konopleva</w:t>
      </w:r>
      <w:proofErr w:type="spellEnd"/>
      <w:r w:rsidRPr="008D1A07">
        <w:rPr>
          <w:spacing w:val="-2"/>
        </w:rPr>
        <w:t xml:space="preserve"> M, et al. Clinical value of event-free survival in acute myeloid leukemia. 2020 Apr 24 [cited 2023 Aug 3]; Available from: </w:t>
      </w:r>
      <w:hyperlink r:id="rId26" w:history="1">
        <w:r w:rsidRPr="004E26F3">
          <w:rPr>
            <w:rStyle w:val="Hyperlink"/>
            <w:spacing w:val="-2"/>
          </w:rPr>
          <w:t>https://www.ncbi.nlm.nih.gov/pmc/articles/PMC7189295/</w:t>
        </w:r>
      </w:hyperlink>
    </w:p>
    <w:p w14:paraId="2FE0DDB2" w14:textId="77777777" w:rsidR="007B0AB7" w:rsidRDefault="007B0AB7" w:rsidP="007B0AB7">
      <w:pPr>
        <w:pStyle w:val="BodyText"/>
        <w:numPr>
          <w:ilvl w:val="0"/>
          <w:numId w:val="11"/>
        </w:numPr>
        <w:spacing w:line="480" w:lineRule="auto"/>
        <w:ind w:left="425" w:right="6"/>
        <w:jc w:val="both"/>
        <w:rPr>
          <w:spacing w:val="-2"/>
        </w:rPr>
      </w:pPr>
      <w:r w:rsidRPr="002E3D64">
        <w:rPr>
          <w:spacing w:val="-2"/>
        </w:rPr>
        <w:t>National Cancer Institute. Adult Acute Myeloid Leukemia Treatment [Internet]. National</w:t>
      </w:r>
      <w:r>
        <w:rPr>
          <w:spacing w:val="-2"/>
        </w:rPr>
        <w:t xml:space="preserve"> </w:t>
      </w:r>
      <w:r w:rsidRPr="002E3D64">
        <w:rPr>
          <w:spacing w:val="-2"/>
        </w:rPr>
        <w:t xml:space="preserve">Cancer Institute. Cancer.gov; 2019. Available from: </w:t>
      </w:r>
      <w:hyperlink r:id="rId27" w:history="1">
        <w:r w:rsidRPr="002E6498">
          <w:rPr>
            <w:rStyle w:val="Hyperlink"/>
            <w:spacing w:val="-2"/>
          </w:rPr>
          <w:t>https://www.cancer.gov/types/leukemia/hp/adult-aml-treatment-pdq</w:t>
        </w:r>
      </w:hyperlink>
    </w:p>
    <w:p w14:paraId="60A5B401" w14:textId="77777777" w:rsidR="007B0AB7" w:rsidRDefault="007B0AB7" w:rsidP="007B0AB7">
      <w:pPr>
        <w:pStyle w:val="BodyText"/>
        <w:numPr>
          <w:ilvl w:val="0"/>
          <w:numId w:val="11"/>
        </w:numPr>
        <w:spacing w:line="480" w:lineRule="auto"/>
        <w:ind w:left="425" w:right="6"/>
        <w:jc w:val="both"/>
        <w:rPr>
          <w:spacing w:val="-2"/>
        </w:rPr>
      </w:pPr>
      <w:proofErr w:type="spellStart"/>
      <w:r w:rsidRPr="00A57CC6">
        <w:rPr>
          <w:spacing w:val="-2"/>
        </w:rPr>
        <w:t>Itzykson</w:t>
      </w:r>
      <w:proofErr w:type="spellEnd"/>
      <w:r w:rsidRPr="00A57CC6">
        <w:rPr>
          <w:spacing w:val="-2"/>
        </w:rPr>
        <w:t xml:space="preserve"> R, </w:t>
      </w:r>
      <w:proofErr w:type="spellStart"/>
      <w:r w:rsidRPr="00A57CC6">
        <w:rPr>
          <w:spacing w:val="-2"/>
        </w:rPr>
        <w:t>Gardin</w:t>
      </w:r>
      <w:proofErr w:type="spellEnd"/>
      <w:r w:rsidRPr="00A57CC6">
        <w:rPr>
          <w:spacing w:val="-2"/>
        </w:rPr>
        <w:t xml:space="preserve"> C, </w:t>
      </w:r>
      <w:proofErr w:type="spellStart"/>
      <w:r w:rsidRPr="00A57CC6">
        <w:rPr>
          <w:spacing w:val="-2"/>
        </w:rPr>
        <w:t>Pautas</w:t>
      </w:r>
      <w:proofErr w:type="spellEnd"/>
      <w:r w:rsidRPr="00A57CC6">
        <w:rPr>
          <w:spacing w:val="-2"/>
        </w:rPr>
        <w:t xml:space="preserve"> C, Thomas X, </w:t>
      </w:r>
      <w:proofErr w:type="spellStart"/>
      <w:r w:rsidRPr="00A57CC6">
        <w:rPr>
          <w:spacing w:val="-2"/>
        </w:rPr>
        <w:t>Turlure</w:t>
      </w:r>
      <w:proofErr w:type="spellEnd"/>
      <w:r w:rsidRPr="00A57CC6">
        <w:rPr>
          <w:spacing w:val="-2"/>
        </w:rPr>
        <w:t xml:space="preserve"> P, </w:t>
      </w:r>
      <w:proofErr w:type="spellStart"/>
      <w:r w:rsidRPr="00A57CC6">
        <w:rPr>
          <w:spacing w:val="-2"/>
        </w:rPr>
        <w:t>Raffoux</w:t>
      </w:r>
      <w:proofErr w:type="spellEnd"/>
      <w:r w:rsidRPr="00A57CC6">
        <w:rPr>
          <w:spacing w:val="-2"/>
        </w:rPr>
        <w:t xml:space="preserve"> E, et al. Impact of post-remission therapy in patients aged 65-70 years with de novo acute myeloid leukemia: a comparison of two concomitant randomized ALFA trials with overlapping age inclusion criteria. </w:t>
      </w:r>
      <w:proofErr w:type="spellStart"/>
      <w:r w:rsidRPr="00A57CC6">
        <w:rPr>
          <w:spacing w:val="-2"/>
        </w:rPr>
        <w:t>Haematologica</w:t>
      </w:r>
      <w:proofErr w:type="spellEnd"/>
      <w:r w:rsidRPr="00A57CC6">
        <w:rPr>
          <w:spacing w:val="-2"/>
        </w:rPr>
        <w:t xml:space="preserve"> [Internet]. 2011 Apr 1 [cited 2025 Jan 24];96(6):837–44. Available from: </w:t>
      </w:r>
      <w:hyperlink r:id="rId28" w:history="1">
        <w:r w:rsidRPr="002E6498">
          <w:rPr>
            <w:rStyle w:val="Hyperlink"/>
            <w:spacing w:val="-2"/>
          </w:rPr>
          <w:t>https://haematologica.org/article/view/5990</w:t>
        </w:r>
      </w:hyperlink>
    </w:p>
    <w:p w14:paraId="4FF768FF" w14:textId="77777777" w:rsidR="007B0AB7" w:rsidRDefault="007B0AB7" w:rsidP="007B0AB7">
      <w:pPr>
        <w:pStyle w:val="BodyText"/>
        <w:numPr>
          <w:ilvl w:val="0"/>
          <w:numId w:val="11"/>
        </w:numPr>
        <w:spacing w:line="480" w:lineRule="auto"/>
        <w:ind w:left="425" w:right="6"/>
        <w:jc w:val="both"/>
        <w:rPr>
          <w:spacing w:val="-2"/>
        </w:rPr>
      </w:pPr>
      <w:r w:rsidRPr="00E44E92">
        <w:rPr>
          <w:spacing w:val="-2"/>
        </w:rPr>
        <w:t xml:space="preserve">Vasu S, </w:t>
      </w:r>
      <w:proofErr w:type="spellStart"/>
      <w:r w:rsidRPr="00E44E92">
        <w:rPr>
          <w:spacing w:val="-2"/>
        </w:rPr>
        <w:t>Kohlschmidt</w:t>
      </w:r>
      <w:proofErr w:type="spellEnd"/>
      <w:r w:rsidRPr="00E44E92">
        <w:rPr>
          <w:spacing w:val="-2"/>
        </w:rPr>
        <w:t xml:space="preserve"> J, </w:t>
      </w:r>
      <w:proofErr w:type="spellStart"/>
      <w:r w:rsidRPr="00E44E92">
        <w:rPr>
          <w:spacing w:val="-2"/>
        </w:rPr>
        <w:t>Mrózek</w:t>
      </w:r>
      <w:proofErr w:type="spellEnd"/>
      <w:r w:rsidRPr="00E44E92">
        <w:rPr>
          <w:spacing w:val="-2"/>
        </w:rPr>
        <w:t xml:space="preserve"> K, </w:t>
      </w:r>
      <w:proofErr w:type="spellStart"/>
      <w:r w:rsidRPr="00E44E92">
        <w:rPr>
          <w:spacing w:val="-2"/>
        </w:rPr>
        <w:t>Eisfeld</w:t>
      </w:r>
      <w:proofErr w:type="spellEnd"/>
      <w:r w:rsidRPr="00E44E92">
        <w:rPr>
          <w:spacing w:val="-2"/>
        </w:rPr>
        <w:t xml:space="preserve"> AK, Nicolet D, Sterling LJ, et al. Ten-year outcome of patients with acute myeloid leukemia not treated with allogeneic transplantation in first complete remission. Blood Advances [Internet]. 2018 Jul 10 [cited 2022 Oct 25];2(13):1645–50. Available from: </w:t>
      </w:r>
      <w:hyperlink r:id="rId29" w:history="1">
        <w:r w:rsidRPr="002E6498">
          <w:rPr>
            <w:rStyle w:val="Hyperlink"/>
            <w:spacing w:val="-2"/>
          </w:rPr>
          <w:t>https://www.ncbi.nlm.nih.gov/pmc/articles/PMC6039651/</w:t>
        </w:r>
      </w:hyperlink>
    </w:p>
    <w:p w14:paraId="6183E849" w14:textId="77777777" w:rsidR="007B0AB7" w:rsidRDefault="007B0AB7" w:rsidP="007B0AB7">
      <w:pPr>
        <w:pStyle w:val="BodyText"/>
        <w:numPr>
          <w:ilvl w:val="0"/>
          <w:numId w:val="11"/>
        </w:numPr>
        <w:spacing w:line="480" w:lineRule="auto"/>
        <w:ind w:left="425" w:right="6"/>
        <w:jc w:val="both"/>
        <w:rPr>
          <w:spacing w:val="-2"/>
        </w:rPr>
      </w:pPr>
      <w:r w:rsidRPr="00E44E92">
        <w:rPr>
          <w:spacing w:val="-2"/>
        </w:rPr>
        <w:t xml:space="preserve">Canner J, Alonzo TA, Franklin J, </w:t>
      </w:r>
      <w:proofErr w:type="spellStart"/>
      <w:r w:rsidRPr="00E44E92">
        <w:rPr>
          <w:spacing w:val="-2"/>
        </w:rPr>
        <w:t>Freyer</w:t>
      </w:r>
      <w:proofErr w:type="spellEnd"/>
      <w:r w:rsidRPr="00E44E92">
        <w:rPr>
          <w:spacing w:val="-2"/>
        </w:rPr>
        <w:t xml:space="preserve"> DR, </w:t>
      </w:r>
      <w:proofErr w:type="spellStart"/>
      <w:r w:rsidRPr="00E44E92">
        <w:rPr>
          <w:spacing w:val="-2"/>
        </w:rPr>
        <w:t>Gamis</w:t>
      </w:r>
      <w:proofErr w:type="spellEnd"/>
      <w:r w:rsidRPr="00E44E92">
        <w:rPr>
          <w:spacing w:val="-2"/>
        </w:rPr>
        <w:t xml:space="preserve"> A, </w:t>
      </w:r>
      <w:proofErr w:type="spellStart"/>
      <w:r w:rsidRPr="00E44E92">
        <w:rPr>
          <w:spacing w:val="-2"/>
        </w:rPr>
        <w:t>Gerbing</w:t>
      </w:r>
      <w:proofErr w:type="spellEnd"/>
      <w:r w:rsidRPr="00E44E92">
        <w:rPr>
          <w:spacing w:val="-2"/>
        </w:rPr>
        <w:t xml:space="preserve"> RB, et al. Differences in outcomes of newly diagnosed acute myeloid leukemia for adolescent/young adult and younger patients. Cancer. 2013 Sep 19;119(23):4162–9.</w:t>
      </w:r>
    </w:p>
    <w:p w14:paraId="1C7316B5" w14:textId="77777777" w:rsidR="007B0AB7" w:rsidRDefault="007B0AB7" w:rsidP="007B0AB7">
      <w:pPr>
        <w:pStyle w:val="BodyText"/>
        <w:numPr>
          <w:ilvl w:val="0"/>
          <w:numId w:val="11"/>
        </w:numPr>
        <w:spacing w:line="480" w:lineRule="auto"/>
        <w:ind w:left="425" w:right="6"/>
        <w:jc w:val="both"/>
        <w:rPr>
          <w:spacing w:val="-2"/>
        </w:rPr>
      </w:pPr>
      <w:proofErr w:type="spellStart"/>
      <w:r w:rsidRPr="0023471A">
        <w:rPr>
          <w:spacing w:val="-2"/>
        </w:rPr>
        <w:t>Roboz</w:t>
      </w:r>
      <w:proofErr w:type="spellEnd"/>
      <w:r w:rsidRPr="0023471A">
        <w:rPr>
          <w:spacing w:val="-2"/>
        </w:rPr>
        <w:t xml:space="preserve"> GJ. Current treatment of acute myeloid leukemia. Current Opinion in Oncology. 2012 Nov;24(6):711–9.</w:t>
      </w:r>
    </w:p>
    <w:p w14:paraId="063ADD99" w14:textId="77777777" w:rsidR="007B0AB7" w:rsidRDefault="007B0AB7" w:rsidP="007B0AB7">
      <w:pPr>
        <w:pStyle w:val="BodyText"/>
        <w:numPr>
          <w:ilvl w:val="0"/>
          <w:numId w:val="11"/>
        </w:numPr>
        <w:spacing w:line="480" w:lineRule="auto"/>
        <w:ind w:left="425" w:right="6"/>
        <w:jc w:val="both"/>
        <w:rPr>
          <w:spacing w:val="-2"/>
        </w:rPr>
      </w:pPr>
      <w:r w:rsidRPr="00726447">
        <w:rPr>
          <w:spacing w:val="-2"/>
        </w:rPr>
        <w:t xml:space="preserve">Buckley SA, Percival ME, </w:t>
      </w:r>
      <w:proofErr w:type="spellStart"/>
      <w:r w:rsidRPr="00726447">
        <w:rPr>
          <w:spacing w:val="-2"/>
        </w:rPr>
        <w:t>Othus</w:t>
      </w:r>
      <w:proofErr w:type="spellEnd"/>
      <w:r w:rsidRPr="00726447">
        <w:rPr>
          <w:spacing w:val="-2"/>
        </w:rPr>
        <w:t xml:space="preserve"> M, Halpern AB, Huebner EM, Becker PS, et al. A comparison of patients with acute myeloid leukemia and high-risk myelodysplastic syndrome treated on versus off study. Leukemia &amp; lymphoma/Leukemia and lymphoma [Internet]. 2018 Oct 2 [cited </w:t>
      </w:r>
      <w:r w:rsidRPr="00726447">
        <w:rPr>
          <w:spacing w:val="-2"/>
        </w:rPr>
        <w:lastRenderedPageBreak/>
        <w:t xml:space="preserve">2025 Jan 24];60(4):1023–9. Available from: </w:t>
      </w:r>
      <w:hyperlink r:id="rId30" w:history="1">
        <w:r w:rsidRPr="002E6498">
          <w:rPr>
            <w:rStyle w:val="Hyperlink"/>
            <w:spacing w:val="-2"/>
          </w:rPr>
          <w:t>https://pmc.ncbi.nlm.nih.gov/articles/PMC6445790/</w:t>
        </w:r>
      </w:hyperlink>
    </w:p>
    <w:p w14:paraId="1B53E0C5" w14:textId="77777777" w:rsidR="007B0AB7" w:rsidRDefault="007B0AB7" w:rsidP="007B0AB7">
      <w:pPr>
        <w:pStyle w:val="BodyText"/>
        <w:numPr>
          <w:ilvl w:val="0"/>
          <w:numId w:val="11"/>
        </w:numPr>
        <w:spacing w:line="480" w:lineRule="auto"/>
        <w:ind w:left="425" w:right="6"/>
        <w:jc w:val="both"/>
        <w:rPr>
          <w:spacing w:val="-2"/>
        </w:rPr>
      </w:pPr>
      <w:proofErr w:type="spellStart"/>
      <w:r w:rsidRPr="00F25CB5">
        <w:rPr>
          <w:spacing w:val="-2"/>
        </w:rPr>
        <w:t>Catapia</w:t>
      </w:r>
      <w:proofErr w:type="spellEnd"/>
      <w:r w:rsidRPr="00F25CB5">
        <w:rPr>
          <w:spacing w:val="-2"/>
        </w:rPr>
        <w:t xml:space="preserve"> JRM, Chen EB, </w:t>
      </w:r>
      <w:proofErr w:type="spellStart"/>
      <w:r w:rsidRPr="00F25CB5">
        <w:rPr>
          <w:spacing w:val="-2"/>
        </w:rPr>
        <w:t>Gauiran</w:t>
      </w:r>
      <w:proofErr w:type="spellEnd"/>
      <w:r w:rsidRPr="00F25CB5">
        <w:rPr>
          <w:spacing w:val="-2"/>
        </w:rPr>
        <w:t xml:space="preserve"> DTV, </w:t>
      </w:r>
      <w:proofErr w:type="spellStart"/>
      <w:r w:rsidRPr="00F25CB5">
        <w:rPr>
          <w:spacing w:val="-2"/>
        </w:rPr>
        <w:t>Dumagay</w:t>
      </w:r>
      <w:proofErr w:type="spellEnd"/>
      <w:r w:rsidRPr="00F25CB5">
        <w:rPr>
          <w:spacing w:val="-2"/>
        </w:rPr>
        <w:t xml:space="preserve"> TE. Clinical Profile of Patients with Acute Myeloid Leukemia: Evaluation of Outcomes in The Real-World Setting. </w:t>
      </w:r>
      <w:proofErr w:type="spellStart"/>
      <w:r w:rsidRPr="00F25CB5">
        <w:rPr>
          <w:spacing w:val="-2"/>
        </w:rPr>
        <w:t>Haematologica</w:t>
      </w:r>
      <w:proofErr w:type="spellEnd"/>
      <w:r w:rsidRPr="00F25CB5">
        <w:rPr>
          <w:spacing w:val="-2"/>
        </w:rPr>
        <w:t>. 2021;106(3):751-759.</w:t>
      </w:r>
    </w:p>
    <w:p w14:paraId="7BE2A327" w14:textId="77777777" w:rsidR="007B0AB7" w:rsidRPr="00250977" w:rsidRDefault="007B0AB7" w:rsidP="007B0AB7">
      <w:pPr>
        <w:pStyle w:val="BodyText"/>
        <w:spacing w:line="480" w:lineRule="auto"/>
        <w:ind w:left="425" w:right="6"/>
        <w:jc w:val="both"/>
        <w:rPr>
          <w:spacing w:val="-2"/>
        </w:rPr>
      </w:pPr>
    </w:p>
    <w:p w14:paraId="409A1B36" w14:textId="77777777" w:rsidR="007B0AB7" w:rsidRDefault="007B0AB7" w:rsidP="007B0AB7">
      <w:pPr>
        <w:pStyle w:val="BodyText"/>
        <w:spacing w:line="480" w:lineRule="auto"/>
        <w:ind w:right="4"/>
        <w:jc w:val="both"/>
        <w:rPr>
          <w:b/>
          <w:bCs/>
          <w:color w:val="0D0D0D"/>
          <w:spacing w:val="-2"/>
        </w:rPr>
      </w:pPr>
      <w:r>
        <w:rPr>
          <w:b/>
          <w:bCs/>
          <w:color w:val="0D0D0D"/>
          <w:spacing w:val="-2"/>
        </w:rPr>
        <w:t>APPENDIX I. Supplemental Tables</w:t>
      </w:r>
    </w:p>
    <w:p w14:paraId="7312ACD2" w14:textId="77777777" w:rsidR="007B0AB7" w:rsidRDefault="007B0AB7" w:rsidP="007B0AB7">
      <w:pPr>
        <w:pStyle w:val="BodyText"/>
        <w:spacing w:line="480" w:lineRule="auto"/>
        <w:ind w:right="4"/>
        <w:jc w:val="both"/>
        <w:rPr>
          <w:b/>
          <w:bCs/>
          <w:color w:val="0D0D0D"/>
          <w:spacing w:val="-2"/>
        </w:rPr>
      </w:pPr>
      <w:r>
        <w:rPr>
          <w:b/>
          <w:bCs/>
          <w:color w:val="0D0D0D"/>
          <w:spacing w:val="-2"/>
        </w:rPr>
        <w:t xml:space="preserve">Table 7. </w:t>
      </w:r>
      <w:r w:rsidRPr="0076579E">
        <w:rPr>
          <w:b/>
          <w:bCs/>
          <w:color w:val="0D0D0D"/>
          <w:spacing w:val="-2"/>
        </w:rPr>
        <w:t>Hematopoietic Cell Transplantation – specific Comorbidity Index</w:t>
      </w:r>
    </w:p>
    <w:tbl>
      <w:tblPr>
        <w:tblW w:w="949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1"/>
        <w:gridCol w:w="1719"/>
        <w:gridCol w:w="1957"/>
        <w:gridCol w:w="1984"/>
        <w:gridCol w:w="2127"/>
      </w:tblGrid>
      <w:tr w:rsidR="007B0AB7" w:rsidRPr="0076579E" w14:paraId="66961B12"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2E7CFC0F" w14:textId="77777777" w:rsidR="007B0AB7" w:rsidRPr="0076579E" w:rsidRDefault="007B0AB7" w:rsidP="007D412A">
            <w:pPr>
              <w:spacing w:before="75" w:after="75"/>
              <w:rPr>
                <w:color w:val="000000" w:themeColor="text1"/>
                <w:sz w:val="20"/>
                <w:szCs w:val="20"/>
              </w:rPr>
            </w:pPr>
          </w:p>
        </w:tc>
        <w:tc>
          <w:tcPr>
            <w:tcW w:w="0" w:type="auto"/>
            <w:shd w:val="clear" w:color="auto" w:fill="auto"/>
            <w:tcMar>
              <w:top w:w="45" w:type="dxa"/>
              <w:left w:w="150" w:type="dxa"/>
              <w:bottom w:w="0" w:type="dxa"/>
              <w:right w:w="150" w:type="dxa"/>
            </w:tcMar>
            <w:vAlign w:val="center"/>
            <w:hideMark/>
          </w:tcPr>
          <w:p w14:paraId="0BDEAA63" w14:textId="77777777" w:rsidR="007B0AB7" w:rsidRPr="0076579E" w:rsidRDefault="007B0AB7" w:rsidP="007D412A">
            <w:pPr>
              <w:spacing w:before="75" w:after="75"/>
              <w:rPr>
                <w:color w:val="000000" w:themeColor="text1"/>
                <w:sz w:val="20"/>
                <w:szCs w:val="20"/>
              </w:rPr>
            </w:pPr>
            <w:r w:rsidRPr="0076579E">
              <w:rPr>
                <w:b/>
                <w:bCs/>
                <w:color w:val="000000" w:themeColor="text1"/>
                <w:sz w:val="20"/>
                <w:szCs w:val="20"/>
              </w:rPr>
              <w:t>0 points</w:t>
            </w:r>
          </w:p>
        </w:tc>
        <w:tc>
          <w:tcPr>
            <w:tcW w:w="1927" w:type="dxa"/>
            <w:shd w:val="clear" w:color="auto" w:fill="auto"/>
            <w:tcMar>
              <w:top w:w="45" w:type="dxa"/>
              <w:left w:w="150" w:type="dxa"/>
              <w:bottom w:w="0" w:type="dxa"/>
              <w:right w:w="150" w:type="dxa"/>
            </w:tcMar>
            <w:vAlign w:val="center"/>
            <w:hideMark/>
          </w:tcPr>
          <w:p w14:paraId="783B50C2" w14:textId="77777777" w:rsidR="007B0AB7" w:rsidRPr="0076579E" w:rsidRDefault="007B0AB7" w:rsidP="007D412A">
            <w:pPr>
              <w:spacing w:before="75" w:after="75"/>
              <w:rPr>
                <w:color w:val="000000" w:themeColor="text1"/>
                <w:sz w:val="20"/>
                <w:szCs w:val="20"/>
              </w:rPr>
            </w:pPr>
            <w:r w:rsidRPr="0076579E">
              <w:rPr>
                <w:b/>
                <w:bCs/>
                <w:color w:val="000000" w:themeColor="text1"/>
                <w:sz w:val="20"/>
                <w:szCs w:val="20"/>
              </w:rPr>
              <w:t>1 point</w:t>
            </w:r>
          </w:p>
        </w:tc>
        <w:tc>
          <w:tcPr>
            <w:tcW w:w="1954" w:type="dxa"/>
            <w:shd w:val="clear" w:color="auto" w:fill="auto"/>
            <w:tcMar>
              <w:top w:w="45" w:type="dxa"/>
              <w:left w:w="150" w:type="dxa"/>
              <w:bottom w:w="0" w:type="dxa"/>
              <w:right w:w="150" w:type="dxa"/>
            </w:tcMar>
            <w:vAlign w:val="center"/>
            <w:hideMark/>
          </w:tcPr>
          <w:p w14:paraId="1696168B" w14:textId="77777777" w:rsidR="007B0AB7" w:rsidRPr="0076579E" w:rsidRDefault="007B0AB7" w:rsidP="007D412A">
            <w:pPr>
              <w:spacing w:before="75" w:after="75"/>
              <w:rPr>
                <w:color w:val="000000" w:themeColor="text1"/>
                <w:sz w:val="20"/>
                <w:szCs w:val="20"/>
              </w:rPr>
            </w:pPr>
            <w:r w:rsidRPr="0076579E">
              <w:rPr>
                <w:b/>
                <w:bCs/>
                <w:color w:val="000000" w:themeColor="text1"/>
                <w:sz w:val="20"/>
                <w:szCs w:val="20"/>
              </w:rPr>
              <w:t>2 points</w:t>
            </w:r>
          </w:p>
        </w:tc>
        <w:tc>
          <w:tcPr>
            <w:tcW w:w="2082" w:type="dxa"/>
            <w:shd w:val="clear" w:color="auto" w:fill="auto"/>
            <w:tcMar>
              <w:top w:w="45" w:type="dxa"/>
              <w:left w:w="150" w:type="dxa"/>
              <w:bottom w:w="0" w:type="dxa"/>
              <w:right w:w="150" w:type="dxa"/>
            </w:tcMar>
            <w:vAlign w:val="center"/>
            <w:hideMark/>
          </w:tcPr>
          <w:p w14:paraId="16EB93E9" w14:textId="77777777" w:rsidR="007B0AB7" w:rsidRPr="0076579E" w:rsidRDefault="007B0AB7" w:rsidP="007D412A">
            <w:pPr>
              <w:spacing w:before="75" w:after="75"/>
              <w:rPr>
                <w:color w:val="000000" w:themeColor="text1"/>
                <w:sz w:val="20"/>
                <w:szCs w:val="20"/>
              </w:rPr>
            </w:pPr>
            <w:r w:rsidRPr="0076579E">
              <w:rPr>
                <w:b/>
                <w:bCs/>
                <w:color w:val="000000" w:themeColor="text1"/>
                <w:sz w:val="20"/>
                <w:szCs w:val="20"/>
              </w:rPr>
              <w:t>3 points</w:t>
            </w:r>
          </w:p>
        </w:tc>
      </w:tr>
      <w:tr w:rsidR="007B0AB7" w:rsidRPr="0076579E" w14:paraId="507DA59A"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2799820B"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History of arrhythmia</w:t>
            </w:r>
          </w:p>
        </w:tc>
        <w:tc>
          <w:tcPr>
            <w:tcW w:w="0" w:type="auto"/>
            <w:shd w:val="clear" w:color="auto" w:fill="auto"/>
            <w:tcMar>
              <w:top w:w="45" w:type="dxa"/>
              <w:left w:w="150" w:type="dxa"/>
              <w:bottom w:w="0" w:type="dxa"/>
              <w:right w:w="150" w:type="dxa"/>
            </w:tcMar>
            <w:vAlign w:val="center"/>
            <w:hideMark/>
          </w:tcPr>
          <w:p w14:paraId="471EA72E"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w:t>
            </w:r>
          </w:p>
        </w:tc>
        <w:tc>
          <w:tcPr>
            <w:tcW w:w="1927" w:type="dxa"/>
            <w:shd w:val="clear" w:color="auto" w:fill="auto"/>
            <w:tcMar>
              <w:top w:w="45" w:type="dxa"/>
              <w:left w:w="150" w:type="dxa"/>
              <w:bottom w:w="0" w:type="dxa"/>
              <w:right w:w="150" w:type="dxa"/>
            </w:tcMar>
            <w:vAlign w:val="center"/>
            <w:hideMark/>
          </w:tcPr>
          <w:p w14:paraId="7E00589D"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Atrial fibrillation or flutter, sick sinus syndrome, or ventricular arrhythmias</w:t>
            </w:r>
          </w:p>
        </w:tc>
        <w:tc>
          <w:tcPr>
            <w:tcW w:w="1954" w:type="dxa"/>
            <w:shd w:val="clear" w:color="auto" w:fill="auto"/>
            <w:tcMar>
              <w:top w:w="45" w:type="dxa"/>
              <w:left w:w="150" w:type="dxa"/>
              <w:bottom w:w="0" w:type="dxa"/>
              <w:right w:w="150" w:type="dxa"/>
            </w:tcMar>
            <w:vAlign w:val="center"/>
            <w:hideMark/>
          </w:tcPr>
          <w:p w14:paraId="6E54751F"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2082" w:type="dxa"/>
            <w:shd w:val="clear" w:color="auto" w:fill="auto"/>
            <w:tcMar>
              <w:top w:w="45" w:type="dxa"/>
              <w:left w:w="150" w:type="dxa"/>
              <w:bottom w:w="0" w:type="dxa"/>
              <w:right w:w="150" w:type="dxa"/>
            </w:tcMar>
            <w:vAlign w:val="center"/>
            <w:hideMark/>
          </w:tcPr>
          <w:p w14:paraId="391E0A4B"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r>
      <w:tr w:rsidR="007B0AB7" w:rsidRPr="0076579E" w14:paraId="61232383"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7F46F449"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Cardiac dysfunction</w:t>
            </w:r>
          </w:p>
        </w:tc>
        <w:tc>
          <w:tcPr>
            <w:tcW w:w="0" w:type="auto"/>
            <w:shd w:val="clear" w:color="auto" w:fill="auto"/>
            <w:tcMar>
              <w:top w:w="45" w:type="dxa"/>
              <w:left w:w="150" w:type="dxa"/>
              <w:bottom w:w="0" w:type="dxa"/>
              <w:right w:w="150" w:type="dxa"/>
            </w:tcMar>
            <w:vAlign w:val="center"/>
            <w:hideMark/>
          </w:tcPr>
          <w:p w14:paraId="60169193"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w:t>
            </w:r>
          </w:p>
        </w:tc>
        <w:tc>
          <w:tcPr>
            <w:tcW w:w="1927" w:type="dxa"/>
            <w:shd w:val="clear" w:color="auto" w:fill="auto"/>
            <w:tcMar>
              <w:top w:w="45" w:type="dxa"/>
              <w:left w:w="150" w:type="dxa"/>
              <w:bottom w:w="0" w:type="dxa"/>
              <w:right w:w="150" w:type="dxa"/>
            </w:tcMar>
            <w:vAlign w:val="center"/>
            <w:hideMark/>
          </w:tcPr>
          <w:p w14:paraId="5CDB9462"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CAD*, CHF, MI, or EF ≤50%</w:t>
            </w:r>
          </w:p>
        </w:tc>
        <w:tc>
          <w:tcPr>
            <w:tcW w:w="1954" w:type="dxa"/>
            <w:shd w:val="clear" w:color="auto" w:fill="auto"/>
            <w:tcMar>
              <w:top w:w="45" w:type="dxa"/>
              <w:left w:w="150" w:type="dxa"/>
              <w:bottom w:w="0" w:type="dxa"/>
              <w:right w:w="150" w:type="dxa"/>
            </w:tcMar>
            <w:vAlign w:val="center"/>
            <w:hideMark/>
          </w:tcPr>
          <w:p w14:paraId="6ED86797"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2082" w:type="dxa"/>
            <w:shd w:val="clear" w:color="auto" w:fill="auto"/>
            <w:tcMar>
              <w:top w:w="45" w:type="dxa"/>
              <w:left w:w="150" w:type="dxa"/>
              <w:bottom w:w="0" w:type="dxa"/>
              <w:right w:w="150" w:type="dxa"/>
            </w:tcMar>
            <w:vAlign w:val="center"/>
            <w:hideMark/>
          </w:tcPr>
          <w:p w14:paraId="7F0AEC96"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Heart valve disease (except mitral valve prolapse)</w:t>
            </w:r>
          </w:p>
        </w:tc>
      </w:tr>
      <w:tr w:rsidR="007B0AB7" w:rsidRPr="0076579E" w14:paraId="3AD41AFF"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1C163D85"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Inflammatory bowel disease</w:t>
            </w:r>
          </w:p>
        </w:tc>
        <w:tc>
          <w:tcPr>
            <w:tcW w:w="0" w:type="auto"/>
            <w:shd w:val="clear" w:color="auto" w:fill="auto"/>
            <w:tcMar>
              <w:top w:w="45" w:type="dxa"/>
              <w:left w:w="150" w:type="dxa"/>
              <w:bottom w:w="0" w:type="dxa"/>
              <w:right w:w="150" w:type="dxa"/>
            </w:tcMar>
            <w:vAlign w:val="center"/>
            <w:hideMark/>
          </w:tcPr>
          <w:p w14:paraId="1C42E47F"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w:t>
            </w:r>
          </w:p>
        </w:tc>
        <w:tc>
          <w:tcPr>
            <w:tcW w:w="1927" w:type="dxa"/>
            <w:shd w:val="clear" w:color="auto" w:fill="auto"/>
            <w:tcMar>
              <w:top w:w="45" w:type="dxa"/>
              <w:left w:w="150" w:type="dxa"/>
              <w:bottom w:w="0" w:type="dxa"/>
              <w:right w:w="150" w:type="dxa"/>
            </w:tcMar>
            <w:vAlign w:val="center"/>
            <w:hideMark/>
          </w:tcPr>
          <w:p w14:paraId="4D44930F"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Crohn disease or ulcerative colitis</w:t>
            </w:r>
          </w:p>
        </w:tc>
        <w:tc>
          <w:tcPr>
            <w:tcW w:w="1954" w:type="dxa"/>
            <w:shd w:val="clear" w:color="auto" w:fill="auto"/>
            <w:tcMar>
              <w:top w:w="45" w:type="dxa"/>
              <w:left w:w="150" w:type="dxa"/>
              <w:bottom w:w="0" w:type="dxa"/>
              <w:right w:w="150" w:type="dxa"/>
            </w:tcMar>
            <w:vAlign w:val="center"/>
            <w:hideMark/>
          </w:tcPr>
          <w:p w14:paraId="5ACA85C2"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2082" w:type="dxa"/>
            <w:shd w:val="clear" w:color="auto" w:fill="auto"/>
            <w:tcMar>
              <w:top w:w="45" w:type="dxa"/>
              <w:left w:w="150" w:type="dxa"/>
              <w:bottom w:w="0" w:type="dxa"/>
              <w:right w:w="150" w:type="dxa"/>
            </w:tcMar>
            <w:vAlign w:val="center"/>
            <w:hideMark/>
          </w:tcPr>
          <w:p w14:paraId="267A3F1E"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r>
      <w:tr w:rsidR="007B0AB7" w:rsidRPr="0076579E" w14:paraId="65DB6A34"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761C6BD8"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Diabetes</w:t>
            </w:r>
          </w:p>
        </w:tc>
        <w:tc>
          <w:tcPr>
            <w:tcW w:w="0" w:type="auto"/>
            <w:shd w:val="clear" w:color="auto" w:fill="auto"/>
            <w:tcMar>
              <w:top w:w="45" w:type="dxa"/>
              <w:left w:w="150" w:type="dxa"/>
              <w:bottom w:w="0" w:type="dxa"/>
              <w:right w:w="150" w:type="dxa"/>
            </w:tcMar>
            <w:vAlign w:val="center"/>
            <w:hideMark/>
          </w:tcPr>
          <w:p w14:paraId="3B623B0D"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 or diet-controlled</w:t>
            </w:r>
          </w:p>
        </w:tc>
        <w:tc>
          <w:tcPr>
            <w:tcW w:w="1927" w:type="dxa"/>
            <w:shd w:val="clear" w:color="auto" w:fill="auto"/>
            <w:tcMar>
              <w:top w:w="45" w:type="dxa"/>
              <w:left w:w="150" w:type="dxa"/>
              <w:bottom w:w="0" w:type="dxa"/>
              <w:right w:w="150" w:type="dxa"/>
            </w:tcMar>
            <w:vAlign w:val="center"/>
            <w:hideMark/>
          </w:tcPr>
          <w:p w14:paraId="428025AF"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Treated with insulin or oral hypoglycemics</w:t>
            </w:r>
          </w:p>
        </w:tc>
        <w:tc>
          <w:tcPr>
            <w:tcW w:w="1954" w:type="dxa"/>
            <w:shd w:val="clear" w:color="auto" w:fill="auto"/>
            <w:tcMar>
              <w:top w:w="45" w:type="dxa"/>
              <w:left w:w="150" w:type="dxa"/>
              <w:bottom w:w="0" w:type="dxa"/>
              <w:right w:w="150" w:type="dxa"/>
            </w:tcMar>
            <w:vAlign w:val="center"/>
            <w:hideMark/>
          </w:tcPr>
          <w:p w14:paraId="49327ABF"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2082" w:type="dxa"/>
            <w:shd w:val="clear" w:color="auto" w:fill="auto"/>
            <w:tcMar>
              <w:top w:w="45" w:type="dxa"/>
              <w:left w:w="150" w:type="dxa"/>
              <w:bottom w:w="0" w:type="dxa"/>
              <w:right w:w="150" w:type="dxa"/>
            </w:tcMar>
            <w:vAlign w:val="center"/>
            <w:hideMark/>
          </w:tcPr>
          <w:p w14:paraId="309BD8DD"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r>
      <w:tr w:rsidR="007B0AB7" w:rsidRPr="0076579E" w14:paraId="2E93AF2B"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2D863784"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Cerebrovascular disease</w:t>
            </w:r>
          </w:p>
        </w:tc>
        <w:tc>
          <w:tcPr>
            <w:tcW w:w="0" w:type="auto"/>
            <w:shd w:val="clear" w:color="auto" w:fill="auto"/>
            <w:tcMar>
              <w:top w:w="45" w:type="dxa"/>
              <w:left w:w="150" w:type="dxa"/>
              <w:bottom w:w="0" w:type="dxa"/>
              <w:right w:w="150" w:type="dxa"/>
            </w:tcMar>
            <w:vAlign w:val="center"/>
            <w:hideMark/>
          </w:tcPr>
          <w:p w14:paraId="110C88A4"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w:t>
            </w:r>
          </w:p>
        </w:tc>
        <w:tc>
          <w:tcPr>
            <w:tcW w:w="1927" w:type="dxa"/>
            <w:shd w:val="clear" w:color="auto" w:fill="auto"/>
            <w:tcMar>
              <w:top w:w="45" w:type="dxa"/>
              <w:left w:w="150" w:type="dxa"/>
              <w:bottom w:w="0" w:type="dxa"/>
              <w:right w:w="150" w:type="dxa"/>
            </w:tcMar>
            <w:vAlign w:val="center"/>
            <w:hideMark/>
          </w:tcPr>
          <w:p w14:paraId="28E2AC35"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CVA or TIA</w:t>
            </w:r>
          </w:p>
        </w:tc>
        <w:tc>
          <w:tcPr>
            <w:tcW w:w="1954" w:type="dxa"/>
            <w:shd w:val="clear" w:color="auto" w:fill="auto"/>
            <w:tcMar>
              <w:top w:w="45" w:type="dxa"/>
              <w:left w:w="150" w:type="dxa"/>
              <w:bottom w:w="0" w:type="dxa"/>
              <w:right w:w="150" w:type="dxa"/>
            </w:tcMar>
            <w:vAlign w:val="center"/>
            <w:hideMark/>
          </w:tcPr>
          <w:p w14:paraId="1AF542AD"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2082" w:type="dxa"/>
            <w:shd w:val="clear" w:color="auto" w:fill="auto"/>
            <w:tcMar>
              <w:top w:w="45" w:type="dxa"/>
              <w:left w:w="150" w:type="dxa"/>
              <w:bottom w:w="0" w:type="dxa"/>
              <w:right w:w="150" w:type="dxa"/>
            </w:tcMar>
            <w:vAlign w:val="center"/>
            <w:hideMark/>
          </w:tcPr>
          <w:p w14:paraId="4E0B9D05"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r>
      <w:tr w:rsidR="007B0AB7" w:rsidRPr="0076579E" w14:paraId="467E2E56"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72B3E31A"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Psychiatric disturbance</w:t>
            </w:r>
          </w:p>
        </w:tc>
        <w:tc>
          <w:tcPr>
            <w:tcW w:w="0" w:type="auto"/>
            <w:shd w:val="clear" w:color="auto" w:fill="auto"/>
            <w:tcMar>
              <w:top w:w="45" w:type="dxa"/>
              <w:left w:w="150" w:type="dxa"/>
              <w:bottom w:w="0" w:type="dxa"/>
              <w:right w:w="150" w:type="dxa"/>
            </w:tcMar>
            <w:vAlign w:val="center"/>
            <w:hideMark/>
          </w:tcPr>
          <w:p w14:paraId="7A1C5E85"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w:t>
            </w:r>
          </w:p>
        </w:tc>
        <w:tc>
          <w:tcPr>
            <w:tcW w:w="1927" w:type="dxa"/>
            <w:shd w:val="clear" w:color="auto" w:fill="auto"/>
            <w:tcMar>
              <w:top w:w="45" w:type="dxa"/>
              <w:left w:w="150" w:type="dxa"/>
              <w:bottom w:w="0" w:type="dxa"/>
              <w:right w:w="150" w:type="dxa"/>
            </w:tcMar>
            <w:vAlign w:val="center"/>
            <w:hideMark/>
          </w:tcPr>
          <w:p w14:paraId="2D62FABF"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Depression or anxiety requiring psychiatric consult or treatment</w:t>
            </w:r>
          </w:p>
        </w:tc>
        <w:tc>
          <w:tcPr>
            <w:tcW w:w="1954" w:type="dxa"/>
            <w:shd w:val="clear" w:color="auto" w:fill="auto"/>
            <w:tcMar>
              <w:top w:w="45" w:type="dxa"/>
              <w:left w:w="150" w:type="dxa"/>
              <w:bottom w:w="0" w:type="dxa"/>
              <w:right w:w="150" w:type="dxa"/>
            </w:tcMar>
            <w:vAlign w:val="center"/>
            <w:hideMark/>
          </w:tcPr>
          <w:p w14:paraId="493A308D"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2082" w:type="dxa"/>
            <w:shd w:val="clear" w:color="auto" w:fill="auto"/>
            <w:tcMar>
              <w:top w:w="45" w:type="dxa"/>
              <w:left w:w="150" w:type="dxa"/>
              <w:bottom w:w="0" w:type="dxa"/>
              <w:right w:w="150" w:type="dxa"/>
            </w:tcMar>
            <w:vAlign w:val="center"/>
            <w:hideMark/>
          </w:tcPr>
          <w:p w14:paraId="58656FC8"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r>
      <w:tr w:rsidR="007B0AB7" w:rsidRPr="0076579E" w14:paraId="4635FE1E"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71C47B8C"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Hepatic dysfunction</w:t>
            </w:r>
          </w:p>
        </w:tc>
        <w:tc>
          <w:tcPr>
            <w:tcW w:w="0" w:type="auto"/>
            <w:shd w:val="clear" w:color="auto" w:fill="auto"/>
            <w:tcMar>
              <w:top w:w="45" w:type="dxa"/>
              <w:left w:w="150" w:type="dxa"/>
              <w:bottom w:w="0" w:type="dxa"/>
              <w:right w:w="150" w:type="dxa"/>
            </w:tcMar>
            <w:vAlign w:val="center"/>
            <w:hideMark/>
          </w:tcPr>
          <w:p w14:paraId="19C48FB1"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w:t>
            </w:r>
          </w:p>
        </w:tc>
        <w:tc>
          <w:tcPr>
            <w:tcW w:w="1927" w:type="dxa"/>
            <w:shd w:val="clear" w:color="auto" w:fill="auto"/>
            <w:tcMar>
              <w:top w:w="45" w:type="dxa"/>
              <w:left w:w="150" w:type="dxa"/>
              <w:bottom w:w="0" w:type="dxa"/>
              <w:right w:w="150" w:type="dxa"/>
            </w:tcMar>
            <w:vAlign w:val="center"/>
            <w:hideMark/>
          </w:tcPr>
          <w:p w14:paraId="24C92715"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Chronic hepatitis (bilirubin &gt;ULN to 1.5× ULN, or AST/ALT &gt;ULN to</w:t>
            </w:r>
          </w:p>
          <w:p w14:paraId="53ED29CB"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2.5× ULN)</w:t>
            </w:r>
          </w:p>
        </w:tc>
        <w:tc>
          <w:tcPr>
            <w:tcW w:w="1954" w:type="dxa"/>
            <w:shd w:val="clear" w:color="auto" w:fill="auto"/>
            <w:tcMar>
              <w:top w:w="45" w:type="dxa"/>
              <w:left w:w="150" w:type="dxa"/>
              <w:bottom w:w="0" w:type="dxa"/>
              <w:right w:w="150" w:type="dxa"/>
            </w:tcMar>
            <w:vAlign w:val="center"/>
            <w:hideMark/>
          </w:tcPr>
          <w:p w14:paraId="4C69306E"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2082" w:type="dxa"/>
            <w:shd w:val="clear" w:color="auto" w:fill="auto"/>
            <w:tcMar>
              <w:top w:w="45" w:type="dxa"/>
              <w:left w:w="150" w:type="dxa"/>
              <w:bottom w:w="0" w:type="dxa"/>
              <w:right w:w="150" w:type="dxa"/>
            </w:tcMar>
            <w:vAlign w:val="center"/>
            <w:hideMark/>
          </w:tcPr>
          <w:p w14:paraId="7A73C413"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Liver cirrhosis (bilirubin &gt;1.5× ULN, or AST/ALT  2.5× ULN)</w:t>
            </w:r>
          </w:p>
        </w:tc>
      </w:tr>
      <w:tr w:rsidR="007B0AB7" w:rsidRPr="0076579E" w14:paraId="64F763E5"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2062B06C"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lastRenderedPageBreak/>
              <w:t>Obesity (</w:t>
            </w:r>
            <w:hyperlink r:id="rId31" w:tgtFrame="_blank" w:history="1">
              <w:r w:rsidRPr="0076579E">
                <w:rPr>
                  <w:color w:val="000000" w:themeColor="text1"/>
                  <w:sz w:val="20"/>
                  <w:szCs w:val="20"/>
                  <w:u w:val="single"/>
                </w:rPr>
                <w:t>BMI</w:t>
              </w:r>
            </w:hyperlink>
            <w:r w:rsidRPr="0076579E">
              <w:rPr>
                <w:color w:val="000000" w:themeColor="text1"/>
                <w:sz w:val="20"/>
                <w:szCs w:val="20"/>
              </w:rPr>
              <w:t> ≥35 kg/m</w:t>
            </w:r>
            <w:r w:rsidRPr="0076579E">
              <w:rPr>
                <w:color w:val="000000" w:themeColor="text1"/>
                <w:sz w:val="20"/>
                <w:szCs w:val="20"/>
                <w:vertAlign w:val="superscript"/>
              </w:rPr>
              <w:t>2</w:t>
            </w:r>
            <w:r w:rsidRPr="0076579E">
              <w:rPr>
                <w:color w:val="000000" w:themeColor="text1"/>
                <w:sz w:val="20"/>
                <w:szCs w:val="20"/>
              </w:rPr>
              <w:t>)</w:t>
            </w:r>
          </w:p>
        </w:tc>
        <w:tc>
          <w:tcPr>
            <w:tcW w:w="0" w:type="auto"/>
            <w:shd w:val="clear" w:color="auto" w:fill="auto"/>
            <w:tcMar>
              <w:top w:w="45" w:type="dxa"/>
              <w:left w:w="150" w:type="dxa"/>
              <w:bottom w:w="0" w:type="dxa"/>
              <w:right w:w="150" w:type="dxa"/>
            </w:tcMar>
            <w:vAlign w:val="center"/>
            <w:hideMark/>
          </w:tcPr>
          <w:p w14:paraId="0516EBD1"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w:t>
            </w:r>
          </w:p>
        </w:tc>
        <w:tc>
          <w:tcPr>
            <w:tcW w:w="1927" w:type="dxa"/>
            <w:shd w:val="clear" w:color="auto" w:fill="auto"/>
            <w:tcMar>
              <w:top w:w="45" w:type="dxa"/>
              <w:left w:w="150" w:type="dxa"/>
              <w:bottom w:w="0" w:type="dxa"/>
              <w:right w:w="150" w:type="dxa"/>
            </w:tcMar>
            <w:vAlign w:val="center"/>
            <w:hideMark/>
          </w:tcPr>
          <w:p w14:paraId="5B615677"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Yes</w:t>
            </w:r>
          </w:p>
        </w:tc>
        <w:tc>
          <w:tcPr>
            <w:tcW w:w="1954" w:type="dxa"/>
            <w:shd w:val="clear" w:color="auto" w:fill="auto"/>
            <w:tcMar>
              <w:top w:w="45" w:type="dxa"/>
              <w:left w:w="150" w:type="dxa"/>
              <w:bottom w:w="0" w:type="dxa"/>
              <w:right w:w="150" w:type="dxa"/>
            </w:tcMar>
            <w:vAlign w:val="center"/>
            <w:hideMark/>
          </w:tcPr>
          <w:p w14:paraId="403EED25"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2082" w:type="dxa"/>
            <w:shd w:val="clear" w:color="auto" w:fill="auto"/>
            <w:tcMar>
              <w:top w:w="45" w:type="dxa"/>
              <w:left w:w="150" w:type="dxa"/>
              <w:bottom w:w="0" w:type="dxa"/>
              <w:right w:w="150" w:type="dxa"/>
            </w:tcMar>
            <w:vAlign w:val="center"/>
            <w:hideMark/>
          </w:tcPr>
          <w:p w14:paraId="491C7D15"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r>
      <w:tr w:rsidR="007B0AB7" w:rsidRPr="0076579E" w14:paraId="5DB4EEF9"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01C03D29"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Infection</w:t>
            </w:r>
          </w:p>
        </w:tc>
        <w:tc>
          <w:tcPr>
            <w:tcW w:w="0" w:type="auto"/>
            <w:shd w:val="clear" w:color="auto" w:fill="auto"/>
            <w:tcMar>
              <w:top w:w="45" w:type="dxa"/>
              <w:left w:w="150" w:type="dxa"/>
              <w:bottom w:w="0" w:type="dxa"/>
              <w:right w:w="150" w:type="dxa"/>
            </w:tcMar>
            <w:vAlign w:val="center"/>
            <w:hideMark/>
          </w:tcPr>
          <w:p w14:paraId="46F6EFC3"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 or antibiotics only on day 0</w:t>
            </w:r>
          </w:p>
        </w:tc>
        <w:tc>
          <w:tcPr>
            <w:tcW w:w="1927" w:type="dxa"/>
            <w:shd w:val="clear" w:color="auto" w:fill="auto"/>
            <w:tcMar>
              <w:top w:w="45" w:type="dxa"/>
              <w:left w:w="150" w:type="dxa"/>
              <w:bottom w:w="0" w:type="dxa"/>
              <w:right w:w="150" w:type="dxa"/>
            </w:tcMar>
            <w:vAlign w:val="center"/>
            <w:hideMark/>
          </w:tcPr>
          <w:p w14:paraId="0A58E995"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Requiring continuation of antimicrobial treatment after day 0</w:t>
            </w:r>
          </w:p>
        </w:tc>
        <w:tc>
          <w:tcPr>
            <w:tcW w:w="1954" w:type="dxa"/>
            <w:shd w:val="clear" w:color="auto" w:fill="auto"/>
            <w:tcMar>
              <w:top w:w="45" w:type="dxa"/>
              <w:left w:w="150" w:type="dxa"/>
              <w:bottom w:w="0" w:type="dxa"/>
              <w:right w:w="150" w:type="dxa"/>
            </w:tcMar>
            <w:vAlign w:val="center"/>
            <w:hideMark/>
          </w:tcPr>
          <w:p w14:paraId="1005A62A"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2082" w:type="dxa"/>
            <w:shd w:val="clear" w:color="auto" w:fill="auto"/>
            <w:tcMar>
              <w:top w:w="45" w:type="dxa"/>
              <w:left w:w="150" w:type="dxa"/>
              <w:bottom w:w="0" w:type="dxa"/>
              <w:right w:w="150" w:type="dxa"/>
            </w:tcMar>
            <w:vAlign w:val="center"/>
            <w:hideMark/>
          </w:tcPr>
          <w:p w14:paraId="43C4531A"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 --</w:t>
            </w:r>
          </w:p>
        </w:tc>
      </w:tr>
      <w:tr w:rsidR="007B0AB7" w:rsidRPr="0076579E" w14:paraId="0226D573"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0140C132"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Rheumatologic disease</w:t>
            </w:r>
          </w:p>
        </w:tc>
        <w:tc>
          <w:tcPr>
            <w:tcW w:w="0" w:type="auto"/>
            <w:shd w:val="clear" w:color="auto" w:fill="auto"/>
            <w:tcMar>
              <w:top w:w="45" w:type="dxa"/>
              <w:left w:w="150" w:type="dxa"/>
              <w:bottom w:w="0" w:type="dxa"/>
              <w:right w:w="150" w:type="dxa"/>
            </w:tcMar>
            <w:vAlign w:val="center"/>
            <w:hideMark/>
          </w:tcPr>
          <w:p w14:paraId="2C403C82"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w:t>
            </w:r>
          </w:p>
        </w:tc>
        <w:tc>
          <w:tcPr>
            <w:tcW w:w="1927" w:type="dxa"/>
            <w:shd w:val="clear" w:color="auto" w:fill="auto"/>
            <w:tcMar>
              <w:top w:w="45" w:type="dxa"/>
              <w:left w:w="150" w:type="dxa"/>
              <w:bottom w:w="0" w:type="dxa"/>
              <w:right w:w="150" w:type="dxa"/>
            </w:tcMar>
            <w:vAlign w:val="center"/>
            <w:hideMark/>
          </w:tcPr>
          <w:p w14:paraId="375E1A8D"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1954" w:type="dxa"/>
            <w:shd w:val="clear" w:color="auto" w:fill="auto"/>
            <w:tcMar>
              <w:top w:w="45" w:type="dxa"/>
              <w:left w:w="150" w:type="dxa"/>
              <w:bottom w:w="0" w:type="dxa"/>
              <w:right w:w="150" w:type="dxa"/>
            </w:tcMar>
            <w:vAlign w:val="center"/>
            <w:hideMark/>
          </w:tcPr>
          <w:p w14:paraId="302D519A"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SLE, RA, polymyositis, mixed CTD, or polymyalgia rheumatica</w:t>
            </w:r>
          </w:p>
        </w:tc>
        <w:tc>
          <w:tcPr>
            <w:tcW w:w="2082" w:type="dxa"/>
            <w:shd w:val="clear" w:color="auto" w:fill="auto"/>
            <w:tcMar>
              <w:top w:w="45" w:type="dxa"/>
              <w:left w:w="150" w:type="dxa"/>
              <w:bottom w:w="0" w:type="dxa"/>
              <w:right w:w="150" w:type="dxa"/>
            </w:tcMar>
            <w:vAlign w:val="center"/>
            <w:hideMark/>
          </w:tcPr>
          <w:p w14:paraId="55A04FEB"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 --</w:t>
            </w:r>
          </w:p>
        </w:tc>
      </w:tr>
      <w:tr w:rsidR="007B0AB7" w:rsidRPr="0076579E" w14:paraId="623EE34B"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26D73F8C"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Peptic ulcer</w:t>
            </w:r>
          </w:p>
        </w:tc>
        <w:tc>
          <w:tcPr>
            <w:tcW w:w="0" w:type="auto"/>
            <w:shd w:val="clear" w:color="auto" w:fill="auto"/>
            <w:tcMar>
              <w:top w:w="45" w:type="dxa"/>
              <w:left w:w="150" w:type="dxa"/>
              <w:bottom w:w="0" w:type="dxa"/>
              <w:right w:w="150" w:type="dxa"/>
            </w:tcMar>
            <w:vAlign w:val="center"/>
            <w:hideMark/>
          </w:tcPr>
          <w:p w14:paraId="2AAD9C21"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 or not requiring treatment</w:t>
            </w:r>
          </w:p>
        </w:tc>
        <w:tc>
          <w:tcPr>
            <w:tcW w:w="1927" w:type="dxa"/>
            <w:shd w:val="clear" w:color="auto" w:fill="auto"/>
            <w:tcMar>
              <w:top w:w="45" w:type="dxa"/>
              <w:left w:w="150" w:type="dxa"/>
              <w:bottom w:w="0" w:type="dxa"/>
              <w:right w:w="150" w:type="dxa"/>
            </w:tcMar>
            <w:vAlign w:val="center"/>
            <w:hideMark/>
          </w:tcPr>
          <w:p w14:paraId="614B664B"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1954" w:type="dxa"/>
            <w:shd w:val="clear" w:color="auto" w:fill="auto"/>
            <w:tcMar>
              <w:top w:w="45" w:type="dxa"/>
              <w:left w:w="150" w:type="dxa"/>
              <w:bottom w:w="0" w:type="dxa"/>
              <w:right w:w="150" w:type="dxa"/>
            </w:tcMar>
            <w:vAlign w:val="center"/>
            <w:hideMark/>
          </w:tcPr>
          <w:p w14:paraId="24A02FF4"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Requiring treatment</w:t>
            </w:r>
          </w:p>
        </w:tc>
        <w:tc>
          <w:tcPr>
            <w:tcW w:w="2082" w:type="dxa"/>
            <w:shd w:val="clear" w:color="auto" w:fill="auto"/>
            <w:tcMar>
              <w:top w:w="45" w:type="dxa"/>
              <w:left w:w="150" w:type="dxa"/>
              <w:bottom w:w="0" w:type="dxa"/>
              <w:right w:w="150" w:type="dxa"/>
            </w:tcMar>
            <w:vAlign w:val="center"/>
            <w:hideMark/>
          </w:tcPr>
          <w:p w14:paraId="305C5BEA"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r>
      <w:tr w:rsidR="007B0AB7" w:rsidRPr="0076579E" w14:paraId="5F9739D6"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21A2926F"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Renal dysfunction</w:t>
            </w:r>
          </w:p>
        </w:tc>
        <w:tc>
          <w:tcPr>
            <w:tcW w:w="0" w:type="auto"/>
            <w:shd w:val="clear" w:color="auto" w:fill="auto"/>
            <w:tcMar>
              <w:top w:w="45" w:type="dxa"/>
              <w:left w:w="150" w:type="dxa"/>
              <w:bottom w:w="0" w:type="dxa"/>
              <w:right w:w="150" w:type="dxa"/>
            </w:tcMar>
            <w:vAlign w:val="center"/>
            <w:hideMark/>
          </w:tcPr>
          <w:p w14:paraId="74D86C29"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 or serum creatinine ≤2 mg/dL (177 µmol/L), not on dialysis, and no prior renal transplant</w:t>
            </w:r>
          </w:p>
        </w:tc>
        <w:tc>
          <w:tcPr>
            <w:tcW w:w="1927" w:type="dxa"/>
            <w:shd w:val="clear" w:color="auto" w:fill="auto"/>
            <w:tcMar>
              <w:top w:w="45" w:type="dxa"/>
              <w:left w:w="150" w:type="dxa"/>
              <w:bottom w:w="0" w:type="dxa"/>
              <w:right w:w="150" w:type="dxa"/>
            </w:tcMar>
            <w:vAlign w:val="center"/>
            <w:hideMark/>
          </w:tcPr>
          <w:p w14:paraId="2DBA57CF"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1954" w:type="dxa"/>
            <w:shd w:val="clear" w:color="auto" w:fill="auto"/>
            <w:tcMar>
              <w:top w:w="45" w:type="dxa"/>
              <w:left w:w="150" w:type="dxa"/>
              <w:bottom w:w="0" w:type="dxa"/>
              <w:right w:w="150" w:type="dxa"/>
            </w:tcMar>
            <w:vAlign w:val="center"/>
            <w:hideMark/>
          </w:tcPr>
          <w:p w14:paraId="60C75DDD"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Serum creatinine &gt;2 mg/dL (177 µmol/L), on dialysis, or prior renal transplant</w:t>
            </w:r>
          </w:p>
        </w:tc>
        <w:tc>
          <w:tcPr>
            <w:tcW w:w="2082" w:type="dxa"/>
            <w:shd w:val="clear" w:color="auto" w:fill="auto"/>
            <w:tcMar>
              <w:top w:w="45" w:type="dxa"/>
              <w:left w:w="150" w:type="dxa"/>
              <w:bottom w:w="0" w:type="dxa"/>
              <w:right w:w="150" w:type="dxa"/>
            </w:tcMar>
            <w:vAlign w:val="center"/>
            <w:hideMark/>
          </w:tcPr>
          <w:p w14:paraId="5B68D3EE"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 --</w:t>
            </w:r>
          </w:p>
        </w:tc>
      </w:tr>
      <w:tr w:rsidR="007B0AB7" w:rsidRPr="0076579E" w14:paraId="757F70BA"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4792A18E"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Pulmonary dysfunction</w:t>
            </w:r>
          </w:p>
        </w:tc>
        <w:tc>
          <w:tcPr>
            <w:tcW w:w="0" w:type="auto"/>
            <w:shd w:val="clear" w:color="auto" w:fill="auto"/>
            <w:tcMar>
              <w:top w:w="45" w:type="dxa"/>
              <w:left w:w="150" w:type="dxa"/>
              <w:bottom w:w="0" w:type="dxa"/>
              <w:right w:w="150" w:type="dxa"/>
            </w:tcMar>
            <w:vAlign w:val="center"/>
            <w:hideMark/>
          </w:tcPr>
          <w:p w14:paraId="5F4CA41E"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 or mild</w:t>
            </w:r>
          </w:p>
        </w:tc>
        <w:tc>
          <w:tcPr>
            <w:tcW w:w="1927" w:type="dxa"/>
            <w:shd w:val="clear" w:color="auto" w:fill="auto"/>
            <w:tcMar>
              <w:top w:w="45" w:type="dxa"/>
              <w:left w:w="150" w:type="dxa"/>
              <w:bottom w:w="0" w:type="dxa"/>
              <w:right w:w="150" w:type="dxa"/>
            </w:tcMar>
            <w:vAlign w:val="center"/>
            <w:hideMark/>
          </w:tcPr>
          <w:p w14:paraId="1A410371"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w:t>
            </w:r>
          </w:p>
        </w:tc>
        <w:tc>
          <w:tcPr>
            <w:tcW w:w="1954" w:type="dxa"/>
            <w:shd w:val="clear" w:color="auto" w:fill="auto"/>
            <w:tcMar>
              <w:top w:w="45" w:type="dxa"/>
              <w:left w:w="150" w:type="dxa"/>
              <w:bottom w:w="0" w:type="dxa"/>
              <w:right w:w="150" w:type="dxa"/>
            </w:tcMar>
            <w:vAlign w:val="center"/>
            <w:hideMark/>
          </w:tcPr>
          <w:p w14:paraId="4B2DD925" w14:textId="77777777" w:rsidR="007B0AB7" w:rsidRPr="0076579E" w:rsidRDefault="007B0AB7" w:rsidP="007D412A">
            <w:pPr>
              <w:spacing w:before="75" w:after="75"/>
              <w:rPr>
                <w:color w:val="000000" w:themeColor="text1"/>
                <w:sz w:val="20"/>
                <w:szCs w:val="20"/>
              </w:rPr>
            </w:pPr>
            <w:proofErr w:type="spellStart"/>
            <w:r w:rsidRPr="0076579E">
              <w:rPr>
                <w:color w:val="000000" w:themeColor="text1"/>
                <w:sz w:val="20"/>
                <w:szCs w:val="20"/>
              </w:rPr>
              <w:t>DLco</w:t>
            </w:r>
            <w:proofErr w:type="spellEnd"/>
            <w:r w:rsidRPr="0076579E">
              <w:rPr>
                <w:color w:val="000000" w:themeColor="text1"/>
                <w:sz w:val="20"/>
                <w:szCs w:val="20"/>
              </w:rPr>
              <w:t>** and/or FEV₁ 66%–80%, or dyspnea on slight activity</w:t>
            </w:r>
          </w:p>
        </w:tc>
        <w:tc>
          <w:tcPr>
            <w:tcW w:w="2082" w:type="dxa"/>
            <w:shd w:val="clear" w:color="auto" w:fill="auto"/>
            <w:tcMar>
              <w:top w:w="45" w:type="dxa"/>
              <w:left w:w="150" w:type="dxa"/>
              <w:bottom w:w="0" w:type="dxa"/>
              <w:right w:w="150" w:type="dxa"/>
            </w:tcMar>
            <w:vAlign w:val="center"/>
            <w:hideMark/>
          </w:tcPr>
          <w:p w14:paraId="38F04B24" w14:textId="77777777" w:rsidR="007B0AB7" w:rsidRPr="0076579E" w:rsidRDefault="007B0AB7" w:rsidP="007D412A">
            <w:pPr>
              <w:spacing w:before="75" w:after="75"/>
              <w:rPr>
                <w:color w:val="000000" w:themeColor="text1"/>
                <w:sz w:val="20"/>
                <w:szCs w:val="20"/>
              </w:rPr>
            </w:pPr>
            <w:proofErr w:type="spellStart"/>
            <w:r w:rsidRPr="0076579E">
              <w:rPr>
                <w:color w:val="000000" w:themeColor="text1"/>
                <w:sz w:val="20"/>
                <w:szCs w:val="20"/>
              </w:rPr>
              <w:t>DLco</w:t>
            </w:r>
            <w:proofErr w:type="spellEnd"/>
            <w:r w:rsidRPr="0076579E">
              <w:rPr>
                <w:color w:val="000000" w:themeColor="text1"/>
                <w:sz w:val="20"/>
                <w:szCs w:val="20"/>
              </w:rPr>
              <w:t xml:space="preserve"> and/or FEV</w:t>
            </w:r>
            <w:r w:rsidRPr="0076579E">
              <w:rPr>
                <w:color w:val="000000" w:themeColor="text1"/>
                <w:sz w:val="20"/>
                <w:szCs w:val="20"/>
                <w:vertAlign w:val="subscript"/>
              </w:rPr>
              <w:t>1</w:t>
            </w:r>
            <w:r w:rsidRPr="0076579E">
              <w:rPr>
                <w:color w:val="000000" w:themeColor="text1"/>
                <w:sz w:val="20"/>
                <w:szCs w:val="20"/>
              </w:rPr>
              <w:t> ≤65% or dyspnea at rest or requiring oxygen</w:t>
            </w:r>
          </w:p>
        </w:tc>
      </w:tr>
      <w:tr w:rsidR="007B0AB7" w:rsidRPr="0076579E" w14:paraId="4C682903" w14:textId="77777777" w:rsidTr="007D412A">
        <w:trPr>
          <w:tblCellSpacing w:w="15" w:type="dxa"/>
        </w:trPr>
        <w:tc>
          <w:tcPr>
            <w:tcW w:w="0" w:type="auto"/>
            <w:shd w:val="clear" w:color="auto" w:fill="auto"/>
            <w:tcMar>
              <w:top w:w="45" w:type="dxa"/>
              <w:left w:w="150" w:type="dxa"/>
              <w:bottom w:w="0" w:type="dxa"/>
              <w:right w:w="150" w:type="dxa"/>
            </w:tcMar>
            <w:vAlign w:val="center"/>
            <w:hideMark/>
          </w:tcPr>
          <w:p w14:paraId="351488CE"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Prior solid tumor</w:t>
            </w:r>
          </w:p>
        </w:tc>
        <w:tc>
          <w:tcPr>
            <w:tcW w:w="0" w:type="auto"/>
            <w:shd w:val="clear" w:color="auto" w:fill="auto"/>
            <w:tcMar>
              <w:top w:w="45" w:type="dxa"/>
              <w:left w:w="150" w:type="dxa"/>
              <w:bottom w:w="0" w:type="dxa"/>
              <w:right w:w="150" w:type="dxa"/>
            </w:tcMar>
            <w:vAlign w:val="center"/>
            <w:hideMark/>
          </w:tcPr>
          <w:p w14:paraId="6FD11CA0"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None or nonmelanoma skin cancer</w:t>
            </w:r>
          </w:p>
        </w:tc>
        <w:tc>
          <w:tcPr>
            <w:tcW w:w="1927" w:type="dxa"/>
            <w:shd w:val="clear" w:color="auto" w:fill="auto"/>
            <w:tcMar>
              <w:top w:w="45" w:type="dxa"/>
              <w:left w:w="150" w:type="dxa"/>
              <w:bottom w:w="0" w:type="dxa"/>
              <w:right w:w="150" w:type="dxa"/>
            </w:tcMar>
            <w:vAlign w:val="center"/>
            <w:hideMark/>
          </w:tcPr>
          <w:p w14:paraId="44442581"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 --</w:t>
            </w:r>
          </w:p>
        </w:tc>
        <w:tc>
          <w:tcPr>
            <w:tcW w:w="1954" w:type="dxa"/>
            <w:shd w:val="clear" w:color="auto" w:fill="auto"/>
            <w:tcMar>
              <w:top w:w="45" w:type="dxa"/>
              <w:left w:w="150" w:type="dxa"/>
              <w:bottom w:w="0" w:type="dxa"/>
              <w:right w:w="150" w:type="dxa"/>
            </w:tcMar>
            <w:vAlign w:val="center"/>
            <w:hideMark/>
          </w:tcPr>
          <w:p w14:paraId="055F979D"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 --</w:t>
            </w:r>
          </w:p>
        </w:tc>
        <w:tc>
          <w:tcPr>
            <w:tcW w:w="2082" w:type="dxa"/>
            <w:shd w:val="clear" w:color="auto" w:fill="auto"/>
            <w:tcMar>
              <w:top w:w="45" w:type="dxa"/>
              <w:left w:w="150" w:type="dxa"/>
              <w:bottom w:w="0" w:type="dxa"/>
              <w:right w:w="150" w:type="dxa"/>
            </w:tcMar>
            <w:vAlign w:val="center"/>
            <w:hideMark/>
          </w:tcPr>
          <w:p w14:paraId="3F481C08" w14:textId="77777777" w:rsidR="007B0AB7" w:rsidRPr="0076579E" w:rsidRDefault="007B0AB7" w:rsidP="007D412A">
            <w:pPr>
              <w:spacing w:before="75" w:after="75"/>
              <w:rPr>
                <w:color w:val="000000" w:themeColor="text1"/>
                <w:sz w:val="20"/>
                <w:szCs w:val="20"/>
              </w:rPr>
            </w:pPr>
            <w:r w:rsidRPr="0076579E">
              <w:rPr>
                <w:color w:val="000000" w:themeColor="text1"/>
                <w:sz w:val="20"/>
                <w:szCs w:val="20"/>
              </w:rPr>
              <w:t>Treated at any point in the patient’s history</w:t>
            </w:r>
          </w:p>
        </w:tc>
      </w:tr>
    </w:tbl>
    <w:p w14:paraId="52FA2437" w14:textId="77777777" w:rsidR="007B0AB7" w:rsidRPr="0076579E" w:rsidRDefault="007B0AB7" w:rsidP="007B0AB7">
      <w:pPr>
        <w:pStyle w:val="BodyText"/>
        <w:spacing w:line="480" w:lineRule="auto"/>
        <w:ind w:right="4"/>
        <w:jc w:val="both"/>
        <w:rPr>
          <w:b/>
          <w:bCs/>
          <w:color w:val="0D0D0D"/>
          <w:spacing w:val="-2"/>
        </w:rPr>
      </w:pPr>
    </w:p>
    <w:p w14:paraId="614C40CC" w14:textId="77777777" w:rsidR="00A73039" w:rsidRDefault="00A73039"/>
    <w:sectPr w:rsidR="00A73039" w:rsidSect="007B0AB7">
      <w:footerReference w:type="even" r:id="rId32"/>
      <w:footerReference w:type="default" r:id="rId3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a Natividad" w:date="2025-03-01T09:33:00Z" w:initials="AN">
    <w:p w14:paraId="2D2636B9" w14:textId="6D8B786C" w:rsidR="008C5A7D" w:rsidRDefault="008C5A7D">
      <w:pPr>
        <w:pStyle w:val="CommentText"/>
      </w:pPr>
      <w:r>
        <w:rPr>
          <w:rStyle w:val="CommentReference"/>
        </w:rPr>
        <w:annotationRef/>
      </w:r>
      <w:r>
        <w:rPr>
          <w:rFonts w:eastAsiaTheme="minorHAnsi"/>
          <w:i/>
          <w:iCs/>
          <w:lang w:val="en-US"/>
          <w14:ligatures w14:val="standardContextual"/>
        </w:rPr>
        <w:t>Please specify the setting and population (newly-diagnosed) to improve clarity</w:t>
      </w:r>
    </w:p>
  </w:comment>
  <w:comment w:id="1" w:author="Ana Natividad" w:date="2025-03-01T09:39:00Z" w:initials="AN">
    <w:p w14:paraId="06D24C8D" w14:textId="77777777" w:rsidR="008C5A7D" w:rsidRPr="008C5A7D" w:rsidRDefault="008C5A7D" w:rsidP="008C5A7D">
      <w:pPr>
        <w:autoSpaceDE w:val="0"/>
        <w:autoSpaceDN w:val="0"/>
        <w:adjustRightInd w:val="0"/>
        <w:rPr>
          <w:rFonts w:eastAsiaTheme="minorHAnsi"/>
          <w:i/>
          <w:iCs/>
          <w:lang w:val="en-US"/>
          <w14:ligatures w14:val="standardContextual"/>
        </w:rPr>
      </w:pPr>
      <w:r>
        <w:rPr>
          <w:rStyle w:val="CommentReference"/>
        </w:rPr>
        <w:annotationRef/>
      </w:r>
      <w:r w:rsidRPr="008C5A7D">
        <w:rPr>
          <w:rFonts w:eastAsiaTheme="minorHAnsi"/>
          <w:i/>
          <w:iCs/>
          <w:lang w:val="en-US"/>
          <w14:ligatures w14:val="standardContextual"/>
        </w:rPr>
        <w:t>Please explicitly state your specific objections (authors need to specify how they will use stated</w:t>
      </w:r>
    </w:p>
    <w:p w14:paraId="7A880FEF" w14:textId="4CCF77D1" w:rsidR="008C5A7D" w:rsidRDefault="008C5A7D" w:rsidP="008C5A7D">
      <w:pPr>
        <w:pStyle w:val="CommentText"/>
      </w:pPr>
      <w:r w:rsidRPr="008C5A7D">
        <w:rPr>
          <w:rFonts w:eastAsiaTheme="minorHAnsi"/>
          <w:i/>
          <w:iCs/>
          <w:lang w:val="en-US"/>
          <w14:ligatures w14:val="standardContextual"/>
        </w:rPr>
        <w:t>parameters of interest)</w:t>
      </w:r>
    </w:p>
  </w:comment>
  <w:comment w:id="2" w:author="Ana Natividad" w:date="2025-03-06T16:12:00Z" w:initials="AN">
    <w:p w14:paraId="43E28EEA" w14:textId="01D67342" w:rsidR="00B10D02" w:rsidRDefault="00B10D02">
      <w:pPr>
        <w:pStyle w:val="CommentText"/>
      </w:pPr>
      <w:r>
        <w:rPr>
          <w:rStyle w:val="CommentReference"/>
        </w:rPr>
        <w:annotationRef/>
      </w:r>
      <w:r>
        <w:t xml:space="preserve">Included in the objectives the determination of association between TDT, cause of treatment delay and OS </w:t>
      </w:r>
    </w:p>
  </w:comment>
  <w:comment w:id="3" w:author="Ana Natividad" w:date="2025-03-01T09:34:00Z" w:initials="AN">
    <w:p w14:paraId="6957CB40" w14:textId="47B8FAC1" w:rsidR="008C5A7D" w:rsidRDefault="008C5A7D">
      <w:pPr>
        <w:pStyle w:val="CommentText"/>
      </w:pPr>
      <w:r>
        <w:rPr>
          <w:rStyle w:val="CommentReference"/>
        </w:rPr>
        <w:annotationRef/>
      </w:r>
      <w:r>
        <w:rPr>
          <w:rFonts w:eastAsiaTheme="minorHAnsi"/>
          <w:i/>
          <w:iCs/>
          <w:lang w:val="en-US"/>
          <w14:ligatures w14:val="standardContextual"/>
        </w:rPr>
        <w:t>In the literature review, please expound on what is meant by being “off-study”</w:t>
      </w:r>
    </w:p>
  </w:comment>
  <w:comment w:id="4" w:author="Ana Natividad" w:date="2025-03-01T09:43:00Z" w:initials="AN">
    <w:p w14:paraId="74E64589" w14:textId="77777777" w:rsidR="008C5A7D" w:rsidRDefault="008C5A7D" w:rsidP="008C5A7D">
      <w:pPr>
        <w:autoSpaceDE w:val="0"/>
        <w:autoSpaceDN w:val="0"/>
        <w:adjustRightInd w:val="0"/>
        <w:rPr>
          <w:rFonts w:eastAsiaTheme="minorHAnsi"/>
          <w:i/>
          <w:iCs/>
          <w:lang w:val="en-US"/>
          <w14:ligatures w14:val="standardContextual"/>
        </w:rPr>
      </w:pPr>
      <w:r>
        <w:rPr>
          <w:rStyle w:val="CommentReference"/>
        </w:rPr>
        <w:annotationRef/>
      </w:r>
      <w:r>
        <w:rPr>
          <w:rFonts w:eastAsiaTheme="minorHAnsi"/>
          <w:i/>
          <w:iCs/>
          <w:lang w:val="en-US"/>
          <w14:ligatures w14:val="standardContextual"/>
        </w:rPr>
        <w:t>Stated inclusion criteria is not complete (need to mention that only newly diagnosed AML patients will</w:t>
      </w:r>
    </w:p>
    <w:p w14:paraId="4A6758C8" w14:textId="410680FF" w:rsidR="008C5A7D" w:rsidRDefault="008C5A7D" w:rsidP="008C5A7D">
      <w:pPr>
        <w:pStyle w:val="CommentText"/>
      </w:pPr>
      <w:r>
        <w:rPr>
          <w:rFonts w:eastAsiaTheme="minorHAnsi"/>
          <w:i/>
          <w:iCs/>
          <w:lang w:val="en-US"/>
          <w14:ligatures w14:val="standardContextual"/>
        </w:rPr>
        <w:t>be included)</w:t>
      </w:r>
    </w:p>
  </w:comment>
  <w:comment w:id="5" w:author="Ana Natividad" w:date="2025-03-01T10:22:00Z" w:initials="AN">
    <w:p w14:paraId="093F69BA" w14:textId="6297B997" w:rsidR="008C5A7D" w:rsidRDefault="008C5A7D">
      <w:pPr>
        <w:pStyle w:val="CommentText"/>
      </w:pPr>
      <w:r>
        <w:rPr>
          <w:rStyle w:val="CommentReference"/>
        </w:rPr>
        <w:annotationRef/>
      </w:r>
      <w:r>
        <w:rPr>
          <w:rFonts w:eastAsiaTheme="minorHAnsi"/>
          <w:i/>
          <w:iCs/>
          <w:lang w:val="en-US"/>
          <w14:ligatures w14:val="standardContextual"/>
        </w:rPr>
        <w:t>The authors need to define operational criteria for treatment delays.</w:t>
      </w:r>
    </w:p>
  </w:comment>
  <w:comment w:id="6" w:author="Ana Natividad" w:date="2025-03-01T10:44:00Z" w:initials="AN">
    <w:p w14:paraId="6C7FD7B2" w14:textId="5E07E3BD" w:rsidR="008C5A7D" w:rsidRDefault="008C5A7D">
      <w:pPr>
        <w:pStyle w:val="CommentText"/>
      </w:pPr>
      <w:r>
        <w:rPr>
          <w:rStyle w:val="CommentReference"/>
        </w:rPr>
        <w:annotationRef/>
      </w:r>
      <w:r>
        <w:rPr>
          <w:rFonts w:eastAsiaTheme="minorHAnsi"/>
          <w:i/>
          <w:iCs/>
          <w:lang w:val="en-US"/>
          <w14:ligatures w14:val="standardContextual"/>
        </w:rPr>
        <w:t>Please clarify how missing data will be handled</w:t>
      </w:r>
    </w:p>
  </w:comment>
  <w:comment w:id="7" w:author="Ana Natividad" w:date="2025-03-06T16:09:00Z" w:initials="AN">
    <w:p w14:paraId="5D119BE7" w14:textId="7FD7EE78" w:rsidR="00F905CE" w:rsidRDefault="00F905CE">
      <w:pPr>
        <w:pStyle w:val="CommentText"/>
      </w:pPr>
      <w:r>
        <w:rPr>
          <w:rStyle w:val="CommentReference"/>
        </w:rPr>
        <w:annotationRef/>
      </w:r>
      <w:r>
        <w:rPr>
          <w:rStyle w:val="CommentReference"/>
        </w:rPr>
        <w:t xml:space="preserve">Included the specific treatment delay causes in the outcomes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2636B9" w15:done="0"/>
  <w15:commentEx w15:paraId="7A880FEF" w15:done="0"/>
  <w15:commentEx w15:paraId="43E28EEA" w15:done="0"/>
  <w15:commentEx w15:paraId="6957CB40" w15:done="0"/>
  <w15:commentEx w15:paraId="4A6758C8" w15:done="0"/>
  <w15:commentEx w15:paraId="093F69BA" w15:done="0"/>
  <w15:commentEx w15:paraId="6C7FD7B2" w15:done="0"/>
  <w15:commentEx w15:paraId="5D119B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3A31ABF" w16cex:dateUtc="2025-03-01T01:33:00Z"/>
  <w16cex:commentExtensible w16cex:durableId="3F54168F" w16cex:dateUtc="2025-03-01T01:39:00Z"/>
  <w16cex:commentExtensible w16cex:durableId="4445A397" w16cex:dateUtc="2025-03-06T08:12:00Z"/>
  <w16cex:commentExtensible w16cex:durableId="330A3A3D" w16cex:dateUtc="2025-03-01T01:34:00Z"/>
  <w16cex:commentExtensible w16cex:durableId="4FBFDF4D" w16cex:dateUtc="2025-03-01T01:43:00Z"/>
  <w16cex:commentExtensible w16cex:durableId="16876D70" w16cex:dateUtc="2025-03-01T02:22:00Z"/>
  <w16cex:commentExtensible w16cex:durableId="5DCE9076" w16cex:dateUtc="2025-03-01T02:44:00Z"/>
  <w16cex:commentExtensible w16cex:durableId="3091AFE4" w16cex:dateUtc="2025-03-06T08: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2636B9" w16cid:durableId="53A31ABF"/>
  <w16cid:commentId w16cid:paraId="7A880FEF" w16cid:durableId="3F54168F"/>
  <w16cid:commentId w16cid:paraId="43E28EEA" w16cid:durableId="4445A397"/>
  <w16cid:commentId w16cid:paraId="6957CB40" w16cid:durableId="330A3A3D"/>
  <w16cid:commentId w16cid:paraId="4A6758C8" w16cid:durableId="4FBFDF4D"/>
  <w16cid:commentId w16cid:paraId="093F69BA" w16cid:durableId="16876D70"/>
  <w16cid:commentId w16cid:paraId="6C7FD7B2" w16cid:durableId="5DCE9076"/>
  <w16cid:commentId w16cid:paraId="5D119BE7" w16cid:durableId="3091A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316AF" w14:textId="77777777" w:rsidR="00934361" w:rsidRDefault="00934361" w:rsidP="00204C99">
      <w:r>
        <w:separator/>
      </w:r>
    </w:p>
  </w:endnote>
  <w:endnote w:type="continuationSeparator" w:id="0">
    <w:p w14:paraId="78084C06" w14:textId="77777777" w:rsidR="00934361" w:rsidRDefault="00934361" w:rsidP="00204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0848306"/>
      <w:docPartObj>
        <w:docPartGallery w:val="Page Numbers (Bottom of Page)"/>
        <w:docPartUnique/>
      </w:docPartObj>
    </w:sdtPr>
    <w:sdtContent>
      <w:p w14:paraId="3F12FE03" w14:textId="77777777" w:rsidR="00204C99" w:rsidRDefault="00204C99" w:rsidP="002E64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A78870" w14:textId="77777777" w:rsidR="00204C99" w:rsidRDefault="00204C99" w:rsidP="00204C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8957918"/>
      <w:docPartObj>
        <w:docPartGallery w:val="Page Numbers (Bottom of Page)"/>
        <w:docPartUnique/>
      </w:docPartObj>
    </w:sdtPr>
    <w:sdtContent>
      <w:p w14:paraId="0DF0B70D" w14:textId="77777777" w:rsidR="00204C99" w:rsidRDefault="00204C99" w:rsidP="002E649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AB2DEF" w14:textId="77777777" w:rsidR="00204C99" w:rsidRDefault="00204C99" w:rsidP="00204C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B703E" w14:textId="77777777" w:rsidR="00934361" w:rsidRDefault="00934361" w:rsidP="00204C99">
      <w:r>
        <w:separator/>
      </w:r>
    </w:p>
  </w:footnote>
  <w:footnote w:type="continuationSeparator" w:id="0">
    <w:p w14:paraId="187ECBAB" w14:textId="77777777" w:rsidR="00934361" w:rsidRDefault="00934361" w:rsidP="00204C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5C17"/>
    <w:multiLevelType w:val="hybridMultilevel"/>
    <w:tmpl w:val="257C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C050DE"/>
    <w:multiLevelType w:val="hybridMultilevel"/>
    <w:tmpl w:val="72882ED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E7281A"/>
    <w:multiLevelType w:val="hybridMultilevel"/>
    <w:tmpl w:val="09A2DABC"/>
    <w:lvl w:ilvl="0" w:tplc="19F40BCA">
      <w:start w:val="1"/>
      <w:numFmt w:val="decimal"/>
      <w:lvlText w:val="%1."/>
      <w:lvlJc w:val="left"/>
      <w:pPr>
        <w:ind w:left="720" w:hanging="360"/>
      </w:pPr>
      <w:rPr>
        <w:rFonts w:ascii="Times New Roman" w:eastAsia="Times New Roman" w:hAnsi="Times New Roman" w:cs="Times New Roman"/>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C0F00"/>
    <w:multiLevelType w:val="hybridMultilevel"/>
    <w:tmpl w:val="48684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B1016"/>
    <w:multiLevelType w:val="hybridMultilevel"/>
    <w:tmpl w:val="BBE60274"/>
    <w:lvl w:ilvl="0" w:tplc="BCC440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B30D48"/>
    <w:multiLevelType w:val="hybridMultilevel"/>
    <w:tmpl w:val="72882ED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4657FD"/>
    <w:multiLevelType w:val="hybridMultilevel"/>
    <w:tmpl w:val="B52AA4A8"/>
    <w:lvl w:ilvl="0" w:tplc="57E66C2C">
      <w:start w:val="1"/>
      <w:numFmt w:val="decimal"/>
      <w:lvlText w:val="%1."/>
      <w:lvlJc w:val="left"/>
      <w:pPr>
        <w:ind w:left="720" w:hanging="360"/>
      </w:pPr>
      <w:rPr>
        <w:rFonts w:ascii="Arial" w:eastAsia="Arial"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D0755A"/>
    <w:multiLevelType w:val="hybridMultilevel"/>
    <w:tmpl w:val="50F420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9F212C6"/>
    <w:multiLevelType w:val="hybridMultilevel"/>
    <w:tmpl w:val="A442E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5786E"/>
    <w:multiLevelType w:val="hybridMultilevel"/>
    <w:tmpl w:val="F1201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AD6863"/>
    <w:multiLevelType w:val="hybridMultilevel"/>
    <w:tmpl w:val="1FE041D8"/>
    <w:lvl w:ilvl="0" w:tplc="6F7098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EB0828"/>
    <w:multiLevelType w:val="hybridMultilevel"/>
    <w:tmpl w:val="7E260070"/>
    <w:lvl w:ilvl="0" w:tplc="63C6FBA4">
      <w:start w:val="1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EC2FE8"/>
    <w:multiLevelType w:val="hybridMultilevel"/>
    <w:tmpl w:val="A98E4808"/>
    <w:lvl w:ilvl="0" w:tplc="34B6A6F8">
      <w:start w:val="1"/>
      <w:numFmt w:val="upperRoman"/>
      <w:lvlText w:val="%1."/>
      <w:lvlJc w:val="left"/>
      <w:pPr>
        <w:ind w:left="1080" w:hanging="720"/>
      </w:pPr>
      <w:rPr>
        <w:rFonts w:hint="default"/>
        <w:color w:val="0D0D0D"/>
      </w:rPr>
    </w:lvl>
    <w:lvl w:ilvl="1" w:tplc="04090015">
      <w:start w:val="1"/>
      <w:numFmt w:val="upperLetter"/>
      <w:lvlText w:val="%2."/>
      <w:lvlJc w:val="left"/>
      <w:pPr>
        <w:ind w:left="1440" w:hanging="360"/>
      </w:pPr>
    </w:lvl>
    <w:lvl w:ilvl="2" w:tplc="AA761E2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95015"/>
    <w:multiLevelType w:val="hybridMultilevel"/>
    <w:tmpl w:val="50F420FC"/>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52C67BF"/>
    <w:multiLevelType w:val="hybridMultilevel"/>
    <w:tmpl w:val="8BD26ECC"/>
    <w:lvl w:ilvl="0" w:tplc="2346A868">
      <w:start w:val="1"/>
      <w:numFmt w:val="decimal"/>
      <w:lvlText w:val="%1."/>
      <w:lvlJc w:val="left"/>
      <w:pPr>
        <w:ind w:left="640" w:hanging="342"/>
      </w:pPr>
      <w:rPr>
        <w:rFonts w:ascii="Arial" w:eastAsia="Arial" w:hAnsi="Arial" w:cs="Arial" w:hint="default"/>
        <w:b/>
        <w:bCs/>
        <w:i w:val="0"/>
        <w:iCs w:val="0"/>
        <w:color w:val="0D0D0D"/>
        <w:spacing w:val="0"/>
        <w:w w:val="100"/>
        <w:sz w:val="24"/>
        <w:szCs w:val="24"/>
        <w:lang w:val="en-US" w:eastAsia="en-US" w:bidi="ar-SA"/>
      </w:rPr>
    </w:lvl>
    <w:lvl w:ilvl="1" w:tplc="16AAD280">
      <w:numFmt w:val="bullet"/>
      <w:lvlText w:val="•"/>
      <w:lvlJc w:val="left"/>
      <w:pPr>
        <w:ind w:left="1688" w:hanging="342"/>
      </w:pPr>
      <w:rPr>
        <w:rFonts w:hint="default"/>
        <w:lang w:val="en-US" w:eastAsia="en-US" w:bidi="ar-SA"/>
      </w:rPr>
    </w:lvl>
    <w:lvl w:ilvl="2" w:tplc="F03CC15C">
      <w:numFmt w:val="bullet"/>
      <w:lvlText w:val="•"/>
      <w:lvlJc w:val="left"/>
      <w:pPr>
        <w:ind w:left="2736" w:hanging="342"/>
      </w:pPr>
      <w:rPr>
        <w:rFonts w:hint="default"/>
        <w:lang w:val="en-US" w:eastAsia="en-US" w:bidi="ar-SA"/>
      </w:rPr>
    </w:lvl>
    <w:lvl w:ilvl="3" w:tplc="6CFA0D14">
      <w:numFmt w:val="bullet"/>
      <w:lvlText w:val="•"/>
      <w:lvlJc w:val="left"/>
      <w:pPr>
        <w:ind w:left="3784" w:hanging="342"/>
      </w:pPr>
      <w:rPr>
        <w:rFonts w:hint="default"/>
        <w:lang w:val="en-US" w:eastAsia="en-US" w:bidi="ar-SA"/>
      </w:rPr>
    </w:lvl>
    <w:lvl w:ilvl="4" w:tplc="27E25546">
      <w:numFmt w:val="bullet"/>
      <w:lvlText w:val="•"/>
      <w:lvlJc w:val="left"/>
      <w:pPr>
        <w:ind w:left="4832" w:hanging="342"/>
      </w:pPr>
      <w:rPr>
        <w:rFonts w:hint="default"/>
        <w:lang w:val="en-US" w:eastAsia="en-US" w:bidi="ar-SA"/>
      </w:rPr>
    </w:lvl>
    <w:lvl w:ilvl="5" w:tplc="AE86B7BC">
      <w:numFmt w:val="bullet"/>
      <w:lvlText w:val="•"/>
      <w:lvlJc w:val="left"/>
      <w:pPr>
        <w:ind w:left="5880" w:hanging="342"/>
      </w:pPr>
      <w:rPr>
        <w:rFonts w:hint="default"/>
        <w:lang w:val="en-US" w:eastAsia="en-US" w:bidi="ar-SA"/>
      </w:rPr>
    </w:lvl>
    <w:lvl w:ilvl="6" w:tplc="162E6A16">
      <w:numFmt w:val="bullet"/>
      <w:lvlText w:val="•"/>
      <w:lvlJc w:val="left"/>
      <w:pPr>
        <w:ind w:left="6928" w:hanging="342"/>
      </w:pPr>
      <w:rPr>
        <w:rFonts w:hint="default"/>
        <w:lang w:val="en-US" w:eastAsia="en-US" w:bidi="ar-SA"/>
      </w:rPr>
    </w:lvl>
    <w:lvl w:ilvl="7" w:tplc="3DAC6BA6">
      <w:numFmt w:val="bullet"/>
      <w:lvlText w:val="•"/>
      <w:lvlJc w:val="left"/>
      <w:pPr>
        <w:ind w:left="7976" w:hanging="342"/>
      </w:pPr>
      <w:rPr>
        <w:rFonts w:hint="default"/>
        <w:lang w:val="en-US" w:eastAsia="en-US" w:bidi="ar-SA"/>
      </w:rPr>
    </w:lvl>
    <w:lvl w:ilvl="8" w:tplc="2B34CA4E">
      <w:numFmt w:val="bullet"/>
      <w:lvlText w:val="•"/>
      <w:lvlJc w:val="left"/>
      <w:pPr>
        <w:ind w:left="9024" w:hanging="342"/>
      </w:pPr>
      <w:rPr>
        <w:rFonts w:hint="default"/>
        <w:lang w:val="en-US" w:eastAsia="en-US" w:bidi="ar-SA"/>
      </w:rPr>
    </w:lvl>
  </w:abstractNum>
  <w:abstractNum w:abstractNumId="15" w15:restartNumberingAfterBreak="0">
    <w:nsid w:val="48616D08"/>
    <w:multiLevelType w:val="hybridMultilevel"/>
    <w:tmpl w:val="8CB8DF02"/>
    <w:lvl w:ilvl="0" w:tplc="634018E6">
      <w:start w:val="1"/>
      <w:numFmt w:val="lowerLetter"/>
      <w:lvlText w:val="%1."/>
      <w:lvlJc w:val="left"/>
      <w:pPr>
        <w:ind w:left="3283" w:hanging="360"/>
      </w:pPr>
      <w:rPr>
        <w:rFonts w:hint="default"/>
      </w:rPr>
    </w:lvl>
    <w:lvl w:ilvl="1" w:tplc="0409001B">
      <w:start w:val="1"/>
      <w:numFmt w:val="lowerRoman"/>
      <w:lvlText w:val="%2."/>
      <w:lvlJc w:val="right"/>
      <w:pPr>
        <w:ind w:left="4003" w:hanging="360"/>
      </w:pPr>
    </w:lvl>
    <w:lvl w:ilvl="2" w:tplc="0409001B" w:tentative="1">
      <w:start w:val="1"/>
      <w:numFmt w:val="lowerRoman"/>
      <w:lvlText w:val="%3."/>
      <w:lvlJc w:val="right"/>
      <w:pPr>
        <w:ind w:left="4723" w:hanging="180"/>
      </w:pPr>
    </w:lvl>
    <w:lvl w:ilvl="3" w:tplc="0409000F" w:tentative="1">
      <w:start w:val="1"/>
      <w:numFmt w:val="decimal"/>
      <w:lvlText w:val="%4."/>
      <w:lvlJc w:val="left"/>
      <w:pPr>
        <w:ind w:left="5443" w:hanging="360"/>
      </w:pPr>
    </w:lvl>
    <w:lvl w:ilvl="4" w:tplc="04090019" w:tentative="1">
      <w:start w:val="1"/>
      <w:numFmt w:val="lowerLetter"/>
      <w:lvlText w:val="%5."/>
      <w:lvlJc w:val="left"/>
      <w:pPr>
        <w:ind w:left="6163" w:hanging="360"/>
      </w:pPr>
    </w:lvl>
    <w:lvl w:ilvl="5" w:tplc="0409001B" w:tentative="1">
      <w:start w:val="1"/>
      <w:numFmt w:val="lowerRoman"/>
      <w:lvlText w:val="%6."/>
      <w:lvlJc w:val="right"/>
      <w:pPr>
        <w:ind w:left="6883" w:hanging="180"/>
      </w:pPr>
    </w:lvl>
    <w:lvl w:ilvl="6" w:tplc="0409000F" w:tentative="1">
      <w:start w:val="1"/>
      <w:numFmt w:val="decimal"/>
      <w:lvlText w:val="%7."/>
      <w:lvlJc w:val="left"/>
      <w:pPr>
        <w:ind w:left="7603" w:hanging="360"/>
      </w:pPr>
    </w:lvl>
    <w:lvl w:ilvl="7" w:tplc="04090019" w:tentative="1">
      <w:start w:val="1"/>
      <w:numFmt w:val="lowerLetter"/>
      <w:lvlText w:val="%8."/>
      <w:lvlJc w:val="left"/>
      <w:pPr>
        <w:ind w:left="8323" w:hanging="360"/>
      </w:pPr>
    </w:lvl>
    <w:lvl w:ilvl="8" w:tplc="0409001B" w:tentative="1">
      <w:start w:val="1"/>
      <w:numFmt w:val="lowerRoman"/>
      <w:lvlText w:val="%9."/>
      <w:lvlJc w:val="right"/>
      <w:pPr>
        <w:ind w:left="9043" w:hanging="180"/>
      </w:pPr>
    </w:lvl>
  </w:abstractNum>
  <w:abstractNum w:abstractNumId="16" w15:restartNumberingAfterBreak="0">
    <w:nsid w:val="495B7DAA"/>
    <w:multiLevelType w:val="hybridMultilevel"/>
    <w:tmpl w:val="72882ED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7C4525C"/>
    <w:multiLevelType w:val="hybridMultilevel"/>
    <w:tmpl w:val="C37044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DA306CC"/>
    <w:multiLevelType w:val="hybridMultilevel"/>
    <w:tmpl w:val="50F420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07521E0"/>
    <w:multiLevelType w:val="hybridMultilevel"/>
    <w:tmpl w:val="895E3E3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6A177B1"/>
    <w:multiLevelType w:val="hybridMultilevel"/>
    <w:tmpl w:val="50F420FC"/>
    <w:lvl w:ilvl="0" w:tplc="63C6FB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A5193E"/>
    <w:multiLevelType w:val="hybridMultilevel"/>
    <w:tmpl w:val="8CB8DF02"/>
    <w:lvl w:ilvl="0" w:tplc="FFFFFFFF">
      <w:start w:val="1"/>
      <w:numFmt w:val="lowerLetter"/>
      <w:lvlText w:val="%1."/>
      <w:lvlJc w:val="left"/>
      <w:pPr>
        <w:ind w:left="2203" w:hanging="360"/>
      </w:pPr>
      <w:rPr>
        <w:rFonts w:hint="default"/>
      </w:rPr>
    </w:lvl>
    <w:lvl w:ilvl="1" w:tplc="FFFFFFFF">
      <w:start w:val="1"/>
      <w:numFmt w:val="lowerRoman"/>
      <w:lvlText w:val="%2."/>
      <w:lvlJc w:val="righ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22" w15:restartNumberingAfterBreak="0">
    <w:nsid w:val="69F36ECC"/>
    <w:multiLevelType w:val="hybridMultilevel"/>
    <w:tmpl w:val="EC7630CE"/>
    <w:lvl w:ilvl="0" w:tplc="63C6FBA4">
      <w:start w:val="1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C195759"/>
    <w:multiLevelType w:val="hybridMultilevel"/>
    <w:tmpl w:val="4394C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A0654A"/>
    <w:multiLevelType w:val="hybridMultilevel"/>
    <w:tmpl w:val="E68E600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7AE2293"/>
    <w:multiLevelType w:val="hybridMultilevel"/>
    <w:tmpl w:val="E18EBABE"/>
    <w:lvl w:ilvl="0" w:tplc="1EB44F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971B4"/>
    <w:multiLevelType w:val="hybridMultilevel"/>
    <w:tmpl w:val="50F420F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F6D450A"/>
    <w:multiLevelType w:val="hybridMultilevel"/>
    <w:tmpl w:val="A1F25084"/>
    <w:lvl w:ilvl="0" w:tplc="2DD0D382">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92201561">
    <w:abstractNumId w:val="12"/>
  </w:num>
  <w:num w:numId="2" w16cid:durableId="1646465816">
    <w:abstractNumId w:val="15"/>
  </w:num>
  <w:num w:numId="3" w16cid:durableId="1953391928">
    <w:abstractNumId w:val="24"/>
  </w:num>
  <w:num w:numId="4" w16cid:durableId="261034223">
    <w:abstractNumId w:val="21"/>
  </w:num>
  <w:num w:numId="5" w16cid:durableId="1104568434">
    <w:abstractNumId w:val="10"/>
  </w:num>
  <w:num w:numId="6" w16cid:durableId="770706257">
    <w:abstractNumId w:val="19"/>
  </w:num>
  <w:num w:numId="7" w16cid:durableId="1237132463">
    <w:abstractNumId w:val="6"/>
  </w:num>
  <w:num w:numId="8" w16cid:durableId="228611733">
    <w:abstractNumId w:val="14"/>
  </w:num>
  <w:num w:numId="9" w16cid:durableId="2017267944">
    <w:abstractNumId w:val="17"/>
  </w:num>
  <w:num w:numId="10" w16cid:durableId="724766276">
    <w:abstractNumId w:val="2"/>
  </w:num>
  <w:num w:numId="11" w16cid:durableId="886264351">
    <w:abstractNumId w:val="20"/>
  </w:num>
  <w:num w:numId="12" w16cid:durableId="1216577020">
    <w:abstractNumId w:val="25"/>
  </w:num>
  <w:num w:numId="13" w16cid:durableId="591816164">
    <w:abstractNumId w:val="1"/>
  </w:num>
  <w:num w:numId="14" w16cid:durableId="323895322">
    <w:abstractNumId w:val="9"/>
  </w:num>
  <w:num w:numId="15" w16cid:durableId="859970710">
    <w:abstractNumId w:val="5"/>
  </w:num>
  <w:num w:numId="16" w16cid:durableId="704788074">
    <w:abstractNumId w:val="16"/>
  </w:num>
  <w:num w:numId="17" w16cid:durableId="290089904">
    <w:abstractNumId w:val="0"/>
  </w:num>
  <w:num w:numId="18" w16cid:durableId="1952853500">
    <w:abstractNumId w:val="8"/>
  </w:num>
  <w:num w:numId="19" w16cid:durableId="1509979949">
    <w:abstractNumId w:val="26"/>
  </w:num>
  <w:num w:numId="20" w16cid:durableId="1322806837">
    <w:abstractNumId w:val="3"/>
  </w:num>
  <w:num w:numId="21" w16cid:durableId="1503743568">
    <w:abstractNumId w:val="7"/>
  </w:num>
  <w:num w:numId="22" w16cid:durableId="1799184476">
    <w:abstractNumId w:val="18"/>
  </w:num>
  <w:num w:numId="23" w16cid:durableId="211115221">
    <w:abstractNumId w:val="27"/>
  </w:num>
  <w:num w:numId="24" w16cid:durableId="2002273436">
    <w:abstractNumId w:val="13"/>
  </w:num>
  <w:num w:numId="25" w16cid:durableId="475151618">
    <w:abstractNumId w:val="11"/>
  </w:num>
  <w:num w:numId="26" w16cid:durableId="5720775">
    <w:abstractNumId w:val="22"/>
  </w:num>
  <w:num w:numId="27" w16cid:durableId="1046837390">
    <w:abstractNumId w:val="23"/>
  </w:num>
  <w:num w:numId="28" w16cid:durableId="138525584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a Natividad">
    <w15:presenceInfo w15:providerId="Windows Live" w15:userId="9a616fcc122383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2E"/>
    <w:rsid w:val="001305A0"/>
    <w:rsid w:val="001F052E"/>
    <w:rsid w:val="00204C99"/>
    <w:rsid w:val="00214E99"/>
    <w:rsid w:val="00410A0C"/>
    <w:rsid w:val="004F61E0"/>
    <w:rsid w:val="0063763B"/>
    <w:rsid w:val="00723ABF"/>
    <w:rsid w:val="007A423D"/>
    <w:rsid w:val="007B0AB7"/>
    <w:rsid w:val="008C3F4B"/>
    <w:rsid w:val="008C5A7D"/>
    <w:rsid w:val="00934361"/>
    <w:rsid w:val="00980B8E"/>
    <w:rsid w:val="009D5331"/>
    <w:rsid w:val="00A73039"/>
    <w:rsid w:val="00B10D02"/>
    <w:rsid w:val="00BA2596"/>
    <w:rsid w:val="00BA726C"/>
    <w:rsid w:val="00D47BDF"/>
    <w:rsid w:val="00D95ED8"/>
    <w:rsid w:val="00E9309F"/>
    <w:rsid w:val="00F905C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3C61"/>
  <w15:chartTrackingRefBased/>
  <w15:docId w15:val="{5E28E88C-5790-7C4C-8114-0DC2158E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AB7"/>
    <w:rPr>
      <w:rFonts w:ascii="Times New Roman" w:eastAsia="Times New Roman" w:hAnsi="Times New Roman" w:cs="Times New Roman"/>
      <w:kern w:val="0"/>
      <w14:ligatures w14:val="none"/>
    </w:rPr>
  </w:style>
  <w:style w:type="paragraph" w:styleId="Heading3">
    <w:name w:val="heading 3"/>
    <w:basedOn w:val="Normal"/>
    <w:link w:val="Heading3Char"/>
    <w:uiPriority w:val="9"/>
    <w:unhideWhenUsed/>
    <w:qFormat/>
    <w:rsid w:val="007B0AB7"/>
    <w:pPr>
      <w:ind w:left="999" w:hanging="359"/>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B0AB7"/>
    <w:rPr>
      <w:rFonts w:ascii="Times New Roman" w:eastAsia="Times New Roman" w:hAnsi="Times New Roman" w:cs="Times New Roman"/>
      <w:b/>
      <w:bCs/>
      <w:kern w:val="0"/>
      <w14:ligatures w14:val="none"/>
    </w:rPr>
  </w:style>
  <w:style w:type="paragraph" w:styleId="BodyText">
    <w:name w:val="Body Text"/>
    <w:basedOn w:val="Normal"/>
    <w:link w:val="BodyTextChar"/>
    <w:uiPriority w:val="1"/>
    <w:qFormat/>
    <w:rsid w:val="007B0AB7"/>
  </w:style>
  <w:style w:type="character" w:customStyle="1" w:styleId="BodyTextChar">
    <w:name w:val="Body Text Char"/>
    <w:basedOn w:val="DefaultParagraphFont"/>
    <w:link w:val="BodyText"/>
    <w:uiPriority w:val="1"/>
    <w:rsid w:val="007B0AB7"/>
    <w:rPr>
      <w:rFonts w:ascii="Times New Roman" w:eastAsia="Times New Roman" w:hAnsi="Times New Roman" w:cs="Times New Roman"/>
      <w:kern w:val="0"/>
      <w14:ligatures w14:val="none"/>
    </w:rPr>
  </w:style>
  <w:style w:type="paragraph" w:styleId="Title">
    <w:name w:val="Title"/>
    <w:basedOn w:val="Normal"/>
    <w:link w:val="TitleChar"/>
    <w:uiPriority w:val="10"/>
    <w:qFormat/>
    <w:rsid w:val="007B0AB7"/>
    <w:pPr>
      <w:spacing w:before="62"/>
      <w:ind w:left="824" w:right="1637"/>
      <w:jc w:val="center"/>
    </w:pPr>
    <w:rPr>
      <w:b/>
      <w:bCs/>
      <w:sz w:val="32"/>
      <w:szCs w:val="32"/>
    </w:rPr>
  </w:style>
  <w:style w:type="character" w:customStyle="1" w:styleId="TitleChar">
    <w:name w:val="Title Char"/>
    <w:basedOn w:val="DefaultParagraphFont"/>
    <w:link w:val="Title"/>
    <w:uiPriority w:val="10"/>
    <w:rsid w:val="007B0AB7"/>
    <w:rPr>
      <w:rFonts w:ascii="Times New Roman" w:eastAsia="Times New Roman" w:hAnsi="Times New Roman" w:cs="Times New Roman"/>
      <w:b/>
      <w:bCs/>
      <w:kern w:val="0"/>
      <w:sz w:val="32"/>
      <w:szCs w:val="32"/>
      <w14:ligatures w14:val="none"/>
    </w:rPr>
  </w:style>
  <w:style w:type="character" w:styleId="Hyperlink">
    <w:name w:val="Hyperlink"/>
    <w:basedOn w:val="DefaultParagraphFont"/>
    <w:uiPriority w:val="99"/>
    <w:unhideWhenUsed/>
    <w:rsid w:val="007B0AB7"/>
    <w:rPr>
      <w:color w:val="0563C1" w:themeColor="hyperlink"/>
      <w:u w:val="single"/>
    </w:rPr>
  </w:style>
  <w:style w:type="character" w:styleId="FollowedHyperlink">
    <w:name w:val="FollowedHyperlink"/>
    <w:basedOn w:val="DefaultParagraphFont"/>
    <w:uiPriority w:val="99"/>
    <w:semiHidden/>
    <w:unhideWhenUsed/>
    <w:rsid w:val="007B0AB7"/>
    <w:rPr>
      <w:color w:val="954F72" w:themeColor="followedHyperlink"/>
      <w:u w:val="single"/>
    </w:rPr>
  </w:style>
  <w:style w:type="paragraph" w:styleId="ListParagraph">
    <w:name w:val="List Paragraph"/>
    <w:basedOn w:val="Normal"/>
    <w:uiPriority w:val="34"/>
    <w:qFormat/>
    <w:rsid w:val="007B0AB7"/>
    <w:pPr>
      <w:ind w:left="720"/>
      <w:contextualSpacing/>
    </w:pPr>
  </w:style>
  <w:style w:type="paragraph" w:customStyle="1" w:styleId="TableParagraph">
    <w:name w:val="Table Paragraph"/>
    <w:basedOn w:val="Normal"/>
    <w:uiPriority w:val="1"/>
    <w:qFormat/>
    <w:rsid w:val="007B0AB7"/>
  </w:style>
  <w:style w:type="table" w:styleId="TableGrid">
    <w:name w:val="Table Grid"/>
    <w:basedOn w:val="TableNormal"/>
    <w:uiPriority w:val="39"/>
    <w:rsid w:val="007B0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0AB7"/>
    <w:rPr>
      <w:color w:val="605E5C"/>
      <w:shd w:val="clear" w:color="auto" w:fill="E1DFDD"/>
    </w:rPr>
  </w:style>
  <w:style w:type="character" w:styleId="Emphasis">
    <w:name w:val="Emphasis"/>
    <w:basedOn w:val="DefaultParagraphFont"/>
    <w:uiPriority w:val="20"/>
    <w:qFormat/>
    <w:rsid w:val="007B0AB7"/>
    <w:rPr>
      <w:i/>
      <w:iCs/>
    </w:rPr>
  </w:style>
  <w:style w:type="paragraph" w:styleId="NormalWeb">
    <w:name w:val="Normal (Web)"/>
    <w:basedOn w:val="Normal"/>
    <w:uiPriority w:val="99"/>
    <w:semiHidden/>
    <w:unhideWhenUsed/>
    <w:rsid w:val="007B0AB7"/>
    <w:pPr>
      <w:spacing w:before="100" w:beforeAutospacing="1" w:after="100" w:afterAutospacing="1"/>
    </w:pPr>
  </w:style>
  <w:style w:type="character" w:styleId="Strong">
    <w:name w:val="Strong"/>
    <w:basedOn w:val="DefaultParagraphFont"/>
    <w:uiPriority w:val="22"/>
    <w:qFormat/>
    <w:rsid w:val="007B0AB7"/>
    <w:rPr>
      <w:b/>
      <w:bCs/>
    </w:rPr>
  </w:style>
  <w:style w:type="paragraph" w:styleId="Revision">
    <w:name w:val="Revision"/>
    <w:hidden/>
    <w:uiPriority w:val="99"/>
    <w:semiHidden/>
    <w:rsid w:val="007B0AB7"/>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7B0AB7"/>
    <w:rPr>
      <w:sz w:val="16"/>
      <w:szCs w:val="16"/>
    </w:rPr>
  </w:style>
  <w:style w:type="paragraph" w:styleId="CommentText">
    <w:name w:val="annotation text"/>
    <w:basedOn w:val="Normal"/>
    <w:link w:val="CommentTextChar"/>
    <w:uiPriority w:val="99"/>
    <w:semiHidden/>
    <w:unhideWhenUsed/>
    <w:rsid w:val="007B0AB7"/>
    <w:rPr>
      <w:sz w:val="20"/>
      <w:szCs w:val="20"/>
    </w:rPr>
  </w:style>
  <w:style w:type="character" w:customStyle="1" w:styleId="CommentTextChar">
    <w:name w:val="Comment Text Char"/>
    <w:basedOn w:val="DefaultParagraphFont"/>
    <w:link w:val="CommentText"/>
    <w:uiPriority w:val="99"/>
    <w:semiHidden/>
    <w:rsid w:val="007B0AB7"/>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B0AB7"/>
    <w:rPr>
      <w:b/>
      <w:bCs/>
    </w:rPr>
  </w:style>
  <w:style w:type="character" w:customStyle="1" w:styleId="CommentSubjectChar">
    <w:name w:val="Comment Subject Char"/>
    <w:basedOn w:val="CommentTextChar"/>
    <w:link w:val="CommentSubject"/>
    <w:uiPriority w:val="99"/>
    <w:semiHidden/>
    <w:rsid w:val="007B0AB7"/>
    <w:rPr>
      <w:rFonts w:ascii="Times New Roman" w:eastAsia="Times New Roman" w:hAnsi="Times New Roman" w:cs="Times New Roman"/>
      <w:b/>
      <w:bCs/>
      <w:kern w:val="0"/>
      <w:sz w:val="20"/>
      <w:szCs w:val="20"/>
      <w14:ligatures w14:val="none"/>
    </w:rPr>
  </w:style>
  <w:style w:type="paragraph" w:styleId="Footer">
    <w:name w:val="footer"/>
    <w:basedOn w:val="Normal"/>
    <w:link w:val="FooterChar"/>
    <w:uiPriority w:val="99"/>
    <w:unhideWhenUsed/>
    <w:rsid w:val="00204C99"/>
    <w:pPr>
      <w:tabs>
        <w:tab w:val="center" w:pos="4680"/>
        <w:tab w:val="right" w:pos="9360"/>
      </w:tabs>
    </w:pPr>
  </w:style>
  <w:style w:type="character" w:customStyle="1" w:styleId="FooterChar">
    <w:name w:val="Footer Char"/>
    <w:basedOn w:val="DefaultParagraphFont"/>
    <w:link w:val="Footer"/>
    <w:uiPriority w:val="99"/>
    <w:rsid w:val="00204C99"/>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204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co.iarc.who.int/media/globocan/factsheets/populations/608-philippines-fact-sheet.pdf" TargetMode="External"/><Relationship Id="rId26" Type="http://schemas.openxmlformats.org/officeDocument/2006/relationships/hyperlink" Target="https://www.ncbi.nlm.nih.gov/pmc/articles/PMC7189295/" TargetMode="External"/><Relationship Id="rId3" Type="http://schemas.openxmlformats.org/officeDocument/2006/relationships/settings" Target="settings.xml"/><Relationship Id="rId21" Type="http://schemas.openxmlformats.org/officeDocument/2006/relationships/hyperlink" Target="https://ashpublications.org/blood/article/136/7/823/460669/Does-time-from-diagnosis-to-treatment-affect-the"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diagramLayout" Target="diagrams/layout1.xml"/><Relationship Id="rId17" Type="http://schemas.openxmlformats.org/officeDocument/2006/relationships/hyperlink" Target="https://acsjournals.onlinelibrary.wiley.com/doi/10.3322/caac.21820" TargetMode="External"/><Relationship Id="rId25" Type="http://schemas.openxmlformats.org/officeDocument/2006/relationships/hyperlink" Target="https://ashpublications.org/blood/article/140/12/1345/485817/Diagnosis-and-management-of-AML-in-adults-2022"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ncbi.nlm.nih.gov/pmc/articles/PMC10182356/" TargetMode="External"/><Relationship Id="rId29" Type="http://schemas.openxmlformats.org/officeDocument/2006/relationships/hyperlink" Target="https://www.ncbi.nlm.nih.gov/pmc/articles/PMC60396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hyperlink" Target="https://haematologica" TargetMode="External"/><Relationship Id="rId32" Type="http://schemas.openxmlformats.org/officeDocument/2006/relationships/footer" Target="footer1.xm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hyperlink" Target="https://scite.ai/reports/time-from-diagnosis-to-treatment-D1rOlyZe" TargetMode="External"/><Relationship Id="rId28" Type="http://schemas.openxmlformats.org/officeDocument/2006/relationships/hyperlink" Target="https://haematologica.org/article/view/5990" TargetMode="External"/><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hyperlink" Target="https://www.ncbi.nlm.nih.gov/pmc/articles/PMC4504945/" TargetMode="External"/><Relationship Id="rId31" Type="http://schemas.openxmlformats.org/officeDocument/2006/relationships/hyperlink" Target="https://www.mdcalc.com/calc/29"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diagramColors" Target="diagrams/colors1.xml"/><Relationship Id="rId22" Type="http://schemas.openxmlformats.org/officeDocument/2006/relationships/hyperlink" Target="https://ashpublications.org/bloodadvances/article/5/3/787/475082/Impact-of-treatment-delay-in-acute-myeloid" TargetMode="External"/><Relationship Id="rId27" Type="http://schemas.openxmlformats.org/officeDocument/2006/relationships/hyperlink" Target="https://www.cancer.gov/types/leukemia/hp/adult-aml-treatment-pdq" TargetMode="External"/><Relationship Id="rId30" Type="http://schemas.openxmlformats.org/officeDocument/2006/relationships/hyperlink" Target="https://pmc.ncbi.nlm.nih.gov/articles/PMC6445790/" TargetMode="External"/><Relationship Id="rId35" Type="http://schemas.microsoft.com/office/2011/relationships/people" Target="people.xml"/><Relationship Id="rId8" Type="http://schemas.microsoft.com/office/2011/relationships/commentsExtended" Target="commentsExtended.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6A3BE6-21BA-4441-A83A-9407CCEB06F8}" type="doc">
      <dgm:prSet loTypeId="urn:microsoft.com/office/officeart/2005/8/layout/process2" loCatId="" qsTypeId="urn:microsoft.com/office/officeart/2005/8/quickstyle/simple1" qsCatId="simple" csTypeId="urn:microsoft.com/office/officeart/2005/8/colors/accent0_2" csCatId="mainScheme" phldr="1"/>
      <dgm:spPr/>
    </dgm:pt>
    <dgm:pt modelId="{28CA5AB2-6C51-194D-947B-2A4D315ACB55}">
      <dgm:prSet phldrT="[Text]"/>
      <dgm:spPr/>
      <dgm:t>
        <a:bodyPr/>
        <a:lstStyle/>
        <a:p>
          <a:pPr algn="ctr"/>
          <a:r>
            <a:rPr lang="en-US"/>
            <a:t>All patients, n</a:t>
          </a:r>
        </a:p>
      </dgm:t>
    </dgm:pt>
    <dgm:pt modelId="{30CC45A4-3E1E-C54B-820A-1D9E7F61E020}" type="parTrans" cxnId="{476E467E-3588-4046-A56F-DFC9B1F1D194}">
      <dgm:prSet/>
      <dgm:spPr/>
      <dgm:t>
        <a:bodyPr/>
        <a:lstStyle/>
        <a:p>
          <a:pPr algn="ctr"/>
          <a:endParaRPr lang="en-US"/>
        </a:p>
      </dgm:t>
    </dgm:pt>
    <dgm:pt modelId="{715C1DF8-6672-974C-A629-024BD143B80D}" type="sibTrans" cxnId="{476E467E-3588-4046-A56F-DFC9B1F1D194}">
      <dgm:prSet/>
      <dgm:spPr/>
      <dgm:t>
        <a:bodyPr/>
        <a:lstStyle/>
        <a:p>
          <a:pPr algn="ctr"/>
          <a:endParaRPr lang="en-US"/>
        </a:p>
      </dgm:t>
    </dgm:pt>
    <dgm:pt modelId="{887B2596-A645-8B44-A916-BCC7ED85B76E}">
      <dgm:prSet phldrT="[Text]"/>
      <dgm:spPr/>
      <dgm:t>
        <a:bodyPr/>
        <a:lstStyle/>
        <a:p>
          <a:pPr algn="ctr"/>
          <a:r>
            <a:rPr lang="en-US"/>
            <a:t>Follow-up at least 12 months, n</a:t>
          </a:r>
        </a:p>
      </dgm:t>
    </dgm:pt>
    <dgm:pt modelId="{432F6AF5-84B1-024E-AE06-8840A4D8C1B4}" type="parTrans" cxnId="{62D8AC7A-0452-2942-BDC4-D97C02EF87F4}">
      <dgm:prSet/>
      <dgm:spPr/>
      <dgm:t>
        <a:bodyPr/>
        <a:lstStyle/>
        <a:p>
          <a:pPr algn="ctr"/>
          <a:endParaRPr lang="en-US"/>
        </a:p>
      </dgm:t>
    </dgm:pt>
    <dgm:pt modelId="{84FA180C-81F6-5647-97B5-3C0B1D5116A4}" type="sibTrans" cxnId="{62D8AC7A-0452-2942-BDC4-D97C02EF87F4}">
      <dgm:prSet/>
      <dgm:spPr/>
      <dgm:t>
        <a:bodyPr/>
        <a:lstStyle/>
        <a:p>
          <a:pPr algn="ctr"/>
          <a:endParaRPr lang="en-US"/>
        </a:p>
      </dgm:t>
    </dgm:pt>
    <dgm:pt modelId="{41C776BC-BF1F-E74B-917B-68CD9EAE8F9F}">
      <dgm:prSet phldrT="[Text]"/>
      <dgm:spPr/>
      <dgm:t>
        <a:bodyPr/>
        <a:lstStyle/>
        <a:p>
          <a:pPr algn="ctr"/>
          <a:r>
            <a:rPr lang="en-US"/>
            <a:t>Non-APL patients, n</a:t>
          </a:r>
        </a:p>
      </dgm:t>
    </dgm:pt>
    <dgm:pt modelId="{03A3C9B9-0004-AB41-A51F-77A5782EEE45}" type="parTrans" cxnId="{581ADF75-FBF9-8B40-8047-65AE7AD1B6A9}">
      <dgm:prSet/>
      <dgm:spPr/>
      <dgm:t>
        <a:bodyPr/>
        <a:lstStyle/>
        <a:p>
          <a:pPr algn="ctr"/>
          <a:endParaRPr lang="en-US"/>
        </a:p>
      </dgm:t>
    </dgm:pt>
    <dgm:pt modelId="{602F41D7-F31C-8344-90EC-4EA671754A1E}" type="sibTrans" cxnId="{581ADF75-FBF9-8B40-8047-65AE7AD1B6A9}">
      <dgm:prSet/>
      <dgm:spPr/>
      <dgm:t>
        <a:bodyPr/>
        <a:lstStyle/>
        <a:p>
          <a:pPr algn="ctr"/>
          <a:endParaRPr lang="en-US"/>
        </a:p>
      </dgm:t>
    </dgm:pt>
    <dgm:pt modelId="{A2075D3C-0319-8341-9EF0-69298192FB32}">
      <dgm:prSet phldrT="[Text]"/>
      <dgm:spPr/>
      <dgm:t>
        <a:bodyPr/>
        <a:lstStyle/>
        <a:p>
          <a:pPr algn="ctr"/>
          <a:r>
            <a:rPr lang="en-US"/>
            <a:t>Intensive first line treatment, n</a:t>
          </a:r>
        </a:p>
      </dgm:t>
    </dgm:pt>
    <dgm:pt modelId="{26554CD4-EA89-E040-98D9-DACA1EFBEE05}" type="parTrans" cxnId="{17B8D5DA-0B3E-014D-AD82-CA40B25DDA97}">
      <dgm:prSet/>
      <dgm:spPr/>
      <dgm:t>
        <a:bodyPr/>
        <a:lstStyle/>
        <a:p>
          <a:pPr algn="ctr"/>
          <a:endParaRPr lang="en-US"/>
        </a:p>
      </dgm:t>
    </dgm:pt>
    <dgm:pt modelId="{055F84AC-C382-334B-84C0-689F593DB0BE}" type="sibTrans" cxnId="{17B8D5DA-0B3E-014D-AD82-CA40B25DDA97}">
      <dgm:prSet/>
      <dgm:spPr/>
      <dgm:t>
        <a:bodyPr/>
        <a:lstStyle/>
        <a:p>
          <a:pPr algn="ctr"/>
          <a:endParaRPr lang="en-US"/>
        </a:p>
      </dgm:t>
    </dgm:pt>
    <dgm:pt modelId="{74F24FA0-CDEE-A84D-AC19-D7A40965CB71}">
      <dgm:prSet phldrT="[Text]"/>
      <dgm:spPr/>
      <dgm:t>
        <a:bodyPr/>
        <a:lstStyle/>
        <a:p>
          <a:pPr algn="ctr"/>
          <a:r>
            <a:rPr lang="en-US"/>
            <a:t>TDT &gt;= 0 days, n</a:t>
          </a:r>
        </a:p>
      </dgm:t>
    </dgm:pt>
    <dgm:pt modelId="{30B52930-3062-CD4E-9A99-29CADADF1B9E}" type="parTrans" cxnId="{8A129801-1727-5344-9043-1A1C55BE1CF4}">
      <dgm:prSet/>
      <dgm:spPr/>
      <dgm:t>
        <a:bodyPr/>
        <a:lstStyle/>
        <a:p>
          <a:pPr algn="ctr"/>
          <a:endParaRPr lang="en-US"/>
        </a:p>
      </dgm:t>
    </dgm:pt>
    <dgm:pt modelId="{EBE8B04E-0D5C-DD43-B7A4-BC5D9C340224}" type="sibTrans" cxnId="{8A129801-1727-5344-9043-1A1C55BE1CF4}">
      <dgm:prSet/>
      <dgm:spPr/>
      <dgm:t>
        <a:bodyPr/>
        <a:lstStyle/>
        <a:p>
          <a:pPr algn="ctr"/>
          <a:endParaRPr lang="en-US"/>
        </a:p>
      </dgm:t>
    </dgm:pt>
    <dgm:pt modelId="{740F353A-797B-9844-BD98-DCFC7CD08AA3}" type="pres">
      <dgm:prSet presAssocID="{996A3BE6-21BA-4441-A83A-9407CCEB06F8}" presName="linearFlow" presStyleCnt="0">
        <dgm:presLayoutVars>
          <dgm:resizeHandles val="exact"/>
        </dgm:presLayoutVars>
      </dgm:prSet>
      <dgm:spPr/>
    </dgm:pt>
    <dgm:pt modelId="{EF28E94E-7E00-E540-9514-87F756FDF91E}" type="pres">
      <dgm:prSet presAssocID="{28CA5AB2-6C51-194D-947B-2A4D315ACB55}" presName="node" presStyleLbl="node1" presStyleIdx="0" presStyleCnt="5">
        <dgm:presLayoutVars>
          <dgm:bulletEnabled val="1"/>
        </dgm:presLayoutVars>
      </dgm:prSet>
      <dgm:spPr/>
    </dgm:pt>
    <dgm:pt modelId="{6AD6FD1B-285A-8149-A09C-52A68F9D768A}" type="pres">
      <dgm:prSet presAssocID="{715C1DF8-6672-974C-A629-024BD143B80D}" presName="sibTrans" presStyleLbl="sibTrans2D1" presStyleIdx="0" presStyleCnt="4"/>
      <dgm:spPr/>
    </dgm:pt>
    <dgm:pt modelId="{F138D809-8BF2-A041-8294-734A52B7721F}" type="pres">
      <dgm:prSet presAssocID="{715C1DF8-6672-974C-A629-024BD143B80D}" presName="connectorText" presStyleLbl="sibTrans2D1" presStyleIdx="0" presStyleCnt="4"/>
      <dgm:spPr/>
    </dgm:pt>
    <dgm:pt modelId="{49AECE9C-A268-3845-B809-118515FA4664}" type="pres">
      <dgm:prSet presAssocID="{41C776BC-BF1F-E74B-917B-68CD9EAE8F9F}" presName="node" presStyleLbl="node1" presStyleIdx="1" presStyleCnt="5">
        <dgm:presLayoutVars>
          <dgm:bulletEnabled val="1"/>
        </dgm:presLayoutVars>
      </dgm:prSet>
      <dgm:spPr/>
    </dgm:pt>
    <dgm:pt modelId="{B2B6BA32-5992-F740-A367-58AB1AF0F9AD}" type="pres">
      <dgm:prSet presAssocID="{602F41D7-F31C-8344-90EC-4EA671754A1E}" presName="sibTrans" presStyleLbl="sibTrans2D1" presStyleIdx="1" presStyleCnt="4"/>
      <dgm:spPr/>
    </dgm:pt>
    <dgm:pt modelId="{9067B37A-37D6-6046-B83A-46E76409D998}" type="pres">
      <dgm:prSet presAssocID="{602F41D7-F31C-8344-90EC-4EA671754A1E}" presName="connectorText" presStyleLbl="sibTrans2D1" presStyleIdx="1" presStyleCnt="4"/>
      <dgm:spPr/>
    </dgm:pt>
    <dgm:pt modelId="{54A40C92-EB51-3044-8554-2500055C4452}" type="pres">
      <dgm:prSet presAssocID="{A2075D3C-0319-8341-9EF0-69298192FB32}" presName="node" presStyleLbl="node1" presStyleIdx="2" presStyleCnt="5" custScaleX="148184">
        <dgm:presLayoutVars>
          <dgm:bulletEnabled val="1"/>
        </dgm:presLayoutVars>
      </dgm:prSet>
      <dgm:spPr/>
    </dgm:pt>
    <dgm:pt modelId="{A53CC6E7-3210-6B47-9BA6-2B33494C49CA}" type="pres">
      <dgm:prSet presAssocID="{055F84AC-C382-334B-84C0-689F593DB0BE}" presName="sibTrans" presStyleLbl="sibTrans2D1" presStyleIdx="2" presStyleCnt="4"/>
      <dgm:spPr/>
    </dgm:pt>
    <dgm:pt modelId="{C550F000-9297-3246-8563-AA8FB2772982}" type="pres">
      <dgm:prSet presAssocID="{055F84AC-C382-334B-84C0-689F593DB0BE}" presName="connectorText" presStyleLbl="sibTrans2D1" presStyleIdx="2" presStyleCnt="4"/>
      <dgm:spPr/>
    </dgm:pt>
    <dgm:pt modelId="{2214E6F3-00D2-354A-BCCD-A3357FC8D312}" type="pres">
      <dgm:prSet presAssocID="{74F24FA0-CDEE-A84D-AC19-D7A40965CB71}" presName="node" presStyleLbl="node1" presStyleIdx="3" presStyleCnt="5">
        <dgm:presLayoutVars>
          <dgm:bulletEnabled val="1"/>
        </dgm:presLayoutVars>
      </dgm:prSet>
      <dgm:spPr/>
    </dgm:pt>
    <dgm:pt modelId="{EC042DA9-2F5F-A94F-9A75-599366EAF52C}" type="pres">
      <dgm:prSet presAssocID="{EBE8B04E-0D5C-DD43-B7A4-BC5D9C340224}" presName="sibTrans" presStyleLbl="sibTrans2D1" presStyleIdx="3" presStyleCnt="4"/>
      <dgm:spPr/>
    </dgm:pt>
    <dgm:pt modelId="{03D29292-B16B-BE4E-8A12-C673EBBE9246}" type="pres">
      <dgm:prSet presAssocID="{EBE8B04E-0D5C-DD43-B7A4-BC5D9C340224}" presName="connectorText" presStyleLbl="sibTrans2D1" presStyleIdx="3" presStyleCnt="4"/>
      <dgm:spPr/>
    </dgm:pt>
    <dgm:pt modelId="{DDABDA4E-7192-2445-A022-CA60864F1E6C}" type="pres">
      <dgm:prSet presAssocID="{887B2596-A645-8B44-A916-BCC7ED85B76E}" presName="node" presStyleLbl="node1" presStyleIdx="4" presStyleCnt="5" custScaleX="197706">
        <dgm:presLayoutVars>
          <dgm:bulletEnabled val="1"/>
        </dgm:presLayoutVars>
      </dgm:prSet>
      <dgm:spPr/>
    </dgm:pt>
  </dgm:ptLst>
  <dgm:cxnLst>
    <dgm:cxn modelId="{8A129801-1727-5344-9043-1A1C55BE1CF4}" srcId="{996A3BE6-21BA-4441-A83A-9407CCEB06F8}" destId="{74F24FA0-CDEE-A84D-AC19-D7A40965CB71}" srcOrd="3" destOrd="0" parTransId="{30B52930-3062-CD4E-9A99-29CADADF1B9E}" sibTransId="{EBE8B04E-0D5C-DD43-B7A4-BC5D9C340224}"/>
    <dgm:cxn modelId="{798AB703-2179-CA42-9D4D-46CB6F17E670}" type="presOf" srcId="{602F41D7-F31C-8344-90EC-4EA671754A1E}" destId="{B2B6BA32-5992-F740-A367-58AB1AF0F9AD}" srcOrd="0" destOrd="0" presId="urn:microsoft.com/office/officeart/2005/8/layout/process2"/>
    <dgm:cxn modelId="{C51E110E-A1A5-0146-AE4A-77495BA7E024}" type="presOf" srcId="{715C1DF8-6672-974C-A629-024BD143B80D}" destId="{F138D809-8BF2-A041-8294-734A52B7721F}" srcOrd="1" destOrd="0" presId="urn:microsoft.com/office/officeart/2005/8/layout/process2"/>
    <dgm:cxn modelId="{2F4FB811-7707-264E-8412-052E176C444F}" type="presOf" srcId="{055F84AC-C382-334B-84C0-689F593DB0BE}" destId="{A53CC6E7-3210-6B47-9BA6-2B33494C49CA}" srcOrd="0" destOrd="0" presId="urn:microsoft.com/office/officeart/2005/8/layout/process2"/>
    <dgm:cxn modelId="{649A8865-9AD0-5943-BC09-781317EB7723}" type="presOf" srcId="{74F24FA0-CDEE-A84D-AC19-D7A40965CB71}" destId="{2214E6F3-00D2-354A-BCCD-A3357FC8D312}" srcOrd="0" destOrd="0" presId="urn:microsoft.com/office/officeart/2005/8/layout/process2"/>
    <dgm:cxn modelId="{E7E65F68-0527-9346-B1C1-F5704BED3D0D}" type="presOf" srcId="{715C1DF8-6672-974C-A629-024BD143B80D}" destId="{6AD6FD1B-285A-8149-A09C-52A68F9D768A}" srcOrd="0" destOrd="0" presId="urn:microsoft.com/office/officeart/2005/8/layout/process2"/>
    <dgm:cxn modelId="{581ADF75-FBF9-8B40-8047-65AE7AD1B6A9}" srcId="{996A3BE6-21BA-4441-A83A-9407CCEB06F8}" destId="{41C776BC-BF1F-E74B-917B-68CD9EAE8F9F}" srcOrd="1" destOrd="0" parTransId="{03A3C9B9-0004-AB41-A51F-77A5782EEE45}" sibTransId="{602F41D7-F31C-8344-90EC-4EA671754A1E}"/>
    <dgm:cxn modelId="{62D8AC7A-0452-2942-BDC4-D97C02EF87F4}" srcId="{996A3BE6-21BA-4441-A83A-9407CCEB06F8}" destId="{887B2596-A645-8B44-A916-BCC7ED85B76E}" srcOrd="4" destOrd="0" parTransId="{432F6AF5-84B1-024E-AE06-8840A4D8C1B4}" sibTransId="{84FA180C-81F6-5647-97B5-3C0B1D5116A4}"/>
    <dgm:cxn modelId="{7215C37D-E8CC-0D47-AB06-E484876C15A4}" type="presOf" srcId="{EBE8B04E-0D5C-DD43-B7A4-BC5D9C340224}" destId="{03D29292-B16B-BE4E-8A12-C673EBBE9246}" srcOrd="1" destOrd="0" presId="urn:microsoft.com/office/officeart/2005/8/layout/process2"/>
    <dgm:cxn modelId="{476E467E-3588-4046-A56F-DFC9B1F1D194}" srcId="{996A3BE6-21BA-4441-A83A-9407CCEB06F8}" destId="{28CA5AB2-6C51-194D-947B-2A4D315ACB55}" srcOrd="0" destOrd="0" parTransId="{30CC45A4-3E1E-C54B-820A-1D9E7F61E020}" sibTransId="{715C1DF8-6672-974C-A629-024BD143B80D}"/>
    <dgm:cxn modelId="{84B26784-0F2D-894F-BE3F-C91A71BE3E57}" type="presOf" srcId="{055F84AC-C382-334B-84C0-689F593DB0BE}" destId="{C550F000-9297-3246-8563-AA8FB2772982}" srcOrd="1" destOrd="0" presId="urn:microsoft.com/office/officeart/2005/8/layout/process2"/>
    <dgm:cxn modelId="{5EACB08E-5904-A942-959C-2604F1219263}" type="presOf" srcId="{996A3BE6-21BA-4441-A83A-9407CCEB06F8}" destId="{740F353A-797B-9844-BD98-DCFC7CD08AA3}" srcOrd="0" destOrd="0" presId="urn:microsoft.com/office/officeart/2005/8/layout/process2"/>
    <dgm:cxn modelId="{7F77EC8F-5D43-B743-B0FA-7D5BCB06356A}" type="presOf" srcId="{41C776BC-BF1F-E74B-917B-68CD9EAE8F9F}" destId="{49AECE9C-A268-3845-B809-118515FA4664}" srcOrd="0" destOrd="0" presId="urn:microsoft.com/office/officeart/2005/8/layout/process2"/>
    <dgm:cxn modelId="{193B88D6-3C81-3140-9BC0-04CA49C4C27B}" type="presOf" srcId="{28CA5AB2-6C51-194D-947B-2A4D315ACB55}" destId="{EF28E94E-7E00-E540-9514-87F756FDF91E}" srcOrd="0" destOrd="0" presId="urn:microsoft.com/office/officeart/2005/8/layout/process2"/>
    <dgm:cxn modelId="{17B8D5DA-0B3E-014D-AD82-CA40B25DDA97}" srcId="{996A3BE6-21BA-4441-A83A-9407CCEB06F8}" destId="{A2075D3C-0319-8341-9EF0-69298192FB32}" srcOrd="2" destOrd="0" parTransId="{26554CD4-EA89-E040-98D9-DACA1EFBEE05}" sibTransId="{055F84AC-C382-334B-84C0-689F593DB0BE}"/>
    <dgm:cxn modelId="{7668BDDF-D158-A746-971A-E10A67847588}" type="presOf" srcId="{887B2596-A645-8B44-A916-BCC7ED85B76E}" destId="{DDABDA4E-7192-2445-A022-CA60864F1E6C}" srcOrd="0" destOrd="0" presId="urn:microsoft.com/office/officeart/2005/8/layout/process2"/>
    <dgm:cxn modelId="{134D44F1-16EC-4347-9D74-4023778BE890}" type="presOf" srcId="{602F41D7-F31C-8344-90EC-4EA671754A1E}" destId="{9067B37A-37D6-6046-B83A-46E76409D998}" srcOrd="1" destOrd="0" presId="urn:microsoft.com/office/officeart/2005/8/layout/process2"/>
    <dgm:cxn modelId="{A20BEAF6-92A2-8C45-AE6A-5C60F71AB830}" type="presOf" srcId="{A2075D3C-0319-8341-9EF0-69298192FB32}" destId="{54A40C92-EB51-3044-8554-2500055C4452}" srcOrd="0" destOrd="0" presId="urn:microsoft.com/office/officeart/2005/8/layout/process2"/>
    <dgm:cxn modelId="{FC7671F9-CD48-1A44-A252-ADB53F882178}" type="presOf" srcId="{EBE8B04E-0D5C-DD43-B7A4-BC5D9C340224}" destId="{EC042DA9-2F5F-A94F-9A75-599366EAF52C}" srcOrd="0" destOrd="0" presId="urn:microsoft.com/office/officeart/2005/8/layout/process2"/>
    <dgm:cxn modelId="{9116DADA-0422-4E4A-9C30-8AABFB2C22BF}" type="presParOf" srcId="{740F353A-797B-9844-BD98-DCFC7CD08AA3}" destId="{EF28E94E-7E00-E540-9514-87F756FDF91E}" srcOrd="0" destOrd="0" presId="urn:microsoft.com/office/officeart/2005/8/layout/process2"/>
    <dgm:cxn modelId="{FAB44190-E3B6-C141-98F0-CC4199DD0273}" type="presParOf" srcId="{740F353A-797B-9844-BD98-DCFC7CD08AA3}" destId="{6AD6FD1B-285A-8149-A09C-52A68F9D768A}" srcOrd="1" destOrd="0" presId="urn:microsoft.com/office/officeart/2005/8/layout/process2"/>
    <dgm:cxn modelId="{360D3D2A-C8A0-4A40-999B-5E05914B9D11}" type="presParOf" srcId="{6AD6FD1B-285A-8149-A09C-52A68F9D768A}" destId="{F138D809-8BF2-A041-8294-734A52B7721F}" srcOrd="0" destOrd="0" presId="urn:microsoft.com/office/officeart/2005/8/layout/process2"/>
    <dgm:cxn modelId="{AEBD2457-936E-4E41-8ED1-85FF46D87546}" type="presParOf" srcId="{740F353A-797B-9844-BD98-DCFC7CD08AA3}" destId="{49AECE9C-A268-3845-B809-118515FA4664}" srcOrd="2" destOrd="0" presId="urn:microsoft.com/office/officeart/2005/8/layout/process2"/>
    <dgm:cxn modelId="{44EE817F-BD65-684C-A7F3-50B42FEE24D6}" type="presParOf" srcId="{740F353A-797B-9844-BD98-DCFC7CD08AA3}" destId="{B2B6BA32-5992-F740-A367-58AB1AF0F9AD}" srcOrd="3" destOrd="0" presId="urn:microsoft.com/office/officeart/2005/8/layout/process2"/>
    <dgm:cxn modelId="{E09F3AD2-1897-6D46-8A9F-8F68BB80C8CC}" type="presParOf" srcId="{B2B6BA32-5992-F740-A367-58AB1AF0F9AD}" destId="{9067B37A-37D6-6046-B83A-46E76409D998}" srcOrd="0" destOrd="0" presId="urn:microsoft.com/office/officeart/2005/8/layout/process2"/>
    <dgm:cxn modelId="{7B1254EB-4B9C-D644-B69A-F977E809CBC6}" type="presParOf" srcId="{740F353A-797B-9844-BD98-DCFC7CD08AA3}" destId="{54A40C92-EB51-3044-8554-2500055C4452}" srcOrd="4" destOrd="0" presId="urn:microsoft.com/office/officeart/2005/8/layout/process2"/>
    <dgm:cxn modelId="{CADCE8BB-FB67-CE40-94EC-87555F76C588}" type="presParOf" srcId="{740F353A-797B-9844-BD98-DCFC7CD08AA3}" destId="{A53CC6E7-3210-6B47-9BA6-2B33494C49CA}" srcOrd="5" destOrd="0" presId="urn:microsoft.com/office/officeart/2005/8/layout/process2"/>
    <dgm:cxn modelId="{83A2C809-F954-574A-BA75-B77C50B766F9}" type="presParOf" srcId="{A53CC6E7-3210-6B47-9BA6-2B33494C49CA}" destId="{C550F000-9297-3246-8563-AA8FB2772982}" srcOrd="0" destOrd="0" presId="urn:microsoft.com/office/officeart/2005/8/layout/process2"/>
    <dgm:cxn modelId="{4E4500A2-0600-684F-96B0-C3B3F628AB1F}" type="presParOf" srcId="{740F353A-797B-9844-BD98-DCFC7CD08AA3}" destId="{2214E6F3-00D2-354A-BCCD-A3357FC8D312}" srcOrd="6" destOrd="0" presId="urn:microsoft.com/office/officeart/2005/8/layout/process2"/>
    <dgm:cxn modelId="{3752BC7E-DF5D-9240-A46C-3FE928507837}" type="presParOf" srcId="{740F353A-797B-9844-BD98-DCFC7CD08AA3}" destId="{EC042DA9-2F5F-A94F-9A75-599366EAF52C}" srcOrd="7" destOrd="0" presId="urn:microsoft.com/office/officeart/2005/8/layout/process2"/>
    <dgm:cxn modelId="{60316865-C3F6-BE43-B870-12228008BB1C}" type="presParOf" srcId="{EC042DA9-2F5F-A94F-9A75-599366EAF52C}" destId="{03D29292-B16B-BE4E-8A12-C673EBBE9246}" srcOrd="0" destOrd="0" presId="urn:microsoft.com/office/officeart/2005/8/layout/process2"/>
    <dgm:cxn modelId="{BA6FD77F-1048-E04F-A190-D1780F5451B9}" type="presParOf" srcId="{740F353A-797B-9844-BD98-DCFC7CD08AA3}" destId="{DDABDA4E-7192-2445-A022-CA60864F1E6C}" srcOrd="8" destOrd="0" presId="urn:microsoft.com/office/officeart/2005/8/layout/process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28E94E-7E00-E540-9514-87F756FDF91E}">
      <dsp:nvSpPr>
        <dsp:cNvPr id="0" name=""/>
        <dsp:cNvSpPr/>
      </dsp:nvSpPr>
      <dsp:spPr>
        <a:xfrm>
          <a:off x="1268933" y="250"/>
          <a:ext cx="1170533" cy="29263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All patients, n</a:t>
          </a:r>
        </a:p>
      </dsp:txBody>
      <dsp:txXfrm>
        <a:off x="1277504" y="8821"/>
        <a:ext cx="1153391" cy="275491"/>
      </dsp:txXfrm>
    </dsp:sp>
    <dsp:sp modelId="{6AD6FD1B-285A-8149-A09C-52A68F9D768A}">
      <dsp:nvSpPr>
        <dsp:cNvPr id="0" name=""/>
        <dsp:cNvSpPr/>
      </dsp:nvSpPr>
      <dsp:spPr>
        <a:xfrm rot="5400000">
          <a:off x="1799331" y="300199"/>
          <a:ext cx="109737" cy="13168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814695" y="311173"/>
        <a:ext cx="79010" cy="76816"/>
      </dsp:txXfrm>
    </dsp:sp>
    <dsp:sp modelId="{49AECE9C-A268-3845-B809-118515FA4664}">
      <dsp:nvSpPr>
        <dsp:cNvPr id="0" name=""/>
        <dsp:cNvSpPr/>
      </dsp:nvSpPr>
      <dsp:spPr>
        <a:xfrm>
          <a:off x="1268933" y="439199"/>
          <a:ext cx="1170533" cy="29263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Non-APL patients, n</a:t>
          </a:r>
        </a:p>
      </dsp:txBody>
      <dsp:txXfrm>
        <a:off x="1277504" y="447770"/>
        <a:ext cx="1153391" cy="275491"/>
      </dsp:txXfrm>
    </dsp:sp>
    <dsp:sp modelId="{B2B6BA32-5992-F740-A367-58AB1AF0F9AD}">
      <dsp:nvSpPr>
        <dsp:cNvPr id="0" name=""/>
        <dsp:cNvSpPr/>
      </dsp:nvSpPr>
      <dsp:spPr>
        <a:xfrm rot="5400000">
          <a:off x="1799331" y="739149"/>
          <a:ext cx="109737" cy="13168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814695" y="750123"/>
        <a:ext cx="79010" cy="76816"/>
      </dsp:txXfrm>
    </dsp:sp>
    <dsp:sp modelId="{54A40C92-EB51-3044-8554-2500055C4452}">
      <dsp:nvSpPr>
        <dsp:cNvPr id="0" name=""/>
        <dsp:cNvSpPr/>
      </dsp:nvSpPr>
      <dsp:spPr>
        <a:xfrm>
          <a:off x="986928" y="878149"/>
          <a:ext cx="1734542" cy="29263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Intensive first line treatment, n</a:t>
          </a:r>
        </a:p>
      </dsp:txBody>
      <dsp:txXfrm>
        <a:off x="995499" y="886720"/>
        <a:ext cx="1717400" cy="275491"/>
      </dsp:txXfrm>
    </dsp:sp>
    <dsp:sp modelId="{A53CC6E7-3210-6B47-9BA6-2B33494C49CA}">
      <dsp:nvSpPr>
        <dsp:cNvPr id="0" name=""/>
        <dsp:cNvSpPr/>
      </dsp:nvSpPr>
      <dsp:spPr>
        <a:xfrm rot="5400000">
          <a:off x="1799331" y="1178098"/>
          <a:ext cx="109737" cy="13168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814695" y="1189072"/>
        <a:ext cx="79010" cy="76816"/>
      </dsp:txXfrm>
    </dsp:sp>
    <dsp:sp modelId="{2214E6F3-00D2-354A-BCCD-A3357FC8D312}">
      <dsp:nvSpPr>
        <dsp:cNvPr id="0" name=""/>
        <dsp:cNvSpPr/>
      </dsp:nvSpPr>
      <dsp:spPr>
        <a:xfrm>
          <a:off x="1268933" y="1317099"/>
          <a:ext cx="1170533" cy="29263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TDT &gt;= 0 days, n</a:t>
          </a:r>
        </a:p>
      </dsp:txBody>
      <dsp:txXfrm>
        <a:off x="1277504" y="1325670"/>
        <a:ext cx="1153391" cy="275491"/>
      </dsp:txXfrm>
    </dsp:sp>
    <dsp:sp modelId="{EC042DA9-2F5F-A94F-9A75-599366EAF52C}">
      <dsp:nvSpPr>
        <dsp:cNvPr id="0" name=""/>
        <dsp:cNvSpPr/>
      </dsp:nvSpPr>
      <dsp:spPr>
        <a:xfrm rot="5400000">
          <a:off x="1799331" y="1617048"/>
          <a:ext cx="109737" cy="131684"/>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814695" y="1628022"/>
        <a:ext cx="79010" cy="76816"/>
      </dsp:txXfrm>
    </dsp:sp>
    <dsp:sp modelId="{DDABDA4E-7192-2445-A022-CA60864F1E6C}">
      <dsp:nvSpPr>
        <dsp:cNvPr id="0" name=""/>
        <dsp:cNvSpPr/>
      </dsp:nvSpPr>
      <dsp:spPr>
        <a:xfrm>
          <a:off x="697093" y="1756049"/>
          <a:ext cx="2314213" cy="292633"/>
        </a:xfrm>
        <a:prstGeom prst="roundRect">
          <a:avLst>
            <a:gd name="adj" fmla="val 10000"/>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Follow-up at least 12 months, n</a:t>
          </a:r>
        </a:p>
      </dsp:txBody>
      <dsp:txXfrm>
        <a:off x="705664" y="1764620"/>
        <a:ext cx="2297071" cy="27549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32</Pages>
  <Words>6910</Words>
  <Characters>39387</Characters>
  <Application>Microsoft Office Word</Application>
  <DocSecurity>0</DocSecurity>
  <Lines>328</Lines>
  <Paragraphs>92</Paragraphs>
  <ScaleCrop>false</ScaleCrop>
  <Company/>
  <LinksUpToDate>false</LinksUpToDate>
  <CharactersWithSpaces>46205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Natividad</dc:creator>
  <cp:keywords/>
  <dc:description/>
  <cp:lastModifiedBy>Ana Natividad</cp:lastModifiedBy>
  <cp:revision>9</cp:revision>
  <dcterms:created xsi:type="dcterms:W3CDTF">2025-02-15T10:37:00Z</dcterms:created>
  <dcterms:modified xsi:type="dcterms:W3CDTF">2025-03-06T08:15:00Z</dcterms:modified>
</cp:coreProperties>
</file>