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7EE506C" wp14:paraId="09B3E9D3" wp14:textId="382B1666">
      <w:pPr>
        <w:spacing w:before="0" w:beforeAutospacing="off" w:after="160" w:afterAutospacing="off" w:line="480" w:lineRule="auto"/>
        <w:rPr>
          <w:rFonts w:ascii="Times New Roman" w:hAnsi="Times New Roman" w:eastAsia="Times New Roman" w:cs="Times New Roman"/>
          <w:noProof w:val="0"/>
          <w:sz w:val="24"/>
          <w:szCs w:val="24"/>
          <w:lang w:val="en-US"/>
        </w:rPr>
      </w:pPr>
    </w:p>
    <w:p xmlns:wp14="http://schemas.microsoft.com/office/word/2010/wordml" w:rsidP="07EE506C" wp14:paraId="1BA1F2AC" wp14:textId="50236237">
      <w:pPr>
        <w:spacing w:before="0" w:beforeAutospacing="off" w:after="160" w:afterAutospacing="off" w:line="480" w:lineRule="auto"/>
        <w:jc w:val="center"/>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Christopher Boyce</w:t>
      </w:r>
    </w:p>
    <w:p xmlns:wp14="http://schemas.microsoft.com/office/word/2010/wordml" w:rsidP="07EE506C" wp14:paraId="792A1248" wp14:textId="6EC4401F">
      <w:pPr>
        <w:keepNext w:val="0"/>
        <w:keepLines w:val="0"/>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EE506C" w:rsidR="7E4EFF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Technical Writing, Post University</w:t>
      </w:r>
    </w:p>
    <w:p xmlns:wp14="http://schemas.microsoft.com/office/word/2010/wordml" w:rsidP="07EE506C" wp14:paraId="76DF7C6D" wp14:textId="318A1D82">
      <w:pPr>
        <w:keepNext w:val="0"/>
        <w:keepLines w:val="0"/>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EE506C" w:rsidR="7E4EFF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CIS311-Technical Writing</w:t>
      </w:r>
    </w:p>
    <w:p xmlns:wp14="http://schemas.microsoft.com/office/word/2010/wordml" w:rsidP="07EE506C" wp14:paraId="11AA2305" wp14:textId="0BADFB4F">
      <w:pPr>
        <w:keepNext w:val="0"/>
        <w:keepLines w:val="0"/>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EE506C" w:rsidR="7E4EFF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Dr. Jess Schwartz</w:t>
      </w:r>
    </w:p>
    <w:p xmlns:wp14="http://schemas.microsoft.com/office/word/2010/wordml" w:rsidP="07EE506C" wp14:paraId="1F0F75E2" wp14:textId="02F2D993">
      <w:pPr>
        <w:keepNext w:val="0"/>
        <w:keepLines w:val="0"/>
        <w:spacing w:line="480" w:lineRule="auto"/>
        <w:jc w:val="cente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07EE506C" w:rsidR="7E4EFF13">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t>12/7/2025 11:59 p.m.</w:t>
      </w:r>
    </w:p>
    <w:p xmlns:wp14="http://schemas.microsoft.com/office/word/2010/wordml" w:rsidP="07EE506C" wp14:paraId="53819BD6" wp14:textId="72E8B818">
      <w:pPr>
        <w:spacing w:before="0" w:beforeAutospacing="off" w:after="160" w:afterAutospacing="off" w:line="480" w:lineRule="auto"/>
        <w:jc w:val="center"/>
        <w:rPr>
          <w:rFonts w:ascii="Times New Roman" w:hAnsi="Times New Roman" w:eastAsia="Times New Roman" w:cs="Times New Roman"/>
          <w:noProof w:val="0"/>
          <w:sz w:val="24"/>
          <w:szCs w:val="24"/>
          <w:lang w:val="en-US"/>
        </w:rPr>
      </w:pPr>
    </w:p>
    <w:p xmlns:wp14="http://schemas.microsoft.com/office/word/2010/wordml" w:rsidP="07EE506C" wp14:paraId="2043FF2C" wp14:textId="4BFBB1E7">
      <w:pPr>
        <w:spacing w:line="480" w:lineRule="auto"/>
        <w:rPr>
          <w:rFonts w:ascii="Times New Roman" w:hAnsi="Times New Roman" w:eastAsia="Times New Roman" w:cs="Times New Roman"/>
          <w:sz w:val="24"/>
          <w:szCs w:val="24"/>
        </w:rPr>
      </w:pPr>
    </w:p>
    <w:p xmlns:wp14="http://schemas.microsoft.com/office/word/2010/wordml" w:rsidP="07EE506C" wp14:paraId="0D203234" wp14:textId="4B5D39B3">
      <w:pPr>
        <w:spacing w:before="0" w:beforeAutospacing="off" w:after="160" w:afterAutospacing="off" w:line="480" w:lineRule="auto"/>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 xml:space="preserve"> </w:t>
      </w:r>
    </w:p>
    <w:p xmlns:wp14="http://schemas.microsoft.com/office/word/2010/wordml" w:rsidP="07EE506C" wp14:paraId="1FB1D195" wp14:textId="474BD4F0">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327CAE19" wp14:textId="00C89F8C">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3DCCF5E8" wp14:textId="12D46B00">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5363D14F" wp14:textId="5C77DFCF">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6CA871D0" wp14:textId="64FE97DB">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68320DF4" wp14:textId="7D3F2F89">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0CB87C37" wp14:textId="5C93851C">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61A65C27" wp14:textId="4D81632B">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34319F4B" wp14:textId="03C6711C">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79723FEF" wp14:textId="7B7BE7D8">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539F065F" wp14:textId="5FC03F8F">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684844D7" wp14:textId="672EE27F">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3EAB8656" wp14:textId="7B8A02A2">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608AD13B" wp14:textId="0C349760">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5AF58C83" wp14:textId="1793769A">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172E853B" wp14:textId="68DD4EDC">
      <w:pPr>
        <w:pStyle w:val="Normal"/>
        <w:spacing w:line="480" w:lineRule="auto"/>
        <w:jc w:val="center"/>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Executive Summary</w:t>
      </w:r>
    </w:p>
    <w:p xmlns:wp14="http://schemas.microsoft.com/office/word/2010/wordml" w:rsidP="07EE506C" wp14:paraId="096956A8" wp14:textId="47004A9B">
      <w:pPr>
        <w:spacing w:before="0" w:beforeAutospacing="off" w:after="160" w:afterAutospacing="off" w:line="480" w:lineRule="auto"/>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 xml:space="preserve">This research report examines Internet censorship through three interrelated dimensions: technical mechanisms and circumvention (Tschantz, Afroz, &amp; Paxson, 2016), global measurement (Akhavan </w:t>
      </w:r>
      <w:r w:rsidRPr="07EE506C" w:rsidR="483F848A">
        <w:rPr>
          <w:rFonts w:ascii="Times New Roman" w:hAnsi="Times New Roman" w:eastAsia="Times New Roman" w:cs="Times New Roman"/>
          <w:noProof w:val="0"/>
          <w:sz w:val="24"/>
          <w:szCs w:val="24"/>
          <w:lang w:val="en-US"/>
        </w:rPr>
        <w:t>Niaki</w:t>
      </w:r>
      <w:r w:rsidRPr="07EE506C" w:rsidR="483F848A">
        <w:rPr>
          <w:rFonts w:ascii="Times New Roman" w:hAnsi="Times New Roman" w:eastAsia="Times New Roman" w:cs="Times New Roman"/>
          <w:noProof w:val="0"/>
          <w:sz w:val="24"/>
          <w:szCs w:val="24"/>
          <w:lang w:val="en-US"/>
        </w:rPr>
        <w:t xml:space="preserve"> et al., 2020), and algorithmic governance on social platforms (Cobbe, 2021). At the network layer, censorship </w:t>
      </w:r>
      <w:r w:rsidRPr="07EE506C" w:rsidR="483F848A">
        <w:rPr>
          <w:rFonts w:ascii="Times New Roman" w:hAnsi="Times New Roman" w:eastAsia="Times New Roman" w:cs="Times New Roman"/>
          <w:noProof w:val="0"/>
          <w:sz w:val="24"/>
          <w:szCs w:val="24"/>
          <w:lang w:val="en-US"/>
        </w:rPr>
        <w:t>frequently</w:t>
      </w:r>
      <w:r w:rsidRPr="07EE506C" w:rsidR="483F848A">
        <w:rPr>
          <w:rFonts w:ascii="Times New Roman" w:hAnsi="Times New Roman" w:eastAsia="Times New Roman" w:cs="Times New Roman"/>
          <w:noProof w:val="0"/>
          <w:sz w:val="24"/>
          <w:szCs w:val="24"/>
          <w:lang w:val="en-US"/>
        </w:rPr>
        <w:t xml:space="preserve"> manifests as IP blocking, DNS manipulation, protocol interference, and traffic shaping—techniques that degrade or deny access while leaving limited forensic traces. The circumvention ecosystem (including Tor, VPNs, pluggable transports, domain fronting, and mirrors) is adaptive but must be empirically </w:t>
      </w:r>
      <w:r w:rsidRPr="07EE506C" w:rsidR="483F848A">
        <w:rPr>
          <w:rFonts w:ascii="Times New Roman" w:hAnsi="Times New Roman" w:eastAsia="Times New Roman" w:cs="Times New Roman"/>
          <w:noProof w:val="0"/>
          <w:sz w:val="24"/>
          <w:szCs w:val="24"/>
          <w:lang w:val="en-US"/>
        </w:rPr>
        <w:t>validated</w:t>
      </w:r>
      <w:r w:rsidRPr="07EE506C" w:rsidR="483F848A">
        <w:rPr>
          <w:rFonts w:ascii="Times New Roman" w:hAnsi="Times New Roman" w:eastAsia="Times New Roman" w:cs="Times New Roman"/>
          <w:noProof w:val="0"/>
          <w:sz w:val="24"/>
          <w:szCs w:val="24"/>
          <w:lang w:val="en-US"/>
        </w:rPr>
        <w:t xml:space="preserve"> to ensure resilience and usability under specific censorship regimes (Tschantz et al., 2016).</w:t>
      </w:r>
      <w:r>
        <w:br/>
      </w:r>
      <w:r w:rsidRPr="07EE506C" w:rsidR="483F848A">
        <w:rPr>
          <w:rFonts w:ascii="Times New Roman" w:hAnsi="Times New Roman" w:eastAsia="Times New Roman" w:cs="Times New Roman"/>
          <w:noProof w:val="0"/>
          <w:sz w:val="24"/>
          <w:szCs w:val="24"/>
          <w:lang w:val="en-US"/>
        </w:rPr>
        <w:t xml:space="preserve"> </w:t>
      </w:r>
      <w:r>
        <w:br/>
      </w:r>
      <w:r w:rsidRPr="07EE506C" w:rsidR="483F848A">
        <w:rPr>
          <w:rFonts w:ascii="Times New Roman" w:hAnsi="Times New Roman" w:eastAsia="Times New Roman" w:cs="Times New Roman"/>
          <w:noProof w:val="0"/>
          <w:sz w:val="24"/>
          <w:szCs w:val="24"/>
          <w:lang w:val="en-US"/>
        </w:rPr>
        <w:t xml:space="preserve">At the measurement layer, longitudinal platforms such as </w:t>
      </w:r>
      <w:r w:rsidRPr="07EE506C" w:rsidR="483F848A">
        <w:rPr>
          <w:rFonts w:ascii="Times New Roman" w:hAnsi="Times New Roman" w:eastAsia="Times New Roman" w:cs="Times New Roman"/>
          <w:noProof w:val="0"/>
          <w:sz w:val="24"/>
          <w:szCs w:val="24"/>
          <w:lang w:val="en-US"/>
        </w:rPr>
        <w:t>ICLab</w:t>
      </w:r>
      <w:r w:rsidRPr="07EE506C" w:rsidR="483F848A">
        <w:rPr>
          <w:rFonts w:ascii="Times New Roman" w:hAnsi="Times New Roman" w:eastAsia="Times New Roman" w:cs="Times New Roman"/>
          <w:noProof w:val="0"/>
          <w:sz w:val="24"/>
          <w:szCs w:val="24"/>
          <w:lang w:val="en-US"/>
        </w:rPr>
        <w:t xml:space="preserve"> provide systematic, cross-country visibility into censorship practices by running standardized tests from diverse vantage points and distinguishing genuine interference from ordinary failures or misconfigurations (Akhavan </w:t>
      </w:r>
      <w:r w:rsidRPr="07EE506C" w:rsidR="483F848A">
        <w:rPr>
          <w:rFonts w:ascii="Times New Roman" w:hAnsi="Times New Roman" w:eastAsia="Times New Roman" w:cs="Times New Roman"/>
          <w:noProof w:val="0"/>
          <w:sz w:val="24"/>
          <w:szCs w:val="24"/>
          <w:lang w:val="en-US"/>
        </w:rPr>
        <w:t>Niaki</w:t>
      </w:r>
      <w:r w:rsidRPr="07EE506C" w:rsidR="483F848A">
        <w:rPr>
          <w:rFonts w:ascii="Times New Roman" w:hAnsi="Times New Roman" w:eastAsia="Times New Roman" w:cs="Times New Roman"/>
          <w:noProof w:val="0"/>
          <w:sz w:val="24"/>
          <w:szCs w:val="24"/>
          <w:lang w:val="en-US"/>
        </w:rPr>
        <w:t xml:space="preserve"> et al., 2020). This infrastructure enables accountability and comparative analysis while revealing heterogeneous modalities across jurisdictions.</w:t>
      </w:r>
      <w:r>
        <w:br/>
      </w:r>
      <w:r w:rsidRPr="07EE506C" w:rsidR="483F848A">
        <w:rPr>
          <w:rFonts w:ascii="Times New Roman" w:hAnsi="Times New Roman" w:eastAsia="Times New Roman" w:cs="Times New Roman"/>
          <w:noProof w:val="0"/>
          <w:sz w:val="24"/>
          <w:szCs w:val="24"/>
          <w:lang w:val="en-US"/>
        </w:rPr>
        <w:t xml:space="preserve"> </w:t>
      </w:r>
      <w:r>
        <w:br/>
      </w:r>
      <w:r w:rsidRPr="07EE506C" w:rsidR="483F848A">
        <w:rPr>
          <w:rFonts w:ascii="Times New Roman" w:hAnsi="Times New Roman" w:eastAsia="Times New Roman" w:cs="Times New Roman"/>
          <w:noProof w:val="0"/>
          <w:sz w:val="24"/>
          <w:szCs w:val="24"/>
          <w:lang w:val="en-US"/>
        </w:rPr>
        <w:t xml:space="preserve">At the platform layer, algorithmic censorship </w:t>
      </w:r>
      <w:r w:rsidRPr="07EE506C" w:rsidR="483F848A">
        <w:rPr>
          <w:rFonts w:ascii="Times New Roman" w:hAnsi="Times New Roman" w:eastAsia="Times New Roman" w:cs="Times New Roman"/>
          <w:noProof w:val="0"/>
          <w:sz w:val="24"/>
          <w:szCs w:val="24"/>
          <w:lang w:val="en-US"/>
        </w:rPr>
        <w:t>operates</w:t>
      </w:r>
      <w:r w:rsidRPr="07EE506C" w:rsidR="483F848A">
        <w:rPr>
          <w:rFonts w:ascii="Times New Roman" w:hAnsi="Times New Roman" w:eastAsia="Times New Roman" w:cs="Times New Roman"/>
          <w:noProof w:val="0"/>
          <w:sz w:val="24"/>
          <w:szCs w:val="24"/>
          <w:lang w:val="en-US"/>
        </w:rPr>
        <w:t xml:space="preserve"> through ranking, removal, demotion, and other forms of content governance that can suppress speech without explicit state mandates or transparent disclosure. Cobbe (2021) highlights how opaque architectures embed power and </w:t>
      </w:r>
      <w:r w:rsidRPr="07EE506C" w:rsidR="483F848A">
        <w:rPr>
          <w:rFonts w:ascii="Times New Roman" w:hAnsi="Times New Roman" w:eastAsia="Times New Roman" w:cs="Times New Roman"/>
          <w:noProof w:val="0"/>
          <w:sz w:val="24"/>
          <w:szCs w:val="24"/>
          <w:lang w:val="en-US"/>
        </w:rPr>
        <w:t>calls</w:t>
      </w:r>
      <w:r w:rsidRPr="07EE506C" w:rsidR="483F848A">
        <w:rPr>
          <w:rFonts w:ascii="Times New Roman" w:hAnsi="Times New Roman" w:eastAsia="Times New Roman" w:cs="Times New Roman"/>
          <w:noProof w:val="0"/>
          <w:sz w:val="24"/>
          <w:szCs w:val="24"/>
          <w:lang w:val="en-US"/>
        </w:rPr>
        <w:t xml:space="preserve"> for resistance through transparency, audits, and rebalancing governance mechanisms.</w:t>
      </w:r>
      <w:r>
        <w:br/>
      </w:r>
      <w:r w:rsidRPr="07EE506C" w:rsidR="483F848A">
        <w:rPr>
          <w:rFonts w:ascii="Times New Roman" w:hAnsi="Times New Roman" w:eastAsia="Times New Roman" w:cs="Times New Roman"/>
          <w:noProof w:val="0"/>
          <w:sz w:val="24"/>
          <w:szCs w:val="24"/>
          <w:lang w:val="en-US"/>
        </w:rPr>
        <w:t xml:space="preserve"> </w:t>
      </w:r>
      <w:r>
        <w:br/>
      </w:r>
      <w:r w:rsidRPr="07EE506C" w:rsidR="483F848A">
        <w:rPr>
          <w:rFonts w:ascii="Times New Roman" w:hAnsi="Times New Roman" w:eastAsia="Times New Roman" w:cs="Times New Roman"/>
          <w:noProof w:val="0"/>
          <w:sz w:val="24"/>
          <w:szCs w:val="24"/>
          <w:lang w:val="en-US"/>
        </w:rPr>
        <w:t xml:space="preserve">Collectively, the findings </w:t>
      </w:r>
      <w:r w:rsidRPr="07EE506C" w:rsidR="483F848A">
        <w:rPr>
          <w:rFonts w:ascii="Times New Roman" w:hAnsi="Times New Roman" w:eastAsia="Times New Roman" w:cs="Times New Roman"/>
          <w:noProof w:val="0"/>
          <w:sz w:val="24"/>
          <w:szCs w:val="24"/>
          <w:lang w:val="en-US"/>
        </w:rPr>
        <w:t>indicate</w:t>
      </w:r>
      <w:r w:rsidRPr="07EE506C" w:rsidR="483F848A">
        <w:rPr>
          <w:rFonts w:ascii="Times New Roman" w:hAnsi="Times New Roman" w:eastAsia="Times New Roman" w:cs="Times New Roman"/>
          <w:noProof w:val="0"/>
          <w:sz w:val="24"/>
          <w:szCs w:val="24"/>
          <w:lang w:val="en-US"/>
        </w:rPr>
        <w:t xml:space="preserve"> that Internet censorship is multilayered, dynamic, and context-dependent, requiring empirically grounded circumvention, rigorous measurement, and rights-respecting platform governance. The report concludes with policy and research implications: invest in transparent measurement and audits, design circumvention based on empirical evidence, and enforce platform accountability through disclosures, appeal rights, and independent oversight (Tschantz et al., 2016; Akhavan </w:t>
      </w:r>
      <w:r w:rsidRPr="07EE506C" w:rsidR="483F848A">
        <w:rPr>
          <w:rFonts w:ascii="Times New Roman" w:hAnsi="Times New Roman" w:eastAsia="Times New Roman" w:cs="Times New Roman"/>
          <w:noProof w:val="0"/>
          <w:sz w:val="24"/>
          <w:szCs w:val="24"/>
          <w:lang w:val="en-US"/>
        </w:rPr>
        <w:t>Niaki</w:t>
      </w:r>
      <w:r w:rsidRPr="07EE506C" w:rsidR="483F848A">
        <w:rPr>
          <w:rFonts w:ascii="Times New Roman" w:hAnsi="Times New Roman" w:eastAsia="Times New Roman" w:cs="Times New Roman"/>
          <w:noProof w:val="0"/>
          <w:sz w:val="24"/>
          <w:szCs w:val="24"/>
          <w:lang w:val="en-US"/>
        </w:rPr>
        <w:t xml:space="preserve"> et al., 2020; Cobbe, 2021).</w:t>
      </w:r>
    </w:p>
    <w:p xmlns:wp14="http://schemas.microsoft.com/office/word/2010/wordml" w:rsidP="07EE506C" wp14:paraId="49DA9E23" wp14:textId="032572C2">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4E735731" wp14:textId="6D39979A">
      <w:pPr>
        <w:pStyle w:val="Normal"/>
        <w:spacing w:line="480" w:lineRule="auto"/>
        <w:jc w:val="center"/>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Introduction</w:t>
      </w:r>
    </w:p>
    <w:p xmlns:wp14="http://schemas.microsoft.com/office/word/2010/wordml" w:rsidP="07EE506C" wp14:paraId="29CA6FCF" wp14:textId="69825F4A">
      <w:pPr>
        <w:spacing w:before="0" w:beforeAutospacing="off" w:after="160" w:afterAutospacing="off" w:line="480" w:lineRule="auto"/>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The Internet’s open design—end-to-end connectivity, interoperable protocols, and decentralized control—has always existed alongside pressures to control information flows for political, security, economic, or cultural reasons. As connectivity expanded, so did the technical and institutional repertoire for censorship, ranging from overt network blocking to subtle algorithmic interventions. Understanding Internet censorship today demands a layered perspective that connects (1) how blocking and filtering work at the technical level, (2) how censorship is measured and attributed across countries and networks, and (3) how platforms govern visibility and discourse through algorithms.</w:t>
      </w:r>
      <w:r>
        <w:br/>
      </w:r>
      <w:r w:rsidRPr="07EE506C" w:rsidR="483F848A">
        <w:rPr>
          <w:rFonts w:ascii="Times New Roman" w:hAnsi="Times New Roman" w:eastAsia="Times New Roman" w:cs="Times New Roman"/>
          <w:noProof w:val="0"/>
          <w:sz w:val="24"/>
          <w:szCs w:val="24"/>
          <w:lang w:val="en-US"/>
        </w:rPr>
        <w:t xml:space="preserve"> </w:t>
      </w:r>
      <w:r>
        <w:br/>
      </w:r>
      <w:r w:rsidRPr="07EE506C" w:rsidR="483F848A">
        <w:rPr>
          <w:rFonts w:ascii="Times New Roman" w:hAnsi="Times New Roman" w:eastAsia="Times New Roman" w:cs="Times New Roman"/>
          <w:noProof w:val="0"/>
          <w:sz w:val="24"/>
          <w:szCs w:val="24"/>
          <w:lang w:val="en-US"/>
        </w:rPr>
        <w:t>Research question: How do technical mechanisms, empirical measurement platforms, and platform governance together structure the scope, efficacy, and societal effects of Internet censorship?</w:t>
      </w:r>
      <w:r>
        <w:br/>
      </w:r>
      <w:r w:rsidRPr="07EE506C" w:rsidR="483F848A">
        <w:rPr>
          <w:rFonts w:ascii="Times New Roman" w:hAnsi="Times New Roman" w:eastAsia="Times New Roman" w:cs="Times New Roman"/>
          <w:noProof w:val="0"/>
          <w:sz w:val="24"/>
          <w:szCs w:val="24"/>
          <w:lang w:val="en-US"/>
        </w:rPr>
        <w:t xml:space="preserve"> </w:t>
      </w:r>
      <w:r>
        <w:br/>
      </w:r>
      <w:r w:rsidRPr="07EE506C" w:rsidR="483F848A">
        <w:rPr>
          <w:rFonts w:ascii="Times New Roman" w:hAnsi="Times New Roman" w:eastAsia="Times New Roman" w:cs="Times New Roman"/>
          <w:noProof w:val="0"/>
          <w:sz w:val="24"/>
          <w:szCs w:val="24"/>
          <w:lang w:val="en-US"/>
        </w:rPr>
        <w:t xml:space="preserve">Thesis: Internet censorship is best conceptualized as a system of interacting layers—network interference, measurement infrastructures, and platform governance—each with its own design constraints, incentives, and failure modes. Effective responses must be empirically grounded (to ensure circumvention works), measurement-informed (to </w:t>
      </w:r>
      <w:r w:rsidRPr="07EE506C" w:rsidR="483F848A">
        <w:rPr>
          <w:rFonts w:ascii="Times New Roman" w:hAnsi="Times New Roman" w:eastAsia="Times New Roman" w:cs="Times New Roman"/>
          <w:noProof w:val="0"/>
          <w:sz w:val="24"/>
          <w:szCs w:val="24"/>
          <w:lang w:val="en-US"/>
        </w:rPr>
        <w:t>identify</w:t>
      </w:r>
      <w:r w:rsidRPr="07EE506C" w:rsidR="483F848A">
        <w:rPr>
          <w:rFonts w:ascii="Times New Roman" w:hAnsi="Times New Roman" w:eastAsia="Times New Roman" w:cs="Times New Roman"/>
          <w:noProof w:val="0"/>
          <w:sz w:val="24"/>
          <w:szCs w:val="24"/>
          <w:lang w:val="en-US"/>
        </w:rPr>
        <w:t xml:space="preserve"> and attribute interference accurately), and governance-focused (to ensure transparency and accountability in algorithmic moderation) (Tschantz et al., 2016; Akhavan </w:t>
      </w:r>
      <w:r w:rsidRPr="07EE506C" w:rsidR="483F848A">
        <w:rPr>
          <w:rFonts w:ascii="Times New Roman" w:hAnsi="Times New Roman" w:eastAsia="Times New Roman" w:cs="Times New Roman"/>
          <w:noProof w:val="0"/>
          <w:sz w:val="24"/>
          <w:szCs w:val="24"/>
          <w:lang w:val="en-US"/>
        </w:rPr>
        <w:t>Niaki</w:t>
      </w:r>
      <w:r w:rsidRPr="07EE506C" w:rsidR="483F848A">
        <w:rPr>
          <w:rFonts w:ascii="Times New Roman" w:hAnsi="Times New Roman" w:eastAsia="Times New Roman" w:cs="Times New Roman"/>
          <w:noProof w:val="0"/>
          <w:sz w:val="24"/>
          <w:szCs w:val="24"/>
          <w:lang w:val="en-US"/>
        </w:rPr>
        <w:t xml:space="preserve"> et al., 2020; Cobbe, 2021).</w:t>
      </w:r>
    </w:p>
    <w:p xmlns:wp14="http://schemas.microsoft.com/office/word/2010/wordml" w:rsidP="07EE506C" wp14:paraId="4D851C64" wp14:textId="07934DAA">
      <w:pPr>
        <w:pStyle w:val="Normal"/>
        <w:spacing w:line="480" w:lineRule="auto"/>
        <w:jc w:val="center"/>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Methodolog</w:t>
      </w:r>
      <w:r w:rsidRPr="07EE506C" w:rsidR="28A0C667">
        <w:rPr>
          <w:rFonts w:ascii="Times New Roman" w:hAnsi="Times New Roman" w:eastAsia="Times New Roman" w:cs="Times New Roman"/>
          <w:noProof w:val="0"/>
          <w:sz w:val="24"/>
          <w:szCs w:val="24"/>
          <w:lang w:val="en-US"/>
        </w:rPr>
        <w:t>y</w:t>
      </w:r>
    </w:p>
    <w:p xmlns:wp14="http://schemas.microsoft.com/office/word/2010/wordml" w:rsidP="07EE506C" wp14:paraId="05BEAF18" wp14:textId="5685AD88">
      <w:pPr>
        <w:pStyle w:val="Normal"/>
        <w:suppressLineNumbers w:val="0"/>
        <w:bidi w:val="0"/>
        <w:spacing w:before="0" w:beforeAutospacing="off" w:after="160" w:afterAutospacing="off" w:line="480" w:lineRule="auto"/>
        <w:ind w:left="0" w:right="0"/>
        <w:jc w:val="center"/>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This report employs a qualitative, integrative literature review of three peer-reviewed sources chosen to represent complementary perspectives on Internet censorship:</w:t>
      </w:r>
      <w:r>
        <w:br/>
      </w:r>
      <w:r w:rsidRPr="07EE506C" w:rsidR="483F848A">
        <w:rPr>
          <w:rFonts w:ascii="Times New Roman" w:hAnsi="Times New Roman" w:eastAsia="Times New Roman" w:cs="Times New Roman"/>
          <w:noProof w:val="0"/>
          <w:sz w:val="24"/>
          <w:szCs w:val="24"/>
          <w:lang w:val="en-US"/>
        </w:rPr>
        <w:t xml:space="preserve"> </w:t>
      </w:r>
      <w:r>
        <w:br/>
      </w:r>
      <w:r w:rsidRPr="07EE506C" w:rsidR="483F848A">
        <w:rPr>
          <w:rFonts w:ascii="Times New Roman" w:hAnsi="Times New Roman" w:eastAsia="Times New Roman" w:cs="Times New Roman"/>
          <w:noProof w:val="0"/>
          <w:sz w:val="24"/>
          <w:szCs w:val="24"/>
          <w:lang w:val="en-US"/>
        </w:rPr>
        <w:t>• Technical mechanisms &amp; circumvention design: Tschantz, Afroz, and Paxson (2016) synthesize the state of knowledge on censorship circumvention, arguing for empiricism in</w:t>
      </w:r>
      <w:r w:rsidRPr="07EE506C" w:rsidR="6A1D3FC0">
        <w:rPr>
          <w:rFonts w:ascii="Times New Roman" w:hAnsi="Times New Roman" w:eastAsia="Times New Roman" w:cs="Times New Roman"/>
          <w:noProof w:val="0"/>
          <w:sz w:val="24"/>
          <w:szCs w:val="24"/>
          <w:lang w:val="en-US"/>
        </w:rPr>
        <w:t xml:space="preserve"> evaluating</w:t>
      </w:r>
      <w:r w:rsidRPr="07EE506C" w:rsidR="483F848A">
        <w:rPr>
          <w:rFonts w:ascii="Times New Roman" w:hAnsi="Times New Roman" w:eastAsia="Times New Roman" w:cs="Times New Roman"/>
          <w:noProof w:val="0"/>
          <w:sz w:val="24"/>
          <w:szCs w:val="24"/>
          <w:lang w:val="en-US"/>
        </w:rPr>
        <w:t xml:space="preserve"> resilience and usability under different adversarial models.</w:t>
      </w:r>
      <w:r>
        <w:br/>
      </w:r>
      <w:r w:rsidRPr="07EE506C" w:rsidR="483F848A">
        <w:rPr>
          <w:rFonts w:ascii="Times New Roman" w:hAnsi="Times New Roman" w:eastAsia="Times New Roman" w:cs="Times New Roman"/>
          <w:noProof w:val="0"/>
          <w:sz w:val="24"/>
          <w:szCs w:val="24"/>
          <w:lang w:val="en-US"/>
        </w:rPr>
        <w:t xml:space="preserve"> • Global measurement platform: Akhavan </w:t>
      </w:r>
      <w:r w:rsidRPr="07EE506C" w:rsidR="483F848A">
        <w:rPr>
          <w:rFonts w:ascii="Times New Roman" w:hAnsi="Times New Roman" w:eastAsia="Times New Roman" w:cs="Times New Roman"/>
          <w:noProof w:val="0"/>
          <w:sz w:val="24"/>
          <w:szCs w:val="24"/>
          <w:lang w:val="en-US"/>
        </w:rPr>
        <w:t>Ni</w:t>
      </w:r>
      <w:r w:rsidRPr="07EE506C" w:rsidR="483F848A">
        <w:rPr>
          <w:rFonts w:ascii="Times New Roman" w:hAnsi="Times New Roman" w:eastAsia="Times New Roman" w:cs="Times New Roman"/>
          <w:noProof w:val="0"/>
          <w:sz w:val="24"/>
          <w:szCs w:val="24"/>
          <w:lang w:val="en-US"/>
        </w:rPr>
        <w:t>aki</w:t>
      </w:r>
      <w:r w:rsidRPr="07EE506C" w:rsidR="483F848A">
        <w:rPr>
          <w:rFonts w:ascii="Times New Roman" w:hAnsi="Times New Roman" w:eastAsia="Times New Roman" w:cs="Times New Roman"/>
          <w:noProof w:val="0"/>
          <w:sz w:val="24"/>
          <w:szCs w:val="24"/>
          <w:lang w:val="en-US"/>
        </w:rPr>
        <w:t xml:space="preserve"> e</w:t>
      </w:r>
      <w:r w:rsidRPr="07EE506C" w:rsidR="483F848A">
        <w:rPr>
          <w:rFonts w:ascii="Times New Roman" w:hAnsi="Times New Roman" w:eastAsia="Times New Roman" w:cs="Times New Roman"/>
          <w:noProof w:val="0"/>
          <w:sz w:val="24"/>
          <w:szCs w:val="24"/>
          <w:lang w:val="en-US"/>
        </w:rPr>
        <w:t xml:space="preserve">t al. (2020) </w:t>
      </w:r>
      <w:r w:rsidRPr="07EE506C" w:rsidR="483F848A">
        <w:rPr>
          <w:rFonts w:ascii="Times New Roman" w:hAnsi="Times New Roman" w:eastAsia="Times New Roman" w:cs="Times New Roman"/>
          <w:noProof w:val="0"/>
          <w:sz w:val="24"/>
          <w:szCs w:val="24"/>
          <w:lang w:val="en-US"/>
        </w:rPr>
        <w:t>pr</w:t>
      </w:r>
      <w:r w:rsidRPr="07EE506C" w:rsidR="483F848A">
        <w:rPr>
          <w:rFonts w:ascii="Times New Roman" w:hAnsi="Times New Roman" w:eastAsia="Times New Roman" w:cs="Times New Roman"/>
          <w:noProof w:val="0"/>
          <w:sz w:val="24"/>
          <w:szCs w:val="24"/>
          <w:lang w:val="en-US"/>
        </w:rPr>
        <w:t>esent</w:t>
      </w:r>
      <w:r w:rsidRPr="07EE506C" w:rsidR="483F848A">
        <w:rPr>
          <w:rFonts w:ascii="Times New Roman" w:hAnsi="Times New Roman" w:eastAsia="Times New Roman" w:cs="Times New Roman"/>
          <w:noProof w:val="0"/>
          <w:sz w:val="24"/>
          <w:szCs w:val="24"/>
          <w:lang w:val="en-US"/>
        </w:rPr>
        <w:t xml:space="preserve"> </w:t>
      </w:r>
      <w:r w:rsidRPr="07EE506C" w:rsidR="483F848A">
        <w:rPr>
          <w:rFonts w:ascii="Times New Roman" w:hAnsi="Times New Roman" w:eastAsia="Times New Roman" w:cs="Times New Roman"/>
          <w:noProof w:val="0"/>
          <w:sz w:val="24"/>
          <w:szCs w:val="24"/>
          <w:lang w:val="en-US"/>
        </w:rPr>
        <w:t>I</w:t>
      </w:r>
      <w:r w:rsidRPr="07EE506C" w:rsidR="483F848A">
        <w:rPr>
          <w:rFonts w:ascii="Times New Roman" w:hAnsi="Times New Roman" w:eastAsia="Times New Roman" w:cs="Times New Roman"/>
          <w:noProof w:val="0"/>
          <w:sz w:val="24"/>
          <w:szCs w:val="24"/>
          <w:lang w:val="en-US"/>
        </w:rPr>
        <w:t>C</w:t>
      </w:r>
      <w:r w:rsidRPr="07EE506C" w:rsidR="483F848A">
        <w:rPr>
          <w:rFonts w:ascii="Times New Roman" w:hAnsi="Times New Roman" w:eastAsia="Times New Roman" w:cs="Times New Roman"/>
          <w:noProof w:val="0"/>
          <w:sz w:val="24"/>
          <w:szCs w:val="24"/>
          <w:lang w:val="en-US"/>
        </w:rPr>
        <w:t>Lab</w:t>
      </w:r>
      <w:r w:rsidRPr="07EE506C" w:rsidR="483F848A">
        <w:rPr>
          <w:rFonts w:ascii="Times New Roman" w:hAnsi="Times New Roman" w:eastAsia="Times New Roman" w:cs="Times New Roman"/>
          <w:noProof w:val="0"/>
          <w:sz w:val="24"/>
          <w:szCs w:val="24"/>
          <w:lang w:val="en-US"/>
        </w:rPr>
        <w:t xml:space="preserve">, </w:t>
      </w:r>
      <w:r w:rsidRPr="07EE506C" w:rsidR="483F848A">
        <w:rPr>
          <w:rFonts w:ascii="Times New Roman" w:hAnsi="Times New Roman" w:eastAsia="Times New Roman" w:cs="Times New Roman"/>
          <w:noProof w:val="0"/>
          <w:sz w:val="24"/>
          <w:szCs w:val="24"/>
          <w:lang w:val="en-US"/>
        </w:rPr>
        <w:t xml:space="preserve">a global, longitudinal measurement infrastructure capable of detecting and characterizing multiple modalities of network interference across </w:t>
      </w:r>
      <w:r w:rsidRPr="07EE506C" w:rsidR="483F848A">
        <w:rPr>
          <w:rFonts w:ascii="Times New Roman" w:hAnsi="Times New Roman" w:eastAsia="Times New Roman" w:cs="Times New Roman"/>
          <w:noProof w:val="0"/>
          <w:sz w:val="24"/>
          <w:szCs w:val="24"/>
          <w:lang w:val="en-US"/>
        </w:rPr>
        <w:t>ju</w:t>
      </w:r>
      <w:r w:rsidRPr="07EE506C" w:rsidR="483F848A">
        <w:rPr>
          <w:rFonts w:ascii="Times New Roman" w:hAnsi="Times New Roman" w:eastAsia="Times New Roman" w:cs="Times New Roman"/>
          <w:noProof w:val="0"/>
          <w:sz w:val="24"/>
          <w:szCs w:val="24"/>
          <w:lang w:val="en-US"/>
        </w:rPr>
        <w:t>risdictions</w:t>
      </w:r>
      <w:r w:rsidRPr="07EE506C" w:rsidR="483F848A">
        <w:rPr>
          <w:rFonts w:ascii="Times New Roman" w:hAnsi="Times New Roman" w:eastAsia="Times New Roman" w:cs="Times New Roman"/>
          <w:noProof w:val="0"/>
          <w:sz w:val="24"/>
          <w:szCs w:val="24"/>
          <w:lang w:val="en-US"/>
        </w:rPr>
        <w:t xml:space="preserve"> a</w:t>
      </w:r>
      <w:r w:rsidRPr="07EE506C" w:rsidR="483F848A">
        <w:rPr>
          <w:rFonts w:ascii="Times New Roman" w:hAnsi="Times New Roman" w:eastAsia="Times New Roman" w:cs="Times New Roman"/>
          <w:noProof w:val="0"/>
          <w:sz w:val="24"/>
          <w:szCs w:val="24"/>
          <w:lang w:val="en-US"/>
        </w:rPr>
        <w:t>nd over time.</w:t>
      </w:r>
      <w:r>
        <w:br/>
      </w:r>
      <w:r w:rsidRPr="07EE506C" w:rsidR="483F848A">
        <w:rPr>
          <w:rFonts w:ascii="Times New Roman" w:hAnsi="Times New Roman" w:eastAsia="Times New Roman" w:cs="Times New Roman"/>
          <w:noProof w:val="0"/>
          <w:sz w:val="24"/>
          <w:szCs w:val="24"/>
          <w:lang w:val="en-US"/>
        </w:rPr>
        <w:t xml:space="preserve"> • Algorithmic platform governance: Cobbe (2021) analyzes algorithmic censorship, examining the power of ranking and moderation systems to shape visibility and proposing resistance strategies centered on transparency and accountability.</w:t>
      </w:r>
      <w:r>
        <w:br/>
      </w:r>
      <w:r w:rsidRPr="07EE506C" w:rsidR="483F848A">
        <w:rPr>
          <w:rFonts w:ascii="Times New Roman" w:hAnsi="Times New Roman" w:eastAsia="Times New Roman" w:cs="Times New Roman"/>
          <w:noProof w:val="0"/>
          <w:sz w:val="24"/>
          <w:szCs w:val="24"/>
          <w:lang w:val="en-US"/>
        </w:rPr>
        <w:t xml:space="preserve"> </w:t>
      </w:r>
      <w:r>
        <w:br/>
      </w:r>
      <w:r w:rsidRPr="07EE506C" w:rsidR="483F848A">
        <w:rPr>
          <w:rFonts w:ascii="Times New Roman" w:hAnsi="Times New Roman" w:eastAsia="Times New Roman" w:cs="Times New Roman"/>
          <w:noProof w:val="0"/>
          <w:sz w:val="24"/>
          <w:szCs w:val="24"/>
          <w:lang w:val="en-US"/>
        </w:rPr>
        <w:t xml:space="preserve">Selection criteria included peer-reviewed status, methodological rigor, and thematic coverage of mechanisms, measurement, and governance. The analysis </w:t>
      </w:r>
      <w:r w:rsidRPr="07EE506C" w:rsidR="483F848A">
        <w:rPr>
          <w:rFonts w:ascii="Times New Roman" w:hAnsi="Times New Roman" w:eastAsia="Times New Roman" w:cs="Times New Roman"/>
          <w:noProof w:val="0"/>
          <w:sz w:val="24"/>
          <w:szCs w:val="24"/>
          <w:lang w:val="en-US"/>
        </w:rPr>
        <w:t>pr</w:t>
      </w:r>
      <w:r w:rsidRPr="07EE506C" w:rsidR="483F848A">
        <w:rPr>
          <w:rFonts w:ascii="Times New Roman" w:hAnsi="Times New Roman" w:eastAsia="Times New Roman" w:cs="Times New Roman"/>
          <w:noProof w:val="0"/>
          <w:sz w:val="24"/>
          <w:szCs w:val="24"/>
          <w:lang w:val="en-US"/>
        </w:rPr>
        <w:t>oceeds</w:t>
      </w:r>
      <w:r w:rsidRPr="07EE506C" w:rsidR="483F848A">
        <w:rPr>
          <w:rFonts w:ascii="Times New Roman" w:hAnsi="Times New Roman" w:eastAsia="Times New Roman" w:cs="Times New Roman"/>
          <w:noProof w:val="0"/>
          <w:sz w:val="24"/>
          <w:szCs w:val="24"/>
          <w:lang w:val="en-US"/>
        </w:rPr>
        <w:t xml:space="preserve"> t</w:t>
      </w:r>
      <w:r w:rsidRPr="07EE506C" w:rsidR="483F848A">
        <w:rPr>
          <w:rFonts w:ascii="Times New Roman" w:hAnsi="Times New Roman" w:eastAsia="Times New Roman" w:cs="Times New Roman"/>
          <w:noProof w:val="0"/>
          <w:sz w:val="24"/>
          <w:szCs w:val="24"/>
          <w:lang w:val="en-US"/>
        </w:rPr>
        <w:t>hematically, triangulating claims across the three sources to derive a coherent framework and set of implications.</w:t>
      </w:r>
      <w:r>
        <w:br/>
      </w:r>
      <w:r w:rsidRPr="07EE506C" w:rsidR="483F848A">
        <w:rPr>
          <w:rFonts w:ascii="Times New Roman" w:hAnsi="Times New Roman" w:eastAsia="Times New Roman" w:cs="Times New Roman"/>
          <w:noProof w:val="0"/>
          <w:sz w:val="24"/>
          <w:szCs w:val="24"/>
          <w:lang w:val="en-US"/>
        </w:rPr>
        <w:t xml:space="preserve"> </w:t>
      </w:r>
      <w:r>
        <w:br/>
      </w:r>
      <w:r w:rsidRPr="07EE506C" w:rsidR="483F848A">
        <w:rPr>
          <w:rFonts w:ascii="Times New Roman" w:hAnsi="Times New Roman" w:eastAsia="Times New Roman" w:cs="Times New Roman"/>
          <w:noProof w:val="0"/>
          <w:sz w:val="24"/>
          <w:szCs w:val="24"/>
          <w:lang w:val="en-US"/>
        </w:rPr>
        <w:t>Limitations: The review intentionally focuses on three high-quality sources to meet assignment constraints. It does not include broader case studies beyond what these works cover, and it does not conduct original network measurements or platform audits.</w:t>
      </w:r>
    </w:p>
    <w:p xmlns:wp14="http://schemas.microsoft.com/office/word/2010/wordml" w:rsidP="07EE506C" wp14:paraId="6E8F7DF1" wp14:textId="5C168CB5">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4E527A6A" wp14:textId="44D05797">
      <w:pPr>
        <w:pStyle w:val="Normal"/>
        <w:spacing w:line="480" w:lineRule="auto"/>
        <w:jc w:val="center"/>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Findings</w:t>
      </w:r>
    </w:p>
    <w:p xmlns:wp14="http://schemas.microsoft.com/office/word/2010/wordml" w:rsidP="07EE506C" wp14:paraId="127B3C50" wp14:textId="7F7B0D8D">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718E7B08" wp14:textId="72958160">
      <w:pPr>
        <w:pStyle w:val="Normal"/>
        <w:spacing w:line="480" w:lineRule="auto"/>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1. Technical Mechanisms of Censorship and Empirically Grounded Circumvention</w:t>
      </w:r>
    </w:p>
    <w:p xmlns:wp14="http://schemas.microsoft.com/office/word/2010/wordml" w:rsidP="07EE506C" wp14:paraId="5CDE02E1" wp14:textId="7D45C34D">
      <w:pPr>
        <w:spacing w:before="0" w:beforeAutospacing="off" w:after="160" w:afterAutospacing="off" w:line="480" w:lineRule="auto"/>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 xml:space="preserve">Internet censorship at the network layer </w:t>
      </w:r>
      <w:r w:rsidRPr="07EE506C" w:rsidR="483F848A">
        <w:rPr>
          <w:rFonts w:ascii="Times New Roman" w:hAnsi="Times New Roman" w:eastAsia="Times New Roman" w:cs="Times New Roman"/>
          <w:noProof w:val="0"/>
          <w:sz w:val="24"/>
          <w:szCs w:val="24"/>
          <w:lang w:val="en-US"/>
        </w:rPr>
        <w:t>utilizes</w:t>
      </w:r>
      <w:r w:rsidRPr="07EE506C" w:rsidR="483F848A">
        <w:rPr>
          <w:rFonts w:ascii="Times New Roman" w:hAnsi="Times New Roman" w:eastAsia="Times New Roman" w:cs="Times New Roman"/>
          <w:noProof w:val="0"/>
          <w:sz w:val="24"/>
          <w:szCs w:val="24"/>
          <w:lang w:val="en-US"/>
        </w:rPr>
        <w:t xml:space="preserve"> IP address and prefix blocking, DNS poisoning or manipulation, keyword filtering at HTTP or SNI layers, TLS interference, protocol disruption, and traffic shaping or throttling that degrades quality enough to deter use without fully blocking (Akhavan </w:t>
      </w:r>
      <w:r w:rsidRPr="07EE506C" w:rsidR="483F848A">
        <w:rPr>
          <w:rFonts w:ascii="Times New Roman" w:hAnsi="Times New Roman" w:eastAsia="Times New Roman" w:cs="Times New Roman"/>
          <w:noProof w:val="0"/>
          <w:sz w:val="24"/>
          <w:szCs w:val="24"/>
          <w:lang w:val="en-US"/>
        </w:rPr>
        <w:t>Niaki</w:t>
      </w:r>
      <w:r w:rsidRPr="07EE506C" w:rsidR="483F848A">
        <w:rPr>
          <w:rFonts w:ascii="Times New Roman" w:hAnsi="Times New Roman" w:eastAsia="Times New Roman" w:cs="Times New Roman"/>
          <w:noProof w:val="0"/>
          <w:sz w:val="24"/>
          <w:szCs w:val="24"/>
          <w:lang w:val="en-US"/>
        </w:rPr>
        <w:t xml:space="preserve"> et al., 2020; Tschantz et al., 2016). These techniques aim for efficacy with plausible deniability. Tschantz et al. (2016) argue that circumvention solutions must be grounded in empirical testing against real censorship regimes. Designs that appear secure in theory may fail under practical constraints such as usability and latency. Empirical evaluation should measure reachability, performance, detectability, and user experience across diverse networks, iterating tool design to balance resilience and usability.</w:t>
      </w:r>
    </w:p>
    <w:p xmlns:wp14="http://schemas.microsoft.com/office/word/2010/wordml" w:rsidP="07EE506C" wp14:paraId="7DF6A47D" wp14:textId="6214C3C1">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1F20A7A7" wp14:textId="5EED42FE">
      <w:pPr>
        <w:pStyle w:val="Normal"/>
        <w:spacing w:line="480" w:lineRule="auto"/>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2.  Measuring Censorship Globally: Infrastructure, Methods, and Attribution Challenges</w:t>
      </w:r>
    </w:p>
    <w:p xmlns:wp14="http://schemas.microsoft.com/office/word/2010/wordml" w:rsidP="07EE506C" wp14:paraId="0494BD2C" wp14:textId="66CE4F13">
      <w:pPr>
        <w:spacing w:before="0" w:beforeAutospacing="off" w:after="160" w:afterAutospacing="off" w:line="480" w:lineRule="auto"/>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 xml:space="preserve">Akhavan </w:t>
      </w:r>
      <w:r w:rsidRPr="07EE506C" w:rsidR="483F848A">
        <w:rPr>
          <w:rFonts w:ascii="Times New Roman" w:hAnsi="Times New Roman" w:eastAsia="Times New Roman" w:cs="Times New Roman"/>
          <w:noProof w:val="0"/>
          <w:sz w:val="24"/>
          <w:szCs w:val="24"/>
          <w:lang w:val="en-US"/>
        </w:rPr>
        <w:t>Niaki</w:t>
      </w:r>
      <w:r w:rsidRPr="07EE506C" w:rsidR="483F848A">
        <w:rPr>
          <w:rFonts w:ascii="Times New Roman" w:hAnsi="Times New Roman" w:eastAsia="Times New Roman" w:cs="Times New Roman"/>
          <w:noProof w:val="0"/>
          <w:sz w:val="24"/>
          <w:szCs w:val="24"/>
          <w:lang w:val="en-US"/>
        </w:rPr>
        <w:t xml:space="preserve"> et al. (2020) describe </w:t>
      </w:r>
      <w:r w:rsidRPr="07EE506C" w:rsidR="483F848A">
        <w:rPr>
          <w:rFonts w:ascii="Times New Roman" w:hAnsi="Times New Roman" w:eastAsia="Times New Roman" w:cs="Times New Roman"/>
          <w:noProof w:val="0"/>
          <w:sz w:val="24"/>
          <w:szCs w:val="24"/>
          <w:lang w:val="en-US"/>
        </w:rPr>
        <w:t>ICLab</w:t>
      </w:r>
      <w:r w:rsidRPr="07EE506C" w:rsidR="483F848A">
        <w:rPr>
          <w:rFonts w:ascii="Times New Roman" w:hAnsi="Times New Roman" w:eastAsia="Times New Roman" w:cs="Times New Roman"/>
          <w:noProof w:val="0"/>
          <w:sz w:val="24"/>
          <w:szCs w:val="24"/>
          <w:lang w:val="en-US"/>
        </w:rPr>
        <w:t xml:space="preserve"> as a global, longitudinal measurement platform that conducts standardized tests from diverse vantage points to detect and characterize censorship. Tests include DNS resolution comparisons, HTTP/S reachability and content checks, TLS handshake analysis, keyword filtering probes, and traffic anomaly detection. The longitudinal design enables time-series analysis, capturing changes due to events, laws, or policy shifts. Attribution challenges require distinguishing true censorship from benign failures, which </w:t>
      </w:r>
      <w:r w:rsidRPr="07EE506C" w:rsidR="483F848A">
        <w:rPr>
          <w:rFonts w:ascii="Times New Roman" w:hAnsi="Times New Roman" w:eastAsia="Times New Roman" w:cs="Times New Roman"/>
          <w:noProof w:val="0"/>
          <w:sz w:val="24"/>
          <w:szCs w:val="24"/>
          <w:lang w:val="en-US"/>
        </w:rPr>
        <w:t>ICLab</w:t>
      </w:r>
      <w:r w:rsidRPr="07EE506C" w:rsidR="483F848A">
        <w:rPr>
          <w:rFonts w:ascii="Times New Roman" w:hAnsi="Times New Roman" w:eastAsia="Times New Roman" w:cs="Times New Roman"/>
          <w:noProof w:val="0"/>
          <w:sz w:val="24"/>
          <w:szCs w:val="24"/>
          <w:lang w:val="en-US"/>
        </w:rPr>
        <w:t xml:space="preserve"> addresses through control measurements and replication across vantage points.</w:t>
      </w:r>
    </w:p>
    <w:p xmlns:wp14="http://schemas.microsoft.com/office/word/2010/wordml" w:rsidP="07EE506C" wp14:paraId="09EE3085" wp14:textId="04B468D3">
      <w:pPr>
        <w:pStyle w:val="Normal"/>
        <w:spacing w:line="480" w:lineRule="auto"/>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3. Algorithmic Censorship and Platform Governance: Power, Opaqueness, and Resistance</w:t>
      </w:r>
    </w:p>
    <w:p xmlns:wp14="http://schemas.microsoft.com/office/word/2010/wordml" w:rsidP="07EE506C" wp14:paraId="2987D4FA" wp14:textId="6D66F332">
      <w:pPr>
        <w:spacing w:before="0" w:beforeAutospacing="off" w:after="160" w:afterAutospacing="off" w:line="480" w:lineRule="auto"/>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 xml:space="preserve">Cobbe (2021) reframes censorship beyond state-directed blocking to include algorithmic governance on social platforms. Content visibility is shaped by ranking, recommendation, demotion, removal, and shadow banning, often mediated by proprietary algorithms with limited transparency. These systems can suppress or amplify speech without formal legal censorship, embedding private power into the architecture of public discourse. Cobbe </w:t>
      </w:r>
      <w:r w:rsidRPr="07EE506C" w:rsidR="483F848A">
        <w:rPr>
          <w:rFonts w:ascii="Times New Roman" w:hAnsi="Times New Roman" w:eastAsia="Times New Roman" w:cs="Times New Roman"/>
          <w:noProof w:val="0"/>
          <w:sz w:val="24"/>
          <w:szCs w:val="24"/>
          <w:lang w:val="en-US"/>
        </w:rPr>
        <w:t>argues for</w:t>
      </w:r>
      <w:r w:rsidRPr="07EE506C" w:rsidR="483F848A">
        <w:rPr>
          <w:rFonts w:ascii="Times New Roman" w:hAnsi="Times New Roman" w:eastAsia="Times New Roman" w:cs="Times New Roman"/>
          <w:noProof w:val="0"/>
          <w:sz w:val="24"/>
          <w:szCs w:val="24"/>
          <w:lang w:val="en-US"/>
        </w:rPr>
        <w:t xml:space="preserve"> regulatory frameworks that mandate disclosure of moderation practices and empower users to challenge opaque decisions.</w:t>
      </w:r>
    </w:p>
    <w:p xmlns:wp14="http://schemas.microsoft.com/office/word/2010/wordml" w:rsidP="07EE506C" wp14:paraId="55B466BC" wp14:textId="1D0CAF44">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67C42688" wp14:textId="26C20431">
      <w:pPr>
        <w:pStyle w:val="Normal"/>
        <w:spacing w:line="480" w:lineRule="auto"/>
        <w:jc w:val="center"/>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Conclusion</w:t>
      </w:r>
    </w:p>
    <w:p xmlns:wp14="http://schemas.microsoft.com/office/word/2010/wordml" w:rsidP="07EE506C" wp14:paraId="1EDFB248" wp14:textId="5B2930F7">
      <w:pPr>
        <w:spacing w:before="0" w:beforeAutospacing="off" w:after="160" w:afterAutospacing="off" w:line="480" w:lineRule="auto"/>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 xml:space="preserve">Internet censorship </w:t>
      </w:r>
      <w:r w:rsidRPr="07EE506C" w:rsidR="483F848A">
        <w:rPr>
          <w:rFonts w:ascii="Times New Roman" w:hAnsi="Times New Roman" w:eastAsia="Times New Roman" w:cs="Times New Roman"/>
          <w:noProof w:val="0"/>
          <w:sz w:val="24"/>
          <w:szCs w:val="24"/>
          <w:lang w:val="en-US"/>
        </w:rPr>
        <w:t>operates</w:t>
      </w:r>
      <w:r w:rsidRPr="07EE506C" w:rsidR="483F848A">
        <w:rPr>
          <w:rFonts w:ascii="Times New Roman" w:hAnsi="Times New Roman" w:eastAsia="Times New Roman" w:cs="Times New Roman"/>
          <w:noProof w:val="0"/>
          <w:sz w:val="24"/>
          <w:szCs w:val="24"/>
          <w:lang w:val="en-US"/>
        </w:rPr>
        <w:t xml:space="preserve"> across technical, measurement, and platform governance layers. At the network level, censors deploy blocking, filtering, and traffic manipulation; at the measurement level, platforms like </w:t>
      </w:r>
      <w:r w:rsidRPr="07EE506C" w:rsidR="483F848A">
        <w:rPr>
          <w:rFonts w:ascii="Times New Roman" w:hAnsi="Times New Roman" w:eastAsia="Times New Roman" w:cs="Times New Roman"/>
          <w:noProof w:val="0"/>
          <w:sz w:val="24"/>
          <w:szCs w:val="24"/>
          <w:lang w:val="en-US"/>
        </w:rPr>
        <w:t>ICLab</w:t>
      </w:r>
      <w:r w:rsidRPr="07EE506C" w:rsidR="483F848A">
        <w:rPr>
          <w:rFonts w:ascii="Times New Roman" w:hAnsi="Times New Roman" w:eastAsia="Times New Roman" w:cs="Times New Roman"/>
          <w:noProof w:val="0"/>
          <w:sz w:val="24"/>
          <w:szCs w:val="24"/>
          <w:lang w:val="en-US"/>
        </w:rPr>
        <w:t xml:space="preserve"> illuminate interference patterns and support attribution; at the platform level, algorithms can suppress visibility without state mandates, raising profound questions about private power. Responding effectively requires empiricism, infrastructure, and governance reforms to ensure resilience and rights protection (Tschantz et al., 2016; Akhavan </w:t>
      </w:r>
      <w:r w:rsidRPr="07EE506C" w:rsidR="483F848A">
        <w:rPr>
          <w:rFonts w:ascii="Times New Roman" w:hAnsi="Times New Roman" w:eastAsia="Times New Roman" w:cs="Times New Roman"/>
          <w:noProof w:val="0"/>
          <w:sz w:val="24"/>
          <w:szCs w:val="24"/>
          <w:lang w:val="en-US"/>
        </w:rPr>
        <w:t>Niaki</w:t>
      </w:r>
      <w:r w:rsidRPr="07EE506C" w:rsidR="483F848A">
        <w:rPr>
          <w:rFonts w:ascii="Times New Roman" w:hAnsi="Times New Roman" w:eastAsia="Times New Roman" w:cs="Times New Roman"/>
          <w:noProof w:val="0"/>
          <w:sz w:val="24"/>
          <w:szCs w:val="24"/>
          <w:lang w:val="en-US"/>
        </w:rPr>
        <w:t xml:space="preserve"> et al., 2020; Cobbe, 2021).</w:t>
      </w:r>
    </w:p>
    <w:p xmlns:wp14="http://schemas.microsoft.com/office/word/2010/wordml" w:rsidP="07EE506C" wp14:paraId="39D80F99" wp14:textId="2C11E33B">
      <w:pPr>
        <w:pStyle w:val="Normal"/>
        <w:spacing w:line="480" w:lineRule="auto"/>
        <w:rPr>
          <w:rFonts w:ascii="Times New Roman" w:hAnsi="Times New Roman" w:eastAsia="Times New Roman" w:cs="Times New Roman"/>
          <w:noProof w:val="0"/>
          <w:sz w:val="24"/>
          <w:szCs w:val="24"/>
          <w:lang w:val="en-US"/>
        </w:rPr>
      </w:pPr>
    </w:p>
    <w:p xmlns:wp14="http://schemas.microsoft.com/office/word/2010/wordml" w:rsidP="07EE506C" wp14:paraId="6A9AC8B1" wp14:textId="2CAE37B2">
      <w:pPr>
        <w:pStyle w:val="Normal"/>
        <w:spacing w:line="480" w:lineRule="auto"/>
        <w:jc w:val="center"/>
        <w:rPr>
          <w:rFonts w:ascii="Times New Roman" w:hAnsi="Times New Roman" w:eastAsia="Times New Roman" w:cs="Times New Roman"/>
          <w:noProof w:val="0"/>
          <w:sz w:val="24"/>
          <w:szCs w:val="24"/>
          <w:lang w:val="en-US"/>
        </w:rPr>
      </w:pPr>
      <w:r w:rsidRPr="07EE506C" w:rsidR="483F848A">
        <w:rPr>
          <w:rFonts w:ascii="Times New Roman" w:hAnsi="Times New Roman" w:eastAsia="Times New Roman" w:cs="Times New Roman"/>
          <w:noProof w:val="0"/>
          <w:sz w:val="24"/>
          <w:szCs w:val="24"/>
          <w:lang w:val="en-US"/>
        </w:rPr>
        <w:t>References</w:t>
      </w:r>
    </w:p>
    <w:p xmlns:wp14="http://schemas.microsoft.com/office/word/2010/wordml" w:rsidP="07EE506C" wp14:paraId="5355BF5C" wp14:textId="40BF1E08">
      <w:pPr>
        <w:spacing w:before="0" w:beforeAutospacing="off" w:after="160" w:afterAutospacing="off" w:line="480" w:lineRule="auto"/>
        <w:ind w:left="720" w:right="0" w:hanging="720"/>
        <w:rPr>
          <w:rFonts w:ascii="Times New Roman" w:hAnsi="Times New Roman" w:eastAsia="Times New Roman" w:cs="Times New Roman"/>
          <w:sz w:val="24"/>
          <w:szCs w:val="24"/>
        </w:rPr>
      </w:pPr>
      <w:r w:rsidRPr="07EE506C" w:rsidR="483F848A">
        <w:rPr>
          <w:rFonts w:ascii="Times New Roman" w:hAnsi="Times New Roman" w:eastAsia="Times New Roman" w:cs="Times New Roman"/>
          <w:noProof w:val="0"/>
          <w:sz w:val="24"/>
          <w:szCs w:val="24"/>
          <w:lang w:val="en-US"/>
        </w:rPr>
        <w:t xml:space="preserve">Akhavan </w:t>
      </w:r>
      <w:r w:rsidRPr="07EE506C" w:rsidR="483F848A">
        <w:rPr>
          <w:rFonts w:ascii="Times New Roman" w:hAnsi="Times New Roman" w:eastAsia="Times New Roman" w:cs="Times New Roman"/>
          <w:noProof w:val="0"/>
          <w:sz w:val="24"/>
          <w:szCs w:val="24"/>
          <w:lang w:val="en-US"/>
        </w:rPr>
        <w:t>Niaki</w:t>
      </w:r>
      <w:r w:rsidRPr="07EE506C" w:rsidR="483F848A">
        <w:rPr>
          <w:rFonts w:ascii="Times New Roman" w:hAnsi="Times New Roman" w:eastAsia="Times New Roman" w:cs="Times New Roman"/>
          <w:noProof w:val="0"/>
          <w:sz w:val="24"/>
          <w:szCs w:val="24"/>
          <w:lang w:val="en-US"/>
        </w:rPr>
        <w:t xml:space="preserve">, A., Cho, S., Weinberg, Z., Hoang, N. P., </w:t>
      </w:r>
      <w:r w:rsidRPr="07EE506C" w:rsidR="483F848A">
        <w:rPr>
          <w:rFonts w:ascii="Times New Roman" w:hAnsi="Times New Roman" w:eastAsia="Times New Roman" w:cs="Times New Roman"/>
          <w:noProof w:val="0"/>
          <w:sz w:val="24"/>
          <w:szCs w:val="24"/>
          <w:lang w:val="en-US"/>
        </w:rPr>
        <w:t>Razaghpanah</w:t>
      </w:r>
      <w:r w:rsidRPr="07EE506C" w:rsidR="483F848A">
        <w:rPr>
          <w:rFonts w:ascii="Times New Roman" w:hAnsi="Times New Roman" w:eastAsia="Times New Roman" w:cs="Times New Roman"/>
          <w:noProof w:val="0"/>
          <w:sz w:val="24"/>
          <w:szCs w:val="24"/>
          <w:lang w:val="en-US"/>
        </w:rPr>
        <w:t xml:space="preserve">, A., Christin, N., &amp; Gill, P. (2020). </w:t>
      </w:r>
      <w:r w:rsidRPr="07EE506C" w:rsidR="483F848A">
        <w:rPr>
          <w:rFonts w:ascii="Times New Roman" w:hAnsi="Times New Roman" w:eastAsia="Times New Roman" w:cs="Times New Roman"/>
          <w:noProof w:val="0"/>
          <w:sz w:val="24"/>
          <w:szCs w:val="24"/>
          <w:lang w:val="en-US"/>
        </w:rPr>
        <w:t>ICLab</w:t>
      </w:r>
      <w:r w:rsidRPr="07EE506C" w:rsidR="483F848A">
        <w:rPr>
          <w:rFonts w:ascii="Times New Roman" w:hAnsi="Times New Roman" w:eastAsia="Times New Roman" w:cs="Times New Roman"/>
          <w:noProof w:val="0"/>
          <w:sz w:val="24"/>
          <w:szCs w:val="24"/>
          <w:lang w:val="en-US"/>
        </w:rPr>
        <w:t xml:space="preserve">: A global, longitudinal Internet censorship measurement platform. 2020 IEEE Symposium on Security and Privacy, 769–784. IEEE. </w:t>
      </w:r>
      <w:hyperlink r:id="R97b72cd973c24ec1">
        <w:r w:rsidRPr="07EE506C" w:rsidR="483F848A">
          <w:rPr>
            <w:rStyle w:val="Hyperlink"/>
            <w:rFonts w:ascii="Times New Roman" w:hAnsi="Times New Roman" w:eastAsia="Times New Roman" w:cs="Times New Roman"/>
            <w:noProof w:val="0"/>
            <w:sz w:val="24"/>
            <w:szCs w:val="24"/>
            <w:lang w:val="en-US"/>
          </w:rPr>
          <w:t>https://doi.org/10.1109/SP40000.2020.00014</w:t>
        </w:r>
      </w:hyperlink>
    </w:p>
    <w:p xmlns:wp14="http://schemas.microsoft.com/office/word/2010/wordml" w:rsidP="07EE506C" wp14:paraId="3E94578E" wp14:textId="370FCA90">
      <w:pPr>
        <w:spacing w:before="0" w:beforeAutospacing="off" w:after="160" w:afterAutospacing="off" w:line="480" w:lineRule="auto"/>
        <w:ind w:left="720" w:right="0" w:hanging="720"/>
        <w:rPr>
          <w:rFonts w:ascii="Times New Roman" w:hAnsi="Times New Roman" w:eastAsia="Times New Roman" w:cs="Times New Roman"/>
          <w:sz w:val="24"/>
          <w:szCs w:val="24"/>
        </w:rPr>
      </w:pPr>
      <w:r w:rsidRPr="07EE506C" w:rsidR="483F848A">
        <w:rPr>
          <w:rFonts w:ascii="Times New Roman" w:hAnsi="Times New Roman" w:eastAsia="Times New Roman" w:cs="Times New Roman"/>
          <w:noProof w:val="0"/>
          <w:sz w:val="24"/>
          <w:szCs w:val="24"/>
          <w:lang w:val="en-US"/>
        </w:rPr>
        <w:t xml:space="preserve">Cobbe, J. (2021). Algorithmic censorship by social platforms: Power and resistance. Philosophy &amp; Technology, 34, 739–766. </w:t>
      </w:r>
      <w:hyperlink r:id="Rcf4eb7c6b2b54a59">
        <w:r w:rsidRPr="07EE506C" w:rsidR="483F848A">
          <w:rPr>
            <w:rStyle w:val="Hyperlink"/>
            <w:rFonts w:ascii="Times New Roman" w:hAnsi="Times New Roman" w:eastAsia="Times New Roman" w:cs="Times New Roman"/>
            <w:noProof w:val="0"/>
            <w:sz w:val="24"/>
            <w:szCs w:val="24"/>
            <w:lang w:val="en-US"/>
          </w:rPr>
          <w:t>https://doi.org/10.1007/s13347-020-00429-0</w:t>
        </w:r>
      </w:hyperlink>
    </w:p>
    <w:p xmlns:wp14="http://schemas.microsoft.com/office/word/2010/wordml" w:rsidP="07EE506C" wp14:paraId="1D00A0B9" wp14:textId="3E36CB03">
      <w:pPr>
        <w:spacing w:before="0" w:beforeAutospacing="off" w:after="160" w:afterAutospacing="off" w:line="480" w:lineRule="auto"/>
        <w:ind w:left="720" w:right="0" w:hanging="720"/>
        <w:rPr>
          <w:rFonts w:ascii="Times New Roman" w:hAnsi="Times New Roman" w:eastAsia="Times New Roman" w:cs="Times New Roman"/>
          <w:sz w:val="24"/>
          <w:szCs w:val="24"/>
        </w:rPr>
      </w:pPr>
      <w:r w:rsidRPr="07EE506C" w:rsidR="483F848A">
        <w:rPr>
          <w:rFonts w:ascii="Times New Roman" w:hAnsi="Times New Roman" w:eastAsia="Times New Roman" w:cs="Times New Roman"/>
          <w:noProof w:val="0"/>
          <w:sz w:val="24"/>
          <w:szCs w:val="24"/>
          <w:lang w:val="en-US"/>
        </w:rPr>
        <w:t xml:space="preserve">Tschantz, M. C., Afroz, S., &amp; Paxson, V. (2016). </w:t>
      </w:r>
      <w:r w:rsidRPr="07EE506C" w:rsidR="483F848A">
        <w:rPr>
          <w:rFonts w:ascii="Times New Roman" w:hAnsi="Times New Roman" w:eastAsia="Times New Roman" w:cs="Times New Roman"/>
          <w:noProof w:val="0"/>
          <w:sz w:val="24"/>
          <w:szCs w:val="24"/>
          <w:lang w:val="en-US"/>
        </w:rPr>
        <w:t>SoK</w:t>
      </w:r>
      <w:r w:rsidRPr="07EE506C" w:rsidR="483F848A">
        <w:rPr>
          <w:rFonts w:ascii="Times New Roman" w:hAnsi="Times New Roman" w:eastAsia="Times New Roman" w:cs="Times New Roman"/>
          <w:noProof w:val="0"/>
          <w:sz w:val="24"/>
          <w:szCs w:val="24"/>
          <w:lang w:val="en-US"/>
        </w:rPr>
        <w:t xml:space="preserve">: Towards grounding censorship circumvention in empiricism. 2016 IEEE Symposium on Security and Privacy, 914–933. IEEE. </w:t>
      </w:r>
      <w:hyperlink r:id="R3f217f1dc5394fe3">
        <w:r w:rsidRPr="07EE506C" w:rsidR="483F848A">
          <w:rPr>
            <w:rStyle w:val="Hyperlink"/>
            <w:rFonts w:ascii="Times New Roman" w:hAnsi="Times New Roman" w:eastAsia="Times New Roman" w:cs="Times New Roman"/>
            <w:noProof w:val="0"/>
            <w:sz w:val="24"/>
            <w:szCs w:val="24"/>
            <w:lang w:val="en-US"/>
          </w:rPr>
          <w:t>https://doi.org/10.1109/SP.2016.59</w:t>
        </w:r>
      </w:hyperlink>
    </w:p>
    <w:p xmlns:wp14="http://schemas.microsoft.com/office/word/2010/wordml" w:rsidP="07EE506C" wp14:paraId="2C078E63" wp14:textId="3A79A22E">
      <w:pPr>
        <w:spacing w:line="480" w:lineRule="auto"/>
        <w:rPr>
          <w:rFonts w:ascii="Times New Roman" w:hAnsi="Times New Roman" w:eastAsia="Times New Roman" w:cs="Times New Roman"/>
          <w:sz w:val="24"/>
          <w:szCs w:val="24"/>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BA75310"/>
    <w:rsid w:val="06141083"/>
    <w:rsid w:val="07EE506C"/>
    <w:rsid w:val="0ACD5B7F"/>
    <w:rsid w:val="175B1CC8"/>
    <w:rsid w:val="28A0C667"/>
    <w:rsid w:val="483F848A"/>
    <w:rsid w:val="4D94A7F5"/>
    <w:rsid w:val="4E41360C"/>
    <w:rsid w:val="536F40DF"/>
    <w:rsid w:val="593F22AF"/>
    <w:rsid w:val="5FE3A79E"/>
    <w:rsid w:val="688D76E4"/>
    <w:rsid w:val="6A1D3FC0"/>
    <w:rsid w:val="6BA75310"/>
    <w:rsid w:val="6E8790AF"/>
    <w:rsid w:val="7E4EFF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A75310"/>
  <w15:chartTrackingRefBased/>
  <w15:docId w15:val="{54F17685-9B7C-4A2A-A727-721078B7EC5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uiPriority w:val="99"/>
    <w:name w:val="Hyperlink"/>
    <w:basedOn w:val="DefaultParagraphFont"/>
    <w:unhideWhenUsed/>
    <w:rsid w:val="07EE506C"/>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doi.org/10.1109/SP40000.2020.00014" TargetMode="External" Id="R97b72cd973c24ec1" /><Relationship Type="http://schemas.openxmlformats.org/officeDocument/2006/relationships/hyperlink" Target="https://doi.org/10.1007/s13347-020-00429-0" TargetMode="External" Id="Rcf4eb7c6b2b54a59" /><Relationship Type="http://schemas.openxmlformats.org/officeDocument/2006/relationships/hyperlink" Target="https://doi.org/10.1109/SP.2016.59" TargetMode="External" Id="R3f217f1dc5394fe3"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2025-12-07T15:10:33.4674555Z</dcterms:created>
  <dcterms:modified xsi:type="dcterms:W3CDTF">2025-12-07T15:19:10.5770119Z</dcterms:modified>
  <dc:creator>Christopher Boyce</dc:creator>
  <lastModifiedBy>Christopher Boyce</lastModifiedBy>
</coreProperties>
</file>