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Toc31364"/>
      <w:bookmarkStart w:id="1" w:name="_Toc1282"/>
      <w:r>
        <w:rPr>
          <w:rFonts w:hint="eastAsia"/>
          <w:lang w:val="en-US" w:eastAsia="zh-CN"/>
        </w:rPr>
        <w:t>大学新生入学管理系统</w:t>
      </w:r>
      <w:bookmarkEnd w:id="0"/>
      <w:bookmarkEnd w:id="1"/>
    </w:p>
    <w:p>
      <w:pPr>
        <w:pStyle w:val="2"/>
        <w:jc w:val="center"/>
        <w:rPr>
          <w:rFonts w:hint="eastAsia"/>
          <w:lang w:val="en-US" w:eastAsia="zh-CN"/>
        </w:rPr>
      </w:pPr>
      <w:bookmarkStart w:id="2" w:name="_Toc32351"/>
      <w:bookmarkStart w:id="3" w:name="_Toc5620"/>
      <w:r>
        <w:rPr>
          <w:rFonts w:hint="eastAsia"/>
          <w:lang w:val="en-US" w:eastAsia="zh-CN"/>
        </w:rPr>
        <w:t>（SN002）</w:t>
      </w:r>
      <w:bookmarkEnd w:id="2"/>
      <w:r>
        <w:rPr>
          <w:rFonts w:hint="eastAsia"/>
          <w:lang w:val="en-US" w:eastAsia="zh-CN"/>
        </w:rPr>
        <w:t>用户需求报告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88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0"/>
        <w:gridCol w:w="4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882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/>
                <w:color w:val="FFFFFF"/>
                <w:vertAlign w:val="baseline"/>
                <w:lang w:val="en-US" w:eastAsia="zh-CN"/>
              </w:rPr>
            </w:pPr>
            <w:r>
              <w:rPr>
                <w:rFonts w:hint="eastAsia"/>
                <w:color w:val="FFFFFF"/>
                <w:vertAlign w:val="baseline"/>
                <w:lang w:val="en-US" w:eastAsia="zh-CN"/>
              </w:rPr>
              <w:t>文件信息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441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文件状态</w:t>
            </w:r>
          </w:p>
        </w:tc>
        <w:tc>
          <w:tcPr>
            <w:tcW w:w="441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</w:rPr>
              <w:t>[  ] 草稿[√]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正在修改[</w:t>
            </w:r>
            <w:r>
              <w:rPr>
                <w:rFonts w:hint="eastAsia"/>
                <w:color w:val="000000"/>
                <w:lang w:val="en-US" w:eastAsia="zh-CN"/>
              </w:rPr>
              <w:t xml:space="preserve">  </w:t>
            </w:r>
            <w:r>
              <w:rPr>
                <w:rFonts w:hint="eastAsia"/>
                <w:color w:val="000000"/>
              </w:rPr>
              <w:t>] 正式发布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文件标识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20171009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当前版本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8820" w:type="dxa"/>
            <w:gridSpan w:val="2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0070C0"/>
          </w:tcPr>
          <w:p>
            <w:pPr>
              <w:jc w:val="center"/>
              <w:rPr>
                <w:rFonts w:hint="eastAsia"/>
                <w:color w:val="9DC3E6" w:themeColor="accent1" w:themeTint="99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</w:pPr>
            <w:r>
              <w:rPr>
                <w:rFonts w:hint="eastAsia"/>
                <w:color w:val="9DC3E6" w:themeColor="accent1" w:themeTint="99"/>
                <w:vertAlign w:val="baseline"/>
                <w:lang w:val="en-US" w:eastAsia="zh-CN"/>
                <w14:textFill>
                  <w14:solidFill>
                    <w14:schemeClr w14:val="accent1">
                      <w14:lumMod w14:val="60000"/>
                      <w14:lumOff w14:val="40000"/>
                    </w14:schemeClr>
                  </w14:solidFill>
                </w14:textFill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姓名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张娅娅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学号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2014011450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团队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Supreme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完成日期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2017/09/25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版本更新信息</w:t>
            </w:r>
          </w:p>
        </w:tc>
        <w:tc>
          <w:tcPr>
            <w:tcW w:w="44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jc w:val="center"/>
              <w:rPr>
                <w:rFonts w:hint="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>初稿</w:t>
            </w:r>
          </w:p>
        </w:tc>
      </w:tr>
    </w:tbl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ascii="楷体" w:hAnsi="楷体" w:eastAsia="楷体" w:cs="楷体"/>
          <w:kern w:val="2"/>
          <w:sz w:val="32"/>
          <w:szCs w:val="32"/>
          <w:lang w:val="en-US" w:eastAsia="zh-CN" w:bidi="ar-SA"/>
        </w:rPr>
      </w:pPr>
    </w:p>
    <w:p>
      <w:pPr>
        <w:jc w:val="center"/>
        <w:rPr>
          <w:rFonts w:hint="eastAsia" w:ascii="楷体" w:hAnsi="楷体" w:eastAsia="楷体" w:cs="楷体"/>
          <w:kern w:val="2"/>
          <w:sz w:val="32"/>
          <w:szCs w:val="32"/>
          <w:lang w:val="en-US" w:eastAsia="zh-CN" w:bidi="ar-SA"/>
        </w:rPr>
      </w:pPr>
    </w:p>
    <w:p>
      <w:pPr>
        <w:jc w:val="center"/>
        <w:rPr>
          <w:rFonts w:hint="eastAsia" w:ascii="楷体" w:hAnsi="楷体" w:eastAsia="楷体" w:cs="楷体"/>
          <w:kern w:val="2"/>
          <w:sz w:val="32"/>
          <w:szCs w:val="32"/>
          <w:lang w:val="en-US" w:eastAsia="zh-CN" w:bidi="ar-SA"/>
        </w:rPr>
      </w:pPr>
    </w:p>
    <w:p>
      <w:pPr>
        <w:jc w:val="center"/>
        <w:rPr>
          <w:rFonts w:hint="eastAsia" w:ascii="楷体" w:hAnsi="楷体" w:eastAsia="楷体" w:cs="楷体"/>
          <w:kern w:val="2"/>
          <w:sz w:val="32"/>
          <w:szCs w:val="32"/>
          <w:lang w:val="en-US" w:eastAsia="zh-CN" w:bidi="ar-SA"/>
        </w:rPr>
      </w:pPr>
    </w:p>
    <w:p>
      <w:pPr>
        <w:jc w:val="center"/>
        <w:rPr>
          <w:rFonts w:hint="eastAsia" w:ascii="楷体" w:hAnsi="楷体" w:eastAsia="楷体" w:cs="楷体"/>
          <w:kern w:val="2"/>
          <w:sz w:val="32"/>
          <w:szCs w:val="32"/>
          <w:lang w:val="en-US" w:eastAsia="zh-CN" w:bidi="ar-SA"/>
        </w:rPr>
      </w:pPr>
    </w:p>
    <w:p>
      <w:pPr>
        <w:jc w:val="center"/>
        <w:rPr>
          <w:rFonts w:hint="eastAsia" w:ascii="楷体" w:hAnsi="楷体" w:eastAsia="楷体" w:cs="楷体"/>
          <w:kern w:val="2"/>
          <w:sz w:val="32"/>
          <w:szCs w:val="32"/>
          <w:lang w:val="en-US" w:eastAsia="zh-CN" w:bidi="ar-SA"/>
        </w:rPr>
      </w:pPr>
    </w:p>
    <w:p>
      <w:pPr>
        <w:jc w:val="center"/>
        <w:rPr>
          <w:rFonts w:hint="eastAsia" w:ascii="楷体" w:hAnsi="楷体" w:eastAsia="楷体" w:cs="楷体"/>
          <w:kern w:val="2"/>
          <w:sz w:val="32"/>
          <w:szCs w:val="32"/>
          <w:lang w:val="en-US" w:eastAsia="zh-CN" w:bidi="ar-SA"/>
        </w:rPr>
      </w:pPr>
    </w:p>
    <w:p>
      <w:pPr>
        <w:jc w:val="center"/>
        <w:rPr>
          <w:rFonts w:hint="eastAsia" w:ascii="楷体" w:hAnsi="楷体" w:eastAsia="楷体" w:cs="楷体"/>
          <w:kern w:val="2"/>
          <w:sz w:val="32"/>
          <w:szCs w:val="32"/>
          <w:lang w:val="en-US" w:eastAsia="zh-CN" w:bidi="ar-SA"/>
        </w:rPr>
      </w:pPr>
    </w:p>
    <w:p>
      <w:pPr>
        <w:jc w:val="center"/>
        <w:rPr>
          <w:rFonts w:hint="eastAsia" w:ascii="楷体" w:hAnsi="楷体" w:eastAsia="楷体" w:cs="楷体"/>
          <w:kern w:val="2"/>
          <w:sz w:val="32"/>
          <w:szCs w:val="32"/>
          <w:lang w:val="en-US" w:eastAsia="zh-CN" w:bidi="ar-SA"/>
        </w:rPr>
      </w:pPr>
      <w:bookmarkStart w:id="4" w:name="_GoBack"/>
      <w:bookmarkEnd w:id="4"/>
      <w:r>
        <w:rPr>
          <w:rFonts w:hint="eastAsia" w:ascii="楷体" w:hAnsi="楷体" w:eastAsia="楷体" w:cs="楷体"/>
          <w:kern w:val="2"/>
          <w:sz w:val="32"/>
          <w:szCs w:val="32"/>
          <w:lang w:val="en-US" w:eastAsia="zh-CN" w:bidi="ar-SA"/>
        </w:rPr>
        <w:t>大学新生入学管理系统</w:t>
      </w:r>
    </w:p>
    <w:p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背景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新生们满怀着对大学生活的向往，来到了一个新的环境，新生们有着各种各样的问题需要老师们帮忙解决。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为了在开学季新生入学的时候，为了减轻教务工作和老师的手工工作压力，</w:t>
      </w: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帮助新生们解决常见的问题，我们需要一个大学新生入学管理。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问题描述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“新生大学入学管理系统”旨在每界新生入学初期对学校及教师团队的进一步了解。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主要希望通过新生大学入学管理系统，提供给新生解决问题的途径。学生可以通过热门常见问题列表、在线学生手册、联系老师等途径解决。同时新生可以通过该网站的查看学校地图、查询校历、社团信息以及公告。还有，学生可以在此系统查看以及管理个人信息、提交申请助学金或贷款的资料，以及投诉。老师可以通过该系统发布公告，和查询班级学生信息。管理员可以管理系统中的各种信息。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要求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</w:pPr>
      <w:r>
        <w:rPr>
          <w:rFonts w:hint="eastAsia" w:ascii="楷体" w:hAnsi="楷体" w:eastAsia="楷体" w:cs="楷体"/>
          <w:kern w:val="2"/>
          <w:sz w:val="28"/>
          <w:szCs w:val="28"/>
          <w:lang w:val="en-US" w:eastAsia="zh-CN" w:bidi="ar-SA"/>
        </w:rPr>
        <w:t>界面简单美观，适用性强。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iknow-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_edito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replyer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hom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know-qb_grad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A6A9"/>
    <w:multiLevelType w:val="multilevel"/>
    <w:tmpl w:val="59C8A6A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D03C25"/>
    <w:rsid w:val="01D03C25"/>
    <w:rsid w:val="0E731054"/>
    <w:rsid w:val="50F76B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2017-09-25T06:39:00Z</dcterms:created>
  <dc:creator>娅娅</dc:creator>
  <cp:lastModifiedBy>白星星。。</cp:lastModifiedBy>
  <dcterms:modified xsi:type="dcterms:W3CDTF">2017-11-13T01:26:49Z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